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Times New Roman" w:hAnsi="Times New Roman" w:eastAsia="宋体" w:cs="Times New Roman"/>
          <w:b/>
          <w:bCs/>
          <w:color w:val="FF0000"/>
          <w:sz w:val="24"/>
          <w:szCs w:val="24"/>
        </w:rPr>
      </w:pPr>
    </w:p>
    <w:p>
      <w:pPr>
        <w:widowControl/>
        <w:jc w:val="left"/>
        <w:rPr>
          <w:rFonts w:ascii="Times New Roman" w:hAnsi="Times New Roman" w:eastAsia="宋体" w:cs="Times New Roman"/>
          <w:color w:val="FF0000"/>
          <w:kern w:val="0"/>
          <w:sz w:val="24"/>
          <w:szCs w:val="24"/>
        </w:rPr>
      </w:pPr>
    </w:p>
    <w:p>
      <w:pPr>
        <w:spacing w:line="360" w:lineRule="auto"/>
        <w:jc w:val="center"/>
        <w:rPr>
          <w:rFonts w:ascii="Times New Roman" w:hAnsi="Times New Roman" w:eastAsia="宋体" w:cs="Times New Roman"/>
          <w:b/>
          <w:sz w:val="72"/>
          <w:szCs w:val="72"/>
        </w:rPr>
      </w:pPr>
    </w:p>
    <w:p>
      <w:pPr>
        <w:spacing w:line="360" w:lineRule="auto"/>
        <w:jc w:val="center"/>
        <w:rPr>
          <w:rFonts w:ascii="Times New Roman" w:hAnsi="Times New Roman" w:eastAsia="宋体" w:cs="Times New Roman"/>
          <w:b/>
          <w:sz w:val="72"/>
          <w:szCs w:val="72"/>
        </w:rPr>
      </w:pPr>
      <w:r>
        <w:rPr>
          <w:rFonts w:ascii="Times New Roman" w:hAnsi="Times New Roman" w:eastAsia="宋体" w:cs="Times New Roman"/>
          <w:b/>
          <w:sz w:val="72"/>
          <w:szCs w:val="72"/>
        </w:rPr>
        <w:t>建设项目环境影响报告表</w:t>
      </w:r>
    </w:p>
    <w:p>
      <w:pPr>
        <w:spacing w:line="360" w:lineRule="auto"/>
        <w:rPr>
          <w:rFonts w:ascii="Times New Roman" w:hAnsi="Times New Roman" w:eastAsia="宋体" w:cs="Times New Roman"/>
          <w:b/>
          <w:bCs/>
          <w:color w:val="FF0000"/>
          <w:sz w:val="24"/>
          <w:szCs w:val="24"/>
        </w:rPr>
      </w:pPr>
    </w:p>
    <w:p>
      <w:pPr>
        <w:spacing w:line="360" w:lineRule="auto"/>
        <w:rPr>
          <w:rFonts w:ascii="Times New Roman" w:hAnsi="Times New Roman" w:eastAsia="宋体" w:cs="Times New Roman"/>
          <w:b/>
          <w:bCs/>
          <w:color w:val="FF0000"/>
          <w:sz w:val="24"/>
          <w:szCs w:val="24"/>
        </w:rPr>
      </w:pPr>
    </w:p>
    <w:p>
      <w:pPr>
        <w:spacing w:line="360" w:lineRule="auto"/>
        <w:rPr>
          <w:rFonts w:ascii="Times New Roman" w:hAnsi="Times New Roman" w:eastAsia="宋体" w:cs="Times New Roman"/>
          <w:b/>
          <w:bCs/>
          <w:color w:val="FF0000"/>
          <w:sz w:val="24"/>
          <w:szCs w:val="24"/>
        </w:rPr>
      </w:pPr>
    </w:p>
    <w:p>
      <w:pPr>
        <w:spacing w:line="360" w:lineRule="auto"/>
        <w:rPr>
          <w:rFonts w:ascii="Times New Roman" w:hAnsi="Times New Roman" w:eastAsia="宋体" w:cs="Times New Roman"/>
          <w:b/>
          <w:bCs/>
          <w:color w:val="FF0000"/>
          <w:sz w:val="24"/>
          <w:szCs w:val="24"/>
        </w:rPr>
      </w:pPr>
    </w:p>
    <w:p>
      <w:pPr>
        <w:spacing w:line="360" w:lineRule="auto"/>
        <w:rPr>
          <w:rFonts w:ascii="Times New Roman" w:hAnsi="Times New Roman" w:eastAsia="宋体" w:cs="Times New Roman"/>
          <w:b/>
          <w:bCs/>
          <w:color w:val="FF0000"/>
          <w:sz w:val="24"/>
          <w:szCs w:val="24"/>
        </w:rPr>
      </w:pPr>
    </w:p>
    <w:p>
      <w:pPr>
        <w:spacing w:line="720" w:lineRule="exact"/>
        <w:rPr>
          <w:rFonts w:ascii="Times New Roman" w:hAnsi="Times New Roman" w:eastAsia="宋体" w:cs="Times New Roman"/>
          <w:b/>
          <w:bCs/>
          <w:color w:val="FF0000"/>
          <w:sz w:val="24"/>
          <w:szCs w:val="24"/>
        </w:rPr>
      </w:pPr>
    </w:p>
    <w:p>
      <w:pPr>
        <w:spacing w:line="720" w:lineRule="exact"/>
        <w:rPr>
          <w:rFonts w:ascii="Times New Roman" w:hAnsi="Times New Roman" w:eastAsia="宋体" w:cs="Times New Roman"/>
          <w:b/>
          <w:bCs/>
          <w:sz w:val="24"/>
          <w:szCs w:val="24"/>
        </w:rPr>
      </w:pPr>
    </w:p>
    <w:p>
      <w:pPr>
        <w:ind w:left="2269" w:hanging="2268" w:hangingChars="709"/>
        <w:rPr>
          <w:rFonts w:ascii="Times New Roman" w:hAnsi="Times New Roman" w:eastAsia="宋体" w:cs="Times New Roman"/>
          <w:kern w:val="0"/>
          <w:sz w:val="32"/>
          <w:szCs w:val="32"/>
        </w:rPr>
      </w:pPr>
      <w:r>
        <w:rPr>
          <w:rFonts w:ascii="Times New Roman" w:hAnsi="Times New Roman" w:eastAsia="宋体" w:cs="Times New Roman"/>
          <w:sz w:val="32"/>
          <w:szCs w:val="32"/>
        </w:rPr>
        <w:t xml:space="preserve">    项目名称：</w:t>
      </w:r>
      <w:r>
        <w:rPr>
          <w:rFonts w:ascii="Times New Roman" w:hAnsi="Times New Roman" w:eastAsia="宋体" w:cs="Times New Roman"/>
          <w:kern w:val="0"/>
          <w:sz w:val="32"/>
          <w:szCs w:val="32"/>
          <w:u w:val="single"/>
        </w:rPr>
        <w:t xml:space="preserve">太仓东泰精密机械有限公司新建升降床等产品项目                           </w:t>
      </w:r>
    </w:p>
    <w:p>
      <w:pPr>
        <w:spacing w:line="720" w:lineRule="exact"/>
        <w:ind w:firstLine="480" w:firstLineChars="150"/>
        <w:rPr>
          <w:rFonts w:ascii="Times New Roman" w:hAnsi="Times New Roman" w:eastAsia="宋体" w:cs="Times New Roman"/>
          <w:sz w:val="32"/>
          <w:szCs w:val="32"/>
        </w:rPr>
      </w:pPr>
      <w:r>
        <w:rPr>
          <w:rFonts w:ascii="Times New Roman" w:hAnsi="Times New Roman" w:eastAsia="宋体" w:cs="Times New Roman"/>
          <w:sz w:val="32"/>
          <w:szCs w:val="32"/>
        </w:rPr>
        <w:t xml:space="preserve"> 建设单位（盖章）：</w:t>
      </w:r>
      <w:r>
        <w:rPr>
          <w:rFonts w:ascii="Times New Roman" w:hAnsi="Times New Roman" w:eastAsia="宋体" w:cs="Times New Roman"/>
          <w:sz w:val="32"/>
          <w:szCs w:val="32"/>
          <w:u w:val="single"/>
        </w:rPr>
        <w:t xml:space="preserve">    </w:t>
      </w:r>
      <w:r>
        <w:rPr>
          <w:rFonts w:ascii="Times New Roman" w:hAnsi="Times New Roman" w:eastAsia="宋体" w:cs="Times New Roman"/>
          <w:kern w:val="0"/>
          <w:sz w:val="32"/>
          <w:szCs w:val="32"/>
          <w:u w:val="single"/>
        </w:rPr>
        <w:t>太仓东泰精密机械有限公司</w:t>
      </w:r>
      <w:r>
        <w:rPr>
          <w:rFonts w:ascii="Times New Roman" w:hAnsi="Times New Roman" w:eastAsia="宋体" w:cs="Times New Roman"/>
          <w:sz w:val="32"/>
          <w:szCs w:val="32"/>
          <w:u w:val="single"/>
        </w:rPr>
        <w:t xml:space="preserve">      </w:t>
      </w:r>
    </w:p>
    <w:p>
      <w:pPr>
        <w:spacing w:before="1920" w:line="720" w:lineRule="exact"/>
        <w:ind w:left="636" w:leftChars="303"/>
        <w:rPr>
          <w:rFonts w:ascii="Times New Roman" w:hAnsi="Times New Roman" w:eastAsia="宋体" w:cs="Times New Roman"/>
          <w:sz w:val="36"/>
          <w:szCs w:val="20"/>
        </w:rPr>
      </w:pPr>
    </w:p>
    <w:p>
      <w:pPr>
        <w:spacing w:line="360" w:lineRule="auto"/>
        <w:rPr>
          <w:rFonts w:ascii="Times New Roman" w:hAnsi="Times New Roman" w:eastAsia="宋体" w:cs="Times New Roman"/>
          <w:b/>
          <w:bCs/>
          <w:sz w:val="24"/>
          <w:szCs w:val="24"/>
        </w:rPr>
      </w:pPr>
    </w:p>
    <w:p>
      <w:pPr>
        <w:spacing w:line="360" w:lineRule="auto"/>
        <w:rPr>
          <w:rFonts w:ascii="Times New Roman" w:hAnsi="Times New Roman" w:eastAsia="宋体" w:cs="Times New Roman"/>
          <w:b/>
          <w:bCs/>
          <w:sz w:val="24"/>
          <w:szCs w:val="24"/>
        </w:rPr>
      </w:pPr>
    </w:p>
    <w:p>
      <w:pPr>
        <w:spacing w:line="360" w:lineRule="auto"/>
        <w:rPr>
          <w:rFonts w:ascii="Times New Roman" w:hAnsi="Times New Roman" w:eastAsia="宋体" w:cs="Times New Roman"/>
          <w:b/>
          <w:bCs/>
          <w:sz w:val="24"/>
          <w:szCs w:val="24"/>
        </w:rPr>
      </w:pPr>
    </w:p>
    <w:p>
      <w:pPr>
        <w:spacing w:line="360" w:lineRule="auto"/>
        <w:rPr>
          <w:rFonts w:ascii="Times New Roman" w:hAnsi="Times New Roman" w:eastAsia="宋体" w:cs="Times New Roman"/>
          <w:b/>
          <w:bCs/>
          <w:sz w:val="24"/>
          <w:szCs w:val="24"/>
        </w:rPr>
      </w:pPr>
    </w:p>
    <w:p>
      <w:pPr>
        <w:spacing w:line="360" w:lineRule="auto"/>
        <w:jc w:val="center"/>
        <w:rPr>
          <w:rFonts w:ascii="Times New Roman" w:hAnsi="Times New Roman" w:eastAsia="宋体" w:cs="Times New Roman"/>
          <w:sz w:val="32"/>
          <w:szCs w:val="24"/>
        </w:rPr>
      </w:pPr>
      <w:r>
        <w:rPr>
          <w:rFonts w:ascii="Times New Roman" w:hAnsi="Times New Roman" w:eastAsia="宋体" w:cs="Times New Roman"/>
          <w:sz w:val="32"/>
          <w:szCs w:val="24"/>
        </w:rPr>
        <w:t>编制日期：2020年7月</w:t>
      </w:r>
    </w:p>
    <w:p>
      <w:pPr>
        <w:spacing w:line="360" w:lineRule="auto"/>
        <w:jc w:val="center"/>
        <w:rPr>
          <w:rFonts w:ascii="Times New Roman" w:hAnsi="Times New Roman" w:eastAsia="宋体" w:cs="Times New Roman"/>
          <w:szCs w:val="24"/>
        </w:rPr>
      </w:pPr>
      <w:r>
        <w:rPr>
          <w:rFonts w:ascii="Times New Roman" w:hAnsi="Times New Roman" w:eastAsia="宋体" w:cs="Times New Roman"/>
          <w:sz w:val="32"/>
          <w:szCs w:val="24"/>
        </w:rPr>
        <w:t>江苏省环境保护厅</w:t>
      </w:r>
    </w:p>
    <w:p>
      <w:pPr>
        <w:spacing w:after="120"/>
        <w:rPr>
          <w:rFonts w:ascii="Times New Roman" w:hAnsi="Times New Roman" w:eastAsia="宋体" w:cs="Times New Roman"/>
          <w:color w:val="FF0000"/>
          <w:szCs w:val="20"/>
        </w:rPr>
      </w:pPr>
    </w:p>
    <w:p>
      <w:pPr>
        <w:rPr>
          <w:rFonts w:ascii="Times New Roman" w:hAnsi="Times New Roman" w:eastAsia="宋体" w:cs="Times New Roman"/>
          <w:b/>
          <w:color w:val="FF0000"/>
          <w:sz w:val="24"/>
          <w:szCs w:val="20"/>
        </w:rPr>
      </w:pPr>
    </w:p>
    <w:p>
      <w:pPr>
        <w:jc w:val="center"/>
        <w:rPr>
          <w:rFonts w:ascii="Times New Roman" w:hAnsi="Times New Roman" w:eastAsia="宋体" w:cs="Times New Roman"/>
          <w:b/>
          <w:sz w:val="30"/>
          <w:szCs w:val="30"/>
        </w:rPr>
      </w:pPr>
      <w:r>
        <w:rPr>
          <w:rFonts w:ascii="Times New Roman" w:hAnsi="Times New Roman" w:eastAsia="宋体" w:cs="Times New Roman"/>
          <w:b/>
          <w:sz w:val="30"/>
          <w:szCs w:val="30"/>
        </w:rPr>
        <w:t>《建设项目环境影响报告表》编制说明</w:t>
      </w:r>
    </w:p>
    <w:p>
      <w:pPr>
        <w:spacing w:line="456" w:lineRule="auto"/>
        <w:rPr>
          <w:rFonts w:ascii="Times New Roman" w:hAnsi="Times New Roman" w:eastAsia="宋体" w:cs="Times New Roman"/>
          <w:sz w:val="24"/>
          <w:szCs w:val="20"/>
        </w:rPr>
      </w:pPr>
    </w:p>
    <w:p>
      <w:pPr>
        <w:spacing w:line="456" w:lineRule="auto"/>
        <w:ind w:firstLine="482"/>
        <w:rPr>
          <w:rFonts w:ascii="Times New Roman" w:hAnsi="Times New Roman" w:eastAsia="宋体" w:cs="Times New Roman"/>
          <w:spacing w:val="12"/>
          <w:sz w:val="24"/>
          <w:szCs w:val="20"/>
        </w:rPr>
      </w:pPr>
      <w:r>
        <w:rPr>
          <w:rFonts w:ascii="Times New Roman" w:hAnsi="Times New Roman" w:eastAsia="宋体" w:cs="Times New Roman"/>
          <w:spacing w:val="12"/>
          <w:sz w:val="24"/>
          <w:szCs w:val="20"/>
        </w:rPr>
        <w:t>《建设项目环境影响报告表》由具有从事环境影响评价工作资质的单位编制。</w:t>
      </w:r>
    </w:p>
    <w:p>
      <w:pPr>
        <w:spacing w:line="456" w:lineRule="auto"/>
        <w:ind w:firstLine="482"/>
        <w:rPr>
          <w:rFonts w:ascii="Times New Roman" w:hAnsi="Times New Roman" w:eastAsia="宋体" w:cs="Times New Roman"/>
          <w:spacing w:val="12"/>
          <w:sz w:val="24"/>
          <w:szCs w:val="20"/>
        </w:rPr>
      </w:pPr>
      <w:r>
        <w:rPr>
          <w:rFonts w:ascii="Times New Roman" w:hAnsi="Times New Roman" w:eastAsia="宋体" w:cs="Times New Roman"/>
          <w:spacing w:val="12"/>
          <w:sz w:val="24"/>
          <w:szCs w:val="20"/>
        </w:rPr>
        <w:t>1. 项目名称——指项目立项批复时的名称，应不超过30个字(两个英文字段作一个汉字)。</w:t>
      </w:r>
    </w:p>
    <w:p>
      <w:pPr>
        <w:spacing w:line="456" w:lineRule="auto"/>
        <w:ind w:firstLine="482"/>
        <w:rPr>
          <w:rFonts w:ascii="Times New Roman" w:hAnsi="Times New Roman" w:eastAsia="宋体" w:cs="Times New Roman"/>
          <w:spacing w:val="12"/>
          <w:sz w:val="24"/>
          <w:szCs w:val="20"/>
        </w:rPr>
      </w:pPr>
      <w:r>
        <w:rPr>
          <w:rFonts w:ascii="Times New Roman" w:hAnsi="Times New Roman" w:eastAsia="宋体" w:cs="Times New Roman"/>
          <w:spacing w:val="12"/>
          <w:sz w:val="24"/>
          <w:szCs w:val="20"/>
        </w:rPr>
        <w:t>2. 建设地点——指项目所在地的名称，公路、铁路应填写起止地点。</w:t>
      </w:r>
    </w:p>
    <w:p>
      <w:pPr>
        <w:spacing w:line="456" w:lineRule="auto"/>
        <w:ind w:firstLine="482"/>
        <w:rPr>
          <w:rFonts w:ascii="Times New Roman" w:hAnsi="Times New Roman" w:eastAsia="宋体" w:cs="Times New Roman"/>
          <w:spacing w:val="12"/>
          <w:sz w:val="24"/>
          <w:szCs w:val="20"/>
        </w:rPr>
      </w:pPr>
      <w:r>
        <w:rPr>
          <w:rFonts w:ascii="Times New Roman" w:hAnsi="Times New Roman" w:eastAsia="宋体" w:cs="Times New Roman"/>
          <w:spacing w:val="12"/>
          <w:sz w:val="24"/>
          <w:szCs w:val="20"/>
        </w:rPr>
        <w:t>3. 行业类别——按国标填写。</w:t>
      </w:r>
    </w:p>
    <w:p>
      <w:pPr>
        <w:spacing w:line="456" w:lineRule="auto"/>
        <w:ind w:firstLine="482"/>
        <w:rPr>
          <w:rFonts w:ascii="Times New Roman" w:hAnsi="Times New Roman" w:eastAsia="宋体" w:cs="Times New Roman"/>
          <w:spacing w:val="12"/>
          <w:sz w:val="24"/>
          <w:szCs w:val="20"/>
        </w:rPr>
      </w:pPr>
      <w:r>
        <w:rPr>
          <w:rFonts w:ascii="Times New Roman" w:hAnsi="Times New Roman" w:eastAsia="宋体" w:cs="Times New Roman"/>
          <w:spacing w:val="12"/>
          <w:sz w:val="24"/>
          <w:szCs w:val="20"/>
        </w:rPr>
        <w:t>4. 总投资——指项目投资总额。</w:t>
      </w:r>
    </w:p>
    <w:p>
      <w:pPr>
        <w:spacing w:line="456" w:lineRule="auto"/>
        <w:ind w:firstLine="482"/>
        <w:rPr>
          <w:rFonts w:ascii="Times New Roman" w:hAnsi="Times New Roman" w:eastAsia="宋体" w:cs="Times New Roman"/>
          <w:spacing w:val="12"/>
          <w:sz w:val="24"/>
          <w:szCs w:val="20"/>
        </w:rPr>
      </w:pPr>
      <w:r>
        <w:rPr>
          <w:rFonts w:ascii="Times New Roman" w:hAnsi="Times New Roman" w:eastAsia="宋体" w:cs="Times New Roman"/>
          <w:spacing w:val="12"/>
          <w:sz w:val="24"/>
          <w:szCs w:val="20"/>
        </w:rPr>
        <w:t>5. 主要环境保护目标——指项目区周围一定范围内集中居民住宅区、学校、医院、保护文物、风景名胜区、水源地和生态敏感点等，应尽可能给出保护目标、性质、规模和距厂界距离等。</w:t>
      </w:r>
    </w:p>
    <w:p>
      <w:pPr>
        <w:spacing w:line="456" w:lineRule="auto"/>
        <w:ind w:firstLine="482"/>
        <w:rPr>
          <w:rFonts w:ascii="Times New Roman" w:hAnsi="Times New Roman" w:eastAsia="宋体" w:cs="Times New Roman"/>
          <w:spacing w:val="12"/>
          <w:sz w:val="24"/>
          <w:szCs w:val="20"/>
        </w:rPr>
      </w:pPr>
      <w:r>
        <w:rPr>
          <w:rFonts w:ascii="Times New Roman" w:hAnsi="Times New Roman" w:eastAsia="宋体" w:cs="Times New Roman"/>
          <w:spacing w:val="12"/>
          <w:sz w:val="24"/>
          <w:szCs w:val="20"/>
        </w:rPr>
        <w:t>6. 结论与建议——给出本项目清洁生产、达标排放和总量控制的分析结论，确定污染防治措施的有效性，说明本项目对环境造成的影响，给出建设项目环境可行性的明确结论。同时提出减少环境影响的其它建议。</w:t>
      </w:r>
    </w:p>
    <w:p>
      <w:pPr>
        <w:spacing w:line="456" w:lineRule="auto"/>
        <w:ind w:firstLine="482"/>
        <w:rPr>
          <w:rFonts w:ascii="Times New Roman" w:hAnsi="Times New Roman" w:eastAsia="宋体" w:cs="Times New Roman"/>
          <w:spacing w:val="12"/>
          <w:sz w:val="24"/>
          <w:szCs w:val="20"/>
        </w:rPr>
      </w:pPr>
      <w:r>
        <w:rPr>
          <w:rFonts w:ascii="Times New Roman" w:hAnsi="Times New Roman" w:eastAsia="宋体" w:cs="Times New Roman"/>
          <w:spacing w:val="12"/>
          <w:sz w:val="24"/>
          <w:szCs w:val="20"/>
        </w:rPr>
        <w:t>7. 预审意见——由行业主管部门填写答复意见，无主管部门项目，可不填。</w:t>
      </w:r>
    </w:p>
    <w:p>
      <w:pPr>
        <w:spacing w:line="456" w:lineRule="auto"/>
        <w:ind w:firstLine="482"/>
        <w:rPr>
          <w:rFonts w:ascii="Times New Roman" w:hAnsi="Times New Roman" w:eastAsia="宋体" w:cs="Times New Roman"/>
          <w:spacing w:val="12"/>
          <w:sz w:val="24"/>
          <w:szCs w:val="20"/>
        </w:rPr>
      </w:pPr>
      <w:r>
        <w:rPr>
          <w:rFonts w:ascii="Times New Roman" w:hAnsi="Times New Roman" w:eastAsia="宋体" w:cs="Times New Roman"/>
          <w:spacing w:val="12"/>
          <w:sz w:val="24"/>
          <w:szCs w:val="20"/>
        </w:rPr>
        <w:t>8. 审批意见——由负责审批该项目的环境保护行政主管部门批复。</w:t>
      </w:r>
    </w:p>
    <w:p>
      <w:pPr>
        <w:rPr>
          <w:rFonts w:ascii="Times New Roman" w:hAnsi="Times New Roman" w:eastAsia="宋体" w:cs="Times New Roman"/>
          <w:sz w:val="24"/>
          <w:szCs w:val="20"/>
        </w:rPr>
      </w:pPr>
    </w:p>
    <w:p>
      <w:pPr>
        <w:rPr>
          <w:rFonts w:ascii="Times New Roman" w:hAnsi="Times New Roman" w:eastAsia="宋体" w:cs="Times New Roman"/>
          <w:szCs w:val="20"/>
        </w:rPr>
      </w:pPr>
    </w:p>
    <w:p>
      <w:pPr>
        <w:rPr>
          <w:rFonts w:ascii="Times New Roman" w:hAnsi="Times New Roman" w:eastAsia="宋体" w:cs="Times New Roman"/>
          <w:szCs w:val="20"/>
        </w:rPr>
      </w:pPr>
    </w:p>
    <w:p>
      <w:pPr>
        <w:rPr>
          <w:rFonts w:ascii="Times New Roman" w:hAnsi="Times New Roman" w:eastAsia="宋体" w:cs="Times New Roman"/>
          <w:szCs w:val="20"/>
        </w:rPr>
      </w:pPr>
    </w:p>
    <w:p>
      <w:pPr>
        <w:rPr>
          <w:rFonts w:ascii="Times New Roman" w:hAnsi="Times New Roman" w:eastAsia="宋体" w:cs="Times New Roman"/>
          <w:szCs w:val="20"/>
        </w:rPr>
      </w:pPr>
    </w:p>
    <w:p>
      <w:pPr>
        <w:spacing w:line="456" w:lineRule="auto"/>
        <w:rPr>
          <w:rFonts w:ascii="Times New Roman" w:hAnsi="Times New Roman" w:eastAsia="宋体" w:cs="Times New Roman"/>
          <w:b/>
          <w:color w:val="FF0000"/>
          <w:sz w:val="28"/>
          <w:szCs w:val="28"/>
        </w:rPr>
        <w:sectPr>
          <w:footerReference r:id="rId3" w:type="default"/>
          <w:pgSz w:w="11906" w:h="16838"/>
          <w:pgMar w:top="1440" w:right="1418" w:bottom="1440" w:left="1418" w:header="851" w:footer="992" w:gutter="0"/>
          <w:pgBorders w:offsetFrom="page">
            <w:top w:val="none" w:sz="0" w:space="0"/>
            <w:left w:val="none" w:sz="0" w:space="0"/>
            <w:bottom w:val="none" w:sz="0" w:space="0"/>
            <w:right w:val="none" w:sz="0" w:space="0"/>
          </w:pgBorders>
          <w:pgNumType w:start="1"/>
          <w:cols w:space="720" w:num="1"/>
          <w:docGrid w:linePitch="312" w:charSpace="0"/>
        </w:sectPr>
      </w:pPr>
    </w:p>
    <w:p>
      <w:pPr>
        <w:keepNext/>
        <w:keepLines/>
        <w:spacing w:line="240" w:lineRule="atLeast"/>
        <w:outlineLvl w:val="0"/>
        <w:rPr>
          <w:rFonts w:ascii="Times New Roman" w:hAnsi="Times New Roman" w:eastAsia="宋体" w:cs="Times New Roman"/>
          <w:b/>
          <w:bCs/>
          <w:color w:val="000000" w:themeColor="text1"/>
          <w:kern w:val="44"/>
          <w:sz w:val="28"/>
          <w:szCs w:val="28"/>
          <w14:textFill>
            <w14:solidFill>
              <w14:schemeClr w14:val="tx1"/>
            </w14:solidFill>
          </w14:textFill>
        </w:rPr>
      </w:pPr>
      <w:r>
        <w:rPr>
          <w:rFonts w:ascii="Times New Roman" w:hAnsi="Times New Roman" w:eastAsia="宋体" w:cs="Times New Roman"/>
          <w:b/>
          <w:bCs/>
          <w:color w:val="000000" w:themeColor="text1"/>
          <w:kern w:val="44"/>
          <w:sz w:val="28"/>
          <w:szCs w:val="28"/>
          <w14:textFill>
            <w14:solidFill>
              <w14:schemeClr w14:val="tx1"/>
            </w14:solidFill>
          </w14:textFill>
        </w:rPr>
        <w:t>一、建设项目基本情况</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0"/>
        <w:gridCol w:w="1126"/>
        <w:gridCol w:w="721"/>
        <w:gridCol w:w="613"/>
        <w:gridCol w:w="615"/>
        <w:gridCol w:w="116"/>
        <w:gridCol w:w="62"/>
        <w:gridCol w:w="1146"/>
        <w:gridCol w:w="610"/>
        <w:gridCol w:w="287"/>
        <w:gridCol w:w="529"/>
        <w:gridCol w:w="18"/>
        <w:gridCol w:w="16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项目名称</w:t>
            </w:r>
          </w:p>
        </w:tc>
        <w:tc>
          <w:tcPr>
            <w:tcW w:w="7272" w:type="dxa"/>
            <w:gridSpan w:val="12"/>
            <w:vAlign w:val="center"/>
          </w:tcPr>
          <w:p>
            <w:pPr>
              <w:spacing w:line="400" w:lineRule="exact"/>
              <w:jc w:val="center"/>
              <w:rPr>
                <w:rFonts w:ascii="Times New Roman" w:hAnsi="Times New Roman" w:eastAsia="宋体" w:cs="Times New Roman"/>
                <w:sz w:val="24"/>
                <w:szCs w:val="24"/>
              </w:rPr>
            </w:pPr>
            <w:r>
              <w:rPr>
                <w:rFonts w:ascii="Times New Roman" w:hAnsi="Times New Roman" w:eastAsia="宋体" w:cs="Times New Roman"/>
                <w:sz w:val="24"/>
                <w:szCs w:val="24"/>
              </w:rPr>
              <w:t>太仓东泰精密机械有限公司新建升降床等专用设备项目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5" w:hRule="atLeast"/>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建设单位</w:t>
            </w:r>
          </w:p>
        </w:tc>
        <w:tc>
          <w:tcPr>
            <w:tcW w:w="7272" w:type="dxa"/>
            <w:gridSpan w:val="12"/>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太仓东泰精密机械有限公司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50" w:type="dxa"/>
            <w:vAlign w:val="center"/>
          </w:tcPr>
          <w:p>
            <w:pPr>
              <w:spacing w:line="400" w:lineRule="exact"/>
              <w:jc w:val="center"/>
              <w:rPr>
                <w:rFonts w:ascii="Times New Roman" w:hAnsi="Times New Roman" w:eastAsia="宋体" w:cs="Times New Roman"/>
                <w:b/>
                <w:sz w:val="24"/>
                <w:szCs w:val="24"/>
              </w:rPr>
            </w:pPr>
            <w:r>
              <w:rPr>
                <w:rFonts w:ascii="Times New Roman" w:hAnsi="Times New Roman" w:eastAsia="宋体" w:cs="Times New Roman"/>
                <w:b/>
                <w:sz w:val="24"/>
                <w:szCs w:val="24"/>
              </w:rPr>
              <w:t>法人代表</w:t>
            </w:r>
          </w:p>
        </w:tc>
        <w:tc>
          <w:tcPr>
            <w:tcW w:w="3191" w:type="dxa"/>
            <w:gridSpan w:val="5"/>
            <w:vAlign w:val="center"/>
          </w:tcPr>
          <w:p>
            <w:pPr>
              <w:spacing w:line="400" w:lineRule="exact"/>
              <w:jc w:val="center"/>
              <w:rPr>
                <w:rFonts w:ascii="Times New Roman" w:hAnsi="Times New Roman" w:eastAsia="宋体" w:cs="Times New Roman"/>
                <w:sz w:val="24"/>
                <w:szCs w:val="24"/>
              </w:rPr>
            </w:pPr>
            <w:r>
              <w:rPr>
                <w:rFonts w:ascii="Times New Roman" w:hAnsi="Times New Roman" w:eastAsia="宋体" w:cs="Times New Roman"/>
                <w:sz w:val="24"/>
                <w:szCs w:val="24"/>
              </w:rPr>
              <w:t>邵骏改</w:t>
            </w:r>
          </w:p>
        </w:tc>
        <w:tc>
          <w:tcPr>
            <w:tcW w:w="1208" w:type="dxa"/>
            <w:gridSpan w:val="2"/>
            <w:vAlign w:val="center"/>
          </w:tcPr>
          <w:p>
            <w:pPr>
              <w:spacing w:line="400" w:lineRule="exact"/>
              <w:jc w:val="center"/>
              <w:rPr>
                <w:rFonts w:ascii="Times New Roman" w:hAnsi="Times New Roman" w:eastAsia="宋体" w:cs="Times New Roman"/>
                <w:b/>
                <w:sz w:val="24"/>
                <w:szCs w:val="24"/>
              </w:rPr>
            </w:pPr>
            <w:r>
              <w:rPr>
                <w:rFonts w:ascii="Times New Roman" w:hAnsi="Times New Roman" w:eastAsia="宋体" w:cs="Times New Roman"/>
                <w:b/>
                <w:sz w:val="24"/>
                <w:szCs w:val="24"/>
              </w:rPr>
              <w:t>联系人</w:t>
            </w:r>
          </w:p>
        </w:tc>
        <w:tc>
          <w:tcPr>
            <w:tcW w:w="2873" w:type="dxa"/>
            <w:gridSpan w:val="5"/>
            <w:vAlign w:val="center"/>
          </w:tcPr>
          <w:p>
            <w:pPr>
              <w:spacing w:line="400" w:lineRule="exact"/>
              <w:jc w:val="center"/>
              <w:rPr>
                <w:rFonts w:ascii="Times New Roman" w:hAnsi="Times New Roman" w:eastAsia="宋体" w:cs="Times New Roman"/>
                <w:sz w:val="24"/>
                <w:szCs w:val="24"/>
              </w:rPr>
            </w:pPr>
            <w:r>
              <w:rPr>
                <w:rFonts w:ascii="Times New Roman" w:hAnsi="Times New Roman" w:eastAsia="宋体" w:cs="Times New Roman"/>
                <w:sz w:val="24"/>
                <w:szCs w:val="24"/>
              </w:rPr>
              <w:t>曹阳静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通讯地址</w:t>
            </w:r>
          </w:p>
        </w:tc>
        <w:tc>
          <w:tcPr>
            <w:tcW w:w="7272" w:type="dxa"/>
            <w:gridSpan w:val="12"/>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太仓高新区宣东公路8号1幢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联系电话</w:t>
            </w:r>
          </w:p>
        </w:tc>
        <w:tc>
          <w:tcPr>
            <w:tcW w:w="2460" w:type="dxa"/>
            <w:gridSpan w:val="3"/>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13328047819</w:t>
            </w:r>
          </w:p>
        </w:tc>
        <w:tc>
          <w:tcPr>
            <w:tcW w:w="731" w:type="dxa"/>
            <w:gridSpan w:val="2"/>
            <w:vAlign w:val="center"/>
          </w:tcPr>
          <w:p>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传真</w:t>
            </w:r>
          </w:p>
        </w:tc>
        <w:tc>
          <w:tcPr>
            <w:tcW w:w="1818" w:type="dxa"/>
            <w:gridSpan w:val="3"/>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w:t>
            </w:r>
          </w:p>
        </w:tc>
        <w:tc>
          <w:tcPr>
            <w:tcW w:w="771" w:type="dxa"/>
            <w:gridSpan w:val="3"/>
            <w:vAlign w:val="center"/>
          </w:tcPr>
          <w:p>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邮政编码</w:t>
            </w:r>
          </w:p>
        </w:tc>
        <w:tc>
          <w:tcPr>
            <w:tcW w:w="1492" w:type="dxa"/>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215400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建设地点</w:t>
            </w:r>
          </w:p>
        </w:tc>
        <w:tc>
          <w:tcPr>
            <w:tcW w:w="7272" w:type="dxa"/>
            <w:gridSpan w:val="12"/>
            <w:vAlign w:val="center"/>
          </w:tcPr>
          <w:p>
            <w:pPr>
              <w:spacing w:line="400" w:lineRule="exact"/>
              <w:jc w:val="center"/>
              <w:rPr>
                <w:rFonts w:ascii="Times New Roman" w:hAnsi="Times New Roman" w:eastAsia="宋体" w:cs="Times New Roman"/>
                <w:sz w:val="24"/>
                <w:szCs w:val="24"/>
              </w:rPr>
            </w:pPr>
            <w:r>
              <w:rPr>
                <w:rFonts w:ascii="Times New Roman" w:hAnsi="Times New Roman" w:eastAsia="宋体" w:cs="Times New Roman"/>
                <w:sz w:val="24"/>
                <w:szCs w:val="24"/>
              </w:rPr>
              <w:t>太仓高新区宣东公路8号1幢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立项审批部门</w:t>
            </w:r>
          </w:p>
        </w:tc>
        <w:tc>
          <w:tcPr>
            <w:tcW w:w="3075" w:type="dxa"/>
            <w:gridSpan w:val="4"/>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苏州太仓市行政审批局</w:t>
            </w:r>
          </w:p>
        </w:tc>
        <w:tc>
          <w:tcPr>
            <w:tcW w:w="1324" w:type="dxa"/>
            <w:gridSpan w:val="3"/>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批准文号</w:t>
            </w:r>
          </w:p>
        </w:tc>
        <w:tc>
          <w:tcPr>
            <w:tcW w:w="2873" w:type="dxa"/>
            <w:gridSpan w:val="5"/>
            <w:vAlign w:val="center"/>
          </w:tcPr>
          <w:p>
            <w:pPr>
              <w:jc w:val="center"/>
              <w:rPr>
                <w:rFonts w:ascii="Times New Roman" w:hAnsi="Times New Roman" w:eastAsia="宋体" w:cs="Times New Roman"/>
                <w:sz w:val="24"/>
                <w:szCs w:val="24"/>
                <w:highlight w:val="yellow"/>
              </w:rPr>
            </w:pPr>
            <w:r>
              <w:rPr>
                <w:rFonts w:ascii="Times New Roman" w:hAnsi="Times New Roman" w:eastAsia="宋体" w:cs="Times New Roman"/>
                <w:sz w:val="24"/>
                <w:szCs w:val="24"/>
              </w:rPr>
              <w:t>2020-320585-34-03-547404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建设性质</w:t>
            </w:r>
          </w:p>
        </w:tc>
        <w:tc>
          <w:tcPr>
            <w:tcW w:w="3075" w:type="dxa"/>
            <w:gridSpan w:val="4"/>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新建</w:t>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eq \o\ac(</w:instrText>
            </w:r>
            <w:r>
              <w:rPr>
                <w:rFonts w:ascii="Times New Roman" w:hAnsi="Times New Roman" w:eastAsia="宋体" w:cs="Times New Roman"/>
                <w:position w:val="-3"/>
                <w:sz w:val="24"/>
                <w:szCs w:val="24"/>
              </w:rPr>
              <w:instrText xml:space="preserve">□</w:instrText>
            </w:r>
            <w:r>
              <w:rPr>
                <w:rFonts w:ascii="Times New Roman" w:hAnsi="Times New Roman" w:eastAsia="宋体" w:cs="Times New Roman"/>
                <w:sz w:val="24"/>
                <w:szCs w:val="24"/>
              </w:rPr>
              <w:instrText xml:space="preserve">,√)</w:instrTex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迁建□技改□</w:t>
            </w:r>
          </w:p>
        </w:tc>
        <w:tc>
          <w:tcPr>
            <w:tcW w:w="1324" w:type="dxa"/>
            <w:gridSpan w:val="3"/>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行业类别</w:t>
            </w:r>
          </w:p>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及代码</w:t>
            </w:r>
          </w:p>
        </w:tc>
        <w:tc>
          <w:tcPr>
            <w:tcW w:w="2873" w:type="dxa"/>
            <w:gridSpan w:val="5"/>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C3499其他未列明通用设备制造业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占地面积</w:t>
            </w:r>
          </w:p>
          <w:p>
            <w:pPr>
              <w:jc w:val="center"/>
              <w:rPr>
                <w:rFonts w:ascii="Times New Roman" w:hAnsi="Times New Roman" w:eastAsia="宋体" w:cs="Times New Roman"/>
                <w:sz w:val="24"/>
                <w:szCs w:val="24"/>
              </w:rPr>
            </w:pPr>
            <w:r>
              <w:rPr>
                <w:rFonts w:ascii="Times New Roman" w:hAnsi="Times New Roman" w:eastAsia="宋体" w:cs="Times New Roman"/>
                <w:b/>
                <w:sz w:val="24"/>
                <w:szCs w:val="24"/>
              </w:rPr>
              <w:t>（平方米）</w:t>
            </w:r>
          </w:p>
        </w:tc>
        <w:tc>
          <w:tcPr>
            <w:tcW w:w="3075" w:type="dxa"/>
            <w:gridSpan w:val="4"/>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1408</w:t>
            </w:r>
          </w:p>
        </w:tc>
        <w:tc>
          <w:tcPr>
            <w:tcW w:w="1324" w:type="dxa"/>
            <w:gridSpan w:val="3"/>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绿化面积</w:t>
            </w:r>
          </w:p>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(平方米)</w:t>
            </w:r>
          </w:p>
        </w:tc>
        <w:tc>
          <w:tcPr>
            <w:tcW w:w="2873" w:type="dxa"/>
            <w:gridSpan w:val="5"/>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依托厂区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总投资</w:t>
            </w:r>
          </w:p>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（万元）</w:t>
            </w:r>
          </w:p>
        </w:tc>
        <w:tc>
          <w:tcPr>
            <w:tcW w:w="1847" w:type="dxa"/>
            <w:gridSpan w:val="2"/>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200</w:t>
            </w:r>
          </w:p>
        </w:tc>
        <w:tc>
          <w:tcPr>
            <w:tcW w:w="1228" w:type="dxa"/>
            <w:gridSpan w:val="2"/>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环保投资</w:t>
            </w:r>
          </w:p>
          <w:p>
            <w:pPr>
              <w:jc w:val="center"/>
              <w:rPr>
                <w:rFonts w:ascii="Times New Roman" w:hAnsi="Times New Roman" w:eastAsia="宋体" w:cs="Times New Roman"/>
                <w:sz w:val="24"/>
                <w:szCs w:val="24"/>
              </w:rPr>
            </w:pPr>
            <w:r>
              <w:rPr>
                <w:rFonts w:ascii="Times New Roman" w:hAnsi="Times New Roman" w:eastAsia="宋体" w:cs="Times New Roman"/>
                <w:b/>
                <w:sz w:val="24"/>
                <w:szCs w:val="24"/>
              </w:rPr>
              <w:t>（万元）</w:t>
            </w:r>
          </w:p>
        </w:tc>
        <w:tc>
          <w:tcPr>
            <w:tcW w:w="1324" w:type="dxa"/>
            <w:gridSpan w:val="3"/>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10</w:t>
            </w:r>
          </w:p>
        </w:tc>
        <w:tc>
          <w:tcPr>
            <w:tcW w:w="1365" w:type="dxa"/>
            <w:gridSpan w:val="3"/>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比例</w:t>
            </w:r>
          </w:p>
        </w:tc>
        <w:tc>
          <w:tcPr>
            <w:tcW w:w="1508" w:type="dxa"/>
            <w:gridSpan w:val="2"/>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250" w:type="dxa"/>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评价经费（万元）</w:t>
            </w:r>
          </w:p>
        </w:tc>
        <w:tc>
          <w:tcPr>
            <w:tcW w:w="3075" w:type="dxa"/>
            <w:gridSpan w:val="4"/>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w:t>
            </w:r>
          </w:p>
        </w:tc>
        <w:tc>
          <w:tcPr>
            <w:tcW w:w="1324" w:type="dxa"/>
            <w:gridSpan w:val="3"/>
            <w:vAlign w:val="center"/>
          </w:tcPr>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预计投产日期</w:t>
            </w:r>
          </w:p>
        </w:tc>
        <w:tc>
          <w:tcPr>
            <w:tcW w:w="2873" w:type="dxa"/>
            <w:gridSpan w:val="5"/>
            <w:vAlign w:val="center"/>
          </w:tcPr>
          <w:p>
            <w:pPr>
              <w:jc w:val="center"/>
              <w:rPr>
                <w:rFonts w:ascii="Times New Roman" w:hAnsi="Times New Roman" w:eastAsia="宋体" w:cs="Times New Roman"/>
                <w:sz w:val="24"/>
                <w:szCs w:val="24"/>
              </w:rPr>
            </w:pPr>
            <w:r>
              <w:rPr>
                <w:rFonts w:ascii="Times New Roman" w:hAnsi="Times New Roman" w:eastAsia="宋体" w:cs="Times New Roman"/>
                <w:sz w:val="24"/>
                <w:szCs w:val="24"/>
              </w:rPr>
              <w:t>2020年9月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96" w:hRule="atLeast"/>
          <w:jc w:val="center"/>
        </w:trPr>
        <w:tc>
          <w:tcPr>
            <w:tcW w:w="8522" w:type="dxa"/>
            <w:gridSpan w:val="13"/>
          </w:tcPr>
          <w:p>
            <w:pPr>
              <w:spacing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原辅材料（包括名称、用量）及主要设施规格、数量（包括锅炉、发电机等）</w:t>
            </w:r>
          </w:p>
          <w:p>
            <w:pPr>
              <w:spacing w:line="360" w:lineRule="auto"/>
              <w:jc w:val="left"/>
              <w:rPr>
                <w:rFonts w:ascii="Times New Roman" w:hAnsi="Times New Roman" w:eastAsia="宋体" w:cs="Times New Roman"/>
                <w:sz w:val="24"/>
                <w:szCs w:val="21"/>
              </w:rPr>
            </w:pPr>
            <w:r>
              <w:rPr>
                <w:rFonts w:ascii="Times New Roman" w:hAnsi="Times New Roman" w:eastAsia="宋体" w:cs="Times New Roman"/>
                <w:sz w:val="24"/>
                <w:szCs w:val="21"/>
              </w:rPr>
              <w:t>原辅材料及设施规格数量见下页表1-1、1-3，</w:t>
            </w:r>
          </w:p>
          <w:p>
            <w:pPr>
              <w:spacing w:line="360" w:lineRule="auto"/>
              <w:rPr>
                <w:rFonts w:ascii="Times New Roman" w:hAnsi="Times New Roman" w:eastAsia="宋体" w:cs="Times New Roman"/>
                <w:sz w:val="24"/>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jc w:val="center"/>
        </w:trPr>
        <w:tc>
          <w:tcPr>
            <w:tcW w:w="2376" w:type="dxa"/>
            <w:gridSpan w:val="2"/>
            <w:vAlign w:val="center"/>
          </w:tcPr>
          <w:p>
            <w:pPr>
              <w:jc w:val="center"/>
              <w:rPr>
                <w:rFonts w:ascii="Times New Roman" w:hAnsi="Times New Roman" w:eastAsia="宋体" w:cs="Times New Roman"/>
                <w:b/>
                <w:sz w:val="24"/>
                <w:szCs w:val="21"/>
              </w:rPr>
            </w:pPr>
            <w:r>
              <w:rPr>
                <w:rFonts w:ascii="Times New Roman" w:hAnsi="Times New Roman" w:eastAsia="宋体" w:cs="Times New Roman"/>
                <w:b/>
                <w:sz w:val="24"/>
                <w:szCs w:val="21"/>
              </w:rPr>
              <w:t>名称</w:t>
            </w:r>
          </w:p>
        </w:tc>
        <w:tc>
          <w:tcPr>
            <w:tcW w:w="2127" w:type="dxa"/>
            <w:gridSpan w:val="5"/>
            <w:vAlign w:val="center"/>
          </w:tcPr>
          <w:p>
            <w:pPr>
              <w:jc w:val="center"/>
              <w:rPr>
                <w:rFonts w:ascii="Times New Roman" w:hAnsi="Times New Roman" w:eastAsia="宋体" w:cs="Times New Roman"/>
                <w:b/>
                <w:sz w:val="24"/>
                <w:szCs w:val="21"/>
              </w:rPr>
            </w:pPr>
            <w:r>
              <w:rPr>
                <w:rFonts w:ascii="Times New Roman" w:hAnsi="Times New Roman" w:eastAsia="宋体" w:cs="Times New Roman"/>
                <w:b/>
                <w:sz w:val="24"/>
                <w:szCs w:val="21"/>
              </w:rPr>
              <w:t>消耗量</w:t>
            </w:r>
          </w:p>
        </w:tc>
        <w:tc>
          <w:tcPr>
            <w:tcW w:w="2022" w:type="dxa"/>
            <w:gridSpan w:val="3"/>
            <w:vAlign w:val="center"/>
          </w:tcPr>
          <w:p>
            <w:pPr>
              <w:jc w:val="center"/>
              <w:rPr>
                <w:rFonts w:ascii="Times New Roman" w:hAnsi="Times New Roman" w:eastAsia="宋体" w:cs="Times New Roman"/>
                <w:b/>
                <w:sz w:val="24"/>
                <w:szCs w:val="21"/>
              </w:rPr>
            </w:pPr>
            <w:r>
              <w:rPr>
                <w:rFonts w:ascii="Times New Roman" w:hAnsi="Times New Roman" w:eastAsia="宋体" w:cs="Times New Roman"/>
                <w:b/>
                <w:sz w:val="24"/>
                <w:szCs w:val="21"/>
              </w:rPr>
              <w:t>名称</w:t>
            </w:r>
          </w:p>
        </w:tc>
        <w:tc>
          <w:tcPr>
            <w:tcW w:w="1997" w:type="dxa"/>
            <w:gridSpan w:val="3"/>
            <w:vAlign w:val="center"/>
          </w:tcPr>
          <w:p>
            <w:pPr>
              <w:jc w:val="center"/>
              <w:rPr>
                <w:rFonts w:ascii="Times New Roman" w:hAnsi="Times New Roman" w:eastAsia="宋体" w:cs="Times New Roman"/>
                <w:b/>
                <w:sz w:val="24"/>
                <w:szCs w:val="21"/>
              </w:rPr>
            </w:pPr>
            <w:r>
              <w:rPr>
                <w:rFonts w:ascii="Times New Roman" w:hAnsi="Times New Roman" w:eastAsia="宋体" w:cs="Times New Roman"/>
                <w:b/>
                <w:sz w:val="24"/>
                <w:szCs w:val="21"/>
              </w:rPr>
              <w:t>消耗量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2376" w:type="dxa"/>
            <w:gridSpan w:val="2"/>
            <w:vAlign w:val="center"/>
          </w:tcPr>
          <w:p>
            <w:pPr>
              <w:jc w:val="center"/>
              <w:rPr>
                <w:rFonts w:ascii="Times New Roman" w:hAnsi="Times New Roman" w:eastAsia="宋体" w:cs="Times New Roman"/>
                <w:sz w:val="24"/>
                <w:szCs w:val="21"/>
              </w:rPr>
            </w:pPr>
            <w:r>
              <w:rPr>
                <w:rFonts w:ascii="Times New Roman" w:hAnsi="Times New Roman" w:eastAsia="宋体" w:cs="Times New Roman"/>
                <w:sz w:val="24"/>
                <w:szCs w:val="21"/>
              </w:rPr>
              <w:t>水（吨/年）</w:t>
            </w:r>
          </w:p>
        </w:tc>
        <w:tc>
          <w:tcPr>
            <w:tcW w:w="2127" w:type="dxa"/>
            <w:gridSpan w:val="5"/>
            <w:vAlign w:val="center"/>
          </w:tcPr>
          <w:p>
            <w:pPr>
              <w:jc w:val="center"/>
              <w:rPr>
                <w:rFonts w:ascii="Times New Roman" w:hAnsi="Times New Roman" w:eastAsia="宋体" w:cs="Times New Roman"/>
                <w:sz w:val="24"/>
                <w:szCs w:val="21"/>
              </w:rPr>
            </w:pPr>
            <w:r>
              <w:rPr>
                <w:rFonts w:ascii="Times New Roman" w:hAnsi="Times New Roman" w:eastAsia="宋体" w:cs="Times New Roman"/>
                <w:sz w:val="24"/>
                <w:szCs w:val="21"/>
              </w:rPr>
              <w:t>803.6</w:t>
            </w:r>
          </w:p>
        </w:tc>
        <w:tc>
          <w:tcPr>
            <w:tcW w:w="2022" w:type="dxa"/>
            <w:gridSpan w:val="3"/>
            <w:vAlign w:val="center"/>
          </w:tcPr>
          <w:p>
            <w:pPr>
              <w:jc w:val="center"/>
              <w:rPr>
                <w:rFonts w:ascii="Times New Roman" w:hAnsi="Times New Roman" w:eastAsia="宋体" w:cs="Times New Roman"/>
                <w:sz w:val="24"/>
                <w:szCs w:val="21"/>
              </w:rPr>
            </w:pPr>
            <w:r>
              <w:rPr>
                <w:rFonts w:ascii="Times New Roman" w:hAnsi="Times New Roman" w:eastAsia="宋体" w:cs="Times New Roman"/>
                <w:sz w:val="24"/>
                <w:szCs w:val="21"/>
              </w:rPr>
              <w:t>燃油</w:t>
            </w:r>
          </w:p>
        </w:tc>
        <w:tc>
          <w:tcPr>
            <w:tcW w:w="1997" w:type="dxa"/>
            <w:gridSpan w:val="3"/>
            <w:vAlign w:val="center"/>
          </w:tcPr>
          <w:p>
            <w:pPr>
              <w:jc w:val="center"/>
              <w:rPr>
                <w:rFonts w:ascii="Times New Roman" w:hAnsi="Times New Roman" w:eastAsia="宋体" w:cs="Times New Roman"/>
                <w:sz w:val="24"/>
                <w:szCs w:val="21"/>
              </w:rPr>
            </w:pPr>
            <w:r>
              <w:rPr>
                <w:rFonts w:ascii="Times New Roman" w:hAnsi="Times New Roman" w:eastAsia="宋体" w:cs="Times New Roman"/>
                <w:sz w:val="24"/>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jc w:val="center"/>
        </w:trPr>
        <w:tc>
          <w:tcPr>
            <w:tcW w:w="2376" w:type="dxa"/>
            <w:gridSpan w:val="2"/>
            <w:vAlign w:val="center"/>
          </w:tcPr>
          <w:p>
            <w:pPr>
              <w:spacing w:line="240" w:lineRule="atLeast"/>
              <w:jc w:val="center"/>
              <w:rPr>
                <w:rFonts w:ascii="Times New Roman" w:hAnsi="Times New Roman" w:eastAsia="宋体" w:cs="Times New Roman"/>
                <w:sz w:val="24"/>
                <w:szCs w:val="21"/>
              </w:rPr>
            </w:pPr>
            <w:r>
              <w:rPr>
                <w:rFonts w:ascii="Times New Roman" w:hAnsi="Times New Roman" w:eastAsia="宋体" w:cs="Times New Roman"/>
                <w:sz w:val="24"/>
                <w:szCs w:val="21"/>
              </w:rPr>
              <w:t>电（千瓦时/年）</w:t>
            </w:r>
          </w:p>
        </w:tc>
        <w:tc>
          <w:tcPr>
            <w:tcW w:w="2127" w:type="dxa"/>
            <w:gridSpan w:val="5"/>
            <w:vAlign w:val="center"/>
          </w:tcPr>
          <w:p>
            <w:pPr>
              <w:spacing w:line="240" w:lineRule="atLeast"/>
              <w:jc w:val="center"/>
              <w:rPr>
                <w:rFonts w:ascii="Times New Roman" w:hAnsi="Times New Roman" w:eastAsia="宋体" w:cs="Times New Roman"/>
                <w:sz w:val="24"/>
                <w:szCs w:val="21"/>
              </w:rPr>
            </w:pPr>
            <w:r>
              <w:rPr>
                <w:rFonts w:ascii="Times New Roman" w:hAnsi="Times New Roman" w:eastAsia="宋体" w:cs="Times New Roman"/>
                <w:sz w:val="24"/>
                <w:szCs w:val="21"/>
              </w:rPr>
              <w:t>17.5万</w:t>
            </w:r>
          </w:p>
        </w:tc>
        <w:tc>
          <w:tcPr>
            <w:tcW w:w="2022" w:type="dxa"/>
            <w:gridSpan w:val="3"/>
            <w:vAlign w:val="center"/>
          </w:tcPr>
          <w:p>
            <w:pPr>
              <w:spacing w:line="240" w:lineRule="atLeast"/>
              <w:jc w:val="center"/>
              <w:rPr>
                <w:rFonts w:ascii="Times New Roman" w:hAnsi="Times New Roman" w:eastAsia="宋体" w:cs="Times New Roman"/>
                <w:sz w:val="24"/>
                <w:szCs w:val="21"/>
              </w:rPr>
            </w:pPr>
            <w:r>
              <w:rPr>
                <w:rFonts w:ascii="Times New Roman" w:hAnsi="Times New Roman" w:eastAsia="宋体" w:cs="Times New Roman"/>
                <w:sz w:val="24"/>
                <w:szCs w:val="21"/>
              </w:rPr>
              <w:t>燃气（标立方米/年）</w:t>
            </w:r>
          </w:p>
        </w:tc>
        <w:tc>
          <w:tcPr>
            <w:tcW w:w="1997" w:type="dxa"/>
            <w:gridSpan w:val="3"/>
            <w:vAlign w:val="center"/>
          </w:tcPr>
          <w:p>
            <w:pPr>
              <w:spacing w:line="240" w:lineRule="atLeast"/>
              <w:jc w:val="center"/>
              <w:rPr>
                <w:rFonts w:ascii="Times New Roman" w:hAnsi="Times New Roman" w:eastAsia="宋体" w:cs="Times New Roman"/>
                <w:sz w:val="24"/>
                <w:szCs w:val="21"/>
              </w:rPr>
            </w:pPr>
            <w:r>
              <w:rPr>
                <w:rFonts w:ascii="Times New Roman" w:hAnsi="Times New Roman" w:eastAsia="宋体" w:cs="Times New Roman"/>
                <w:sz w:val="24"/>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2376" w:type="dxa"/>
            <w:gridSpan w:val="2"/>
            <w:vAlign w:val="center"/>
          </w:tcPr>
          <w:p>
            <w:pPr>
              <w:spacing w:line="240" w:lineRule="atLeast"/>
              <w:jc w:val="center"/>
              <w:rPr>
                <w:rFonts w:ascii="Times New Roman" w:hAnsi="Times New Roman" w:eastAsia="宋体" w:cs="Times New Roman"/>
                <w:sz w:val="24"/>
                <w:szCs w:val="21"/>
              </w:rPr>
            </w:pPr>
            <w:r>
              <w:rPr>
                <w:rFonts w:ascii="Times New Roman" w:hAnsi="Times New Roman" w:eastAsia="宋体" w:cs="Times New Roman"/>
                <w:sz w:val="24"/>
                <w:szCs w:val="21"/>
              </w:rPr>
              <w:t>燃煤（吨/年）</w:t>
            </w:r>
          </w:p>
        </w:tc>
        <w:tc>
          <w:tcPr>
            <w:tcW w:w="2127" w:type="dxa"/>
            <w:gridSpan w:val="5"/>
            <w:vAlign w:val="center"/>
          </w:tcPr>
          <w:p>
            <w:pPr>
              <w:spacing w:line="240" w:lineRule="atLeast"/>
              <w:jc w:val="center"/>
              <w:rPr>
                <w:rFonts w:ascii="Times New Roman" w:hAnsi="Times New Roman" w:eastAsia="宋体" w:cs="Times New Roman"/>
                <w:sz w:val="24"/>
                <w:szCs w:val="21"/>
              </w:rPr>
            </w:pPr>
            <w:r>
              <w:rPr>
                <w:rFonts w:ascii="Times New Roman" w:hAnsi="Times New Roman" w:eastAsia="宋体" w:cs="Times New Roman"/>
                <w:sz w:val="24"/>
                <w:szCs w:val="21"/>
              </w:rPr>
              <w:t>--</w:t>
            </w:r>
          </w:p>
        </w:tc>
        <w:tc>
          <w:tcPr>
            <w:tcW w:w="2022" w:type="dxa"/>
            <w:gridSpan w:val="3"/>
            <w:vAlign w:val="center"/>
          </w:tcPr>
          <w:p>
            <w:pPr>
              <w:spacing w:line="240" w:lineRule="atLeast"/>
              <w:jc w:val="center"/>
              <w:rPr>
                <w:rFonts w:ascii="Times New Roman" w:hAnsi="Times New Roman" w:eastAsia="宋体" w:cs="Times New Roman"/>
                <w:sz w:val="24"/>
                <w:szCs w:val="21"/>
              </w:rPr>
            </w:pPr>
            <w:r>
              <w:rPr>
                <w:rFonts w:ascii="Times New Roman" w:hAnsi="Times New Roman" w:eastAsia="宋体" w:cs="Times New Roman"/>
                <w:sz w:val="24"/>
                <w:szCs w:val="21"/>
              </w:rPr>
              <w:t>其他</w:t>
            </w:r>
          </w:p>
        </w:tc>
        <w:tc>
          <w:tcPr>
            <w:tcW w:w="1997" w:type="dxa"/>
            <w:gridSpan w:val="3"/>
            <w:vAlign w:val="center"/>
          </w:tcPr>
          <w:p>
            <w:pPr>
              <w:spacing w:line="240" w:lineRule="atLeast"/>
              <w:jc w:val="center"/>
              <w:rPr>
                <w:rFonts w:ascii="Times New Roman" w:hAnsi="Times New Roman" w:eastAsia="宋体" w:cs="Times New Roman"/>
                <w:sz w:val="24"/>
                <w:szCs w:val="21"/>
              </w:rPr>
            </w:pPr>
            <w:r>
              <w:rPr>
                <w:rFonts w:ascii="Times New Roman" w:hAnsi="Times New Roman" w:eastAsia="宋体" w:cs="Times New Roman"/>
                <w:sz w:val="24"/>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2" w:hRule="atLeast"/>
          <w:jc w:val="center"/>
        </w:trPr>
        <w:tc>
          <w:tcPr>
            <w:tcW w:w="8522" w:type="dxa"/>
            <w:gridSpan w:val="13"/>
            <w:vAlign w:val="center"/>
          </w:tcPr>
          <w:p>
            <w:pPr>
              <w:jc w:val="left"/>
              <w:rPr>
                <w:rFonts w:ascii="Times New Roman" w:hAnsi="Times New Roman" w:eastAsia="宋体" w:cs="Times New Roman"/>
                <w:b/>
                <w:sz w:val="24"/>
                <w:szCs w:val="24"/>
              </w:rPr>
            </w:pPr>
            <w:r>
              <w:rPr>
                <w:rFonts w:ascii="Times New Roman" w:hAnsi="Times New Roman" w:eastAsia="宋体" w:cs="Times New Roman"/>
                <w:b/>
                <w:sz w:val="24"/>
                <w:szCs w:val="24"/>
              </w:rPr>
              <w:t>废水（工业废水□、生活污水□）排水量及排放去向</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建设项目厂区实行雨污分流。建设项目无生产废水排放，员工生活污水经化粪池处理后达《污水综合排放标准》（GB8978-1996）表4中三级标准和《污水排入城镇下水道水质标准》（CJ343-2010）表1标准后，接管太仓城东污水处理厂，最终排入新浏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1" w:hRule="atLeast"/>
          <w:jc w:val="center"/>
        </w:trPr>
        <w:tc>
          <w:tcPr>
            <w:tcW w:w="8522" w:type="dxa"/>
            <w:gridSpan w:val="13"/>
          </w:tcPr>
          <w:p>
            <w:pPr>
              <w:spacing w:line="360" w:lineRule="auto"/>
              <w:rPr>
                <w:rFonts w:ascii="Times New Roman" w:hAnsi="Times New Roman" w:eastAsia="宋体" w:cs="Times New Roman"/>
                <w:sz w:val="24"/>
                <w:szCs w:val="24"/>
              </w:rPr>
            </w:pPr>
            <w:r>
              <w:rPr>
                <w:rFonts w:ascii="Times New Roman" w:hAnsi="Times New Roman" w:eastAsia="宋体" w:cs="Times New Roman"/>
                <w:b/>
                <w:sz w:val="24"/>
                <w:szCs w:val="24"/>
              </w:rPr>
              <w:t>放射性同位素和伴有电磁辐射的设施的使用情况</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jc w:val="center"/>
        </w:trPr>
        <w:tc>
          <w:tcPr>
            <w:tcW w:w="8522" w:type="dxa"/>
            <w:gridSpan w:val="13"/>
          </w:tcPr>
          <w:p>
            <w:pPr>
              <w:jc w:val="center"/>
              <w:rPr>
                <w:rFonts w:ascii="Times New Roman" w:hAnsi="Times New Roman" w:eastAsia="宋体" w:cs="Times New Roman"/>
                <w:b/>
                <w:szCs w:val="21"/>
              </w:rPr>
            </w:pPr>
            <w:r>
              <w:rPr>
                <w:rFonts w:ascii="Times New Roman" w:hAnsi="Times New Roman" w:eastAsia="宋体" w:cs="Times New Roman"/>
                <w:b/>
                <w:szCs w:val="21"/>
              </w:rPr>
              <w:t>表1-1主要原辅材料用量</w:t>
            </w:r>
          </w:p>
          <w:tbl>
            <w:tblPr>
              <w:tblStyle w:val="36"/>
              <w:tblpPr w:leftFromText="180" w:rightFromText="180" w:vertAnchor="text" w:horzAnchor="margin" w:tblpY="47"/>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1546"/>
              <w:gridCol w:w="1359"/>
              <w:gridCol w:w="1929"/>
              <w:gridCol w:w="1425"/>
              <w:gridCol w:w="1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486" w:type="pct"/>
                  <w:vAlign w:val="center"/>
                </w:tcPr>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类别</w:t>
                  </w:r>
                </w:p>
              </w:tc>
              <w:tc>
                <w:tcPr>
                  <w:tcW w:w="908" w:type="pct"/>
                  <w:vAlign w:val="center"/>
                </w:tcPr>
                <w:p>
                  <w:pPr>
                    <w:ind w:left="-105" w:leftChars="-50" w:right="-105" w:rightChars="-50"/>
                    <w:jc w:val="center"/>
                    <w:rPr>
                      <w:rFonts w:ascii="Times New Roman" w:hAnsi="Times New Roman" w:eastAsia="宋体" w:cs="Times New Roman"/>
                      <w:b/>
                      <w:szCs w:val="21"/>
                    </w:rPr>
                  </w:pPr>
                  <w:r>
                    <w:rPr>
                      <w:rFonts w:ascii="Times New Roman" w:hAnsi="Times New Roman" w:eastAsia="宋体" w:cs="Times New Roman"/>
                      <w:b/>
                      <w:szCs w:val="21"/>
                    </w:rPr>
                    <w:t>名  称</w:t>
                  </w:r>
                </w:p>
              </w:tc>
              <w:tc>
                <w:tcPr>
                  <w:tcW w:w="798" w:type="pct"/>
                  <w:vAlign w:val="center"/>
                </w:tcPr>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重要组份、规格、指标</w:t>
                  </w:r>
                </w:p>
              </w:tc>
              <w:tc>
                <w:tcPr>
                  <w:tcW w:w="1133" w:type="pct"/>
                  <w:shd w:val="clear" w:color="auto" w:fill="auto"/>
                  <w:vAlign w:val="center"/>
                </w:tcPr>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年用量</w:t>
                  </w:r>
                </w:p>
              </w:tc>
              <w:tc>
                <w:tcPr>
                  <w:tcW w:w="837" w:type="pct"/>
                  <w:vAlign w:val="center"/>
                </w:tcPr>
                <w:p>
                  <w:pPr>
                    <w:adjustRightInd w:val="0"/>
                    <w:snapToGrid w:val="0"/>
                    <w:jc w:val="center"/>
                    <w:rPr>
                      <w:rFonts w:ascii="Times New Roman" w:hAnsi="Times New Roman" w:eastAsia="Times New Roman" w:cs="Times New Roman"/>
                      <w:b/>
                      <w:szCs w:val="21"/>
                    </w:rPr>
                  </w:pPr>
                  <w:r>
                    <w:rPr>
                      <w:rFonts w:ascii="Times New Roman" w:hAnsi="Times New Roman" w:eastAsia="宋体" w:cs="Times New Roman"/>
                      <w:b/>
                      <w:szCs w:val="21"/>
                    </w:rPr>
                    <w:t>单位</w:t>
                  </w:r>
                </w:p>
              </w:tc>
              <w:tc>
                <w:tcPr>
                  <w:tcW w:w="837" w:type="pct"/>
                  <w:vAlign w:val="center"/>
                </w:tcPr>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来源及运输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486"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原料</w:t>
                  </w:r>
                </w:p>
              </w:tc>
              <w:tc>
                <w:tcPr>
                  <w:tcW w:w="908"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铝型材</w:t>
                  </w:r>
                </w:p>
              </w:tc>
              <w:tc>
                <w:tcPr>
                  <w:tcW w:w="798" w:type="pct"/>
                  <w:vAlign w:val="center"/>
                </w:tcPr>
                <w:p>
                  <w:pPr>
                    <w:jc w:val="center"/>
                    <w:rPr>
                      <w:rFonts w:ascii="Times New Roman" w:hAnsi="Times New Roman" w:eastAsia="宋体" w:cs="Times New Roman"/>
                      <w:szCs w:val="20"/>
                    </w:rPr>
                  </w:pPr>
                  <w:r>
                    <w:rPr>
                      <w:rFonts w:ascii="Times New Roman" w:hAnsi="Times New Roman" w:eastAsia="宋体" w:cs="Times New Roman"/>
                      <w:szCs w:val="20"/>
                    </w:rPr>
                    <w:t>铝</w:t>
                  </w:r>
                </w:p>
              </w:tc>
              <w:tc>
                <w:tcPr>
                  <w:tcW w:w="1133" w:type="pct"/>
                  <w:shd w:val="clear" w:color="auto" w:fill="auto"/>
                  <w:vAlign w:val="center"/>
                </w:tcPr>
                <w:p>
                  <w:pPr>
                    <w:jc w:val="center"/>
                    <w:rPr>
                      <w:rFonts w:ascii="Times New Roman" w:hAnsi="Times New Roman" w:eastAsia="宋体" w:cs="Times New Roman"/>
                      <w:szCs w:val="20"/>
                    </w:rPr>
                  </w:pPr>
                  <w:r>
                    <w:rPr>
                      <w:rFonts w:ascii="Times New Roman" w:hAnsi="Times New Roman" w:eastAsia="宋体" w:cs="Times New Roman"/>
                      <w:szCs w:val="20"/>
                    </w:rPr>
                    <w:t>4.5万</w:t>
                  </w:r>
                </w:p>
              </w:tc>
              <w:tc>
                <w:tcPr>
                  <w:tcW w:w="837"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吨</w:t>
                  </w:r>
                </w:p>
              </w:tc>
              <w:tc>
                <w:tcPr>
                  <w:tcW w:w="837"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外购，车运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7" w:hRule="atLeast"/>
              </w:trPr>
              <w:tc>
                <w:tcPr>
                  <w:tcW w:w="486" w:type="pct"/>
                  <w:vMerge w:val="continue"/>
                  <w:vAlign w:val="center"/>
                </w:tcPr>
                <w:p>
                  <w:pPr>
                    <w:jc w:val="center"/>
                    <w:rPr>
                      <w:rFonts w:ascii="Times New Roman" w:hAnsi="Times New Roman" w:eastAsia="宋体" w:cs="Times New Roman"/>
                      <w:szCs w:val="21"/>
                    </w:rPr>
                  </w:pPr>
                </w:p>
              </w:tc>
              <w:tc>
                <w:tcPr>
                  <w:tcW w:w="908"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铝类</w:t>
                  </w:r>
                </w:p>
              </w:tc>
              <w:tc>
                <w:tcPr>
                  <w:tcW w:w="798" w:type="pct"/>
                  <w:vAlign w:val="center"/>
                </w:tcPr>
                <w:p>
                  <w:pPr>
                    <w:jc w:val="center"/>
                    <w:rPr>
                      <w:rFonts w:ascii="Times New Roman" w:hAnsi="Times New Roman" w:eastAsia="宋体" w:cs="Times New Roman"/>
                      <w:szCs w:val="20"/>
                    </w:rPr>
                  </w:pPr>
                  <w:r>
                    <w:rPr>
                      <w:rFonts w:ascii="Times New Roman" w:hAnsi="Times New Roman" w:eastAsia="宋体" w:cs="Times New Roman"/>
                      <w:szCs w:val="20"/>
                    </w:rPr>
                    <w:t>铝</w:t>
                  </w:r>
                </w:p>
              </w:tc>
              <w:tc>
                <w:tcPr>
                  <w:tcW w:w="1133" w:type="pct"/>
                  <w:shd w:val="clear" w:color="auto" w:fill="auto"/>
                  <w:vAlign w:val="center"/>
                </w:tcPr>
                <w:p>
                  <w:pPr>
                    <w:jc w:val="center"/>
                    <w:rPr>
                      <w:rFonts w:ascii="Times New Roman" w:hAnsi="Times New Roman" w:eastAsia="宋体" w:cs="Times New Roman"/>
                      <w:szCs w:val="20"/>
                    </w:rPr>
                  </w:pPr>
                  <w:r>
                    <w:rPr>
                      <w:rFonts w:ascii="Times New Roman" w:hAnsi="Times New Roman" w:eastAsia="宋体" w:cs="Times New Roman"/>
                      <w:szCs w:val="20"/>
                    </w:rPr>
                    <w:t>1.3</w:t>
                  </w:r>
                </w:p>
              </w:tc>
              <w:tc>
                <w:tcPr>
                  <w:tcW w:w="837"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吨</w:t>
                  </w:r>
                </w:p>
              </w:tc>
              <w:tc>
                <w:tcPr>
                  <w:tcW w:w="837"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外购，车运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486" w:type="pct"/>
                  <w:vMerge w:val="continue"/>
                  <w:vAlign w:val="center"/>
                </w:tcPr>
                <w:p>
                  <w:pPr>
                    <w:jc w:val="center"/>
                    <w:rPr>
                      <w:rFonts w:ascii="Times New Roman" w:hAnsi="Times New Roman" w:eastAsia="宋体" w:cs="Times New Roman"/>
                      <w:szCs w:val="21"/>
                    </w:rPr>
                  </w:pPr>
                </w:p>
              </w:tc>
              <w:tc>
                <w:tcPr>
                  <w:tcW w:w="908"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钢管</w:t>
                  </w:r>
                </w:p>
              </w:tc>
              <w:tc>
                <w:tcPr>
                  <w:tcW w:w="798" w:type="pct"/>
                  <w:vAlign w:val="center"/>
                </w:tcPr>
                <w:p>
                  <w:pPr>
                    <w:jc w:val="center"/>
                    <w:rPr>
                      <w:rFonts w:ascii="Times New Roman" w:hAnsi="Times New Roman" w:eastAsia="宋体" w:cs="Times New Roman"/>
                      <w:szCs w:val="20"/>
                    </w:rPr>
                  </w:pPr>
                  <w:r>
                    <w:rPr>
                      <w:rFonts w:ascii="Times New Roman" w:hAnsi="Times New Roman" w:eastAsia="宋体" w:cs="Times New Roman"/>
                      <w:szCs w:val="20"/>
                    </w:rPr>
                    <w:t>钢</w:t>
                  </w:r>
                </w:p>
              </w:tc>
              <w:tc>
                <w:tcPr>
                  <w:tcW w:w="1133" w:type="pct"/>
                  <w:shd w:val="clear" w:color="auto" w:fill="auto"/>
                  <w:vAlign w:val="center"/>
                </w:tcPr>
                <w:p>
                  <w:pPr>
                    <w:jc w:val="center"/>
                    <w:rPr>
                      <w:rFonts w:ascii="Times New Roman" w:hAnsi="Times New Roman" w:eastAsia="宋体" w:cs="Times New Roman"/>
                      <w:szCs w:val="20"/>
                    </w:rPr>
                  </w:pPr>
                  <w:r>
                    <w:rPr>
                      <w:rFonts w:ascii="Times New Roman" w:hAnsi="Times New Roman" w:eastAsia="宋体" w:cs="Times New Roman"/>
                      <w:szCs w:val="20"/>
                    </w:rPr>
                    <w:t>4800</w:t>
                  </w:r>
                </w:p>
              </w:tc>
              <w:tc>
                <w:tcPr>
                  <w:tcW w:w="837"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米</w:t>
                  </w:r>
                </w:p>
              </w:tc>
              <w:tc>
                <w:tcPr>
                  <w:tcW w:w="837"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外购，车运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486" w:type="pct"/>
                  <w:vMerge w:val="continue"/>
                  <w:vAlign w:val="center"/>
                </w:tcPr>
                <w:p>
                  <w:pPr>
                    <w:jc w:val="center"/>
                    <w:rPr>
                      <w:rFonts w:ascii="Times New Roman" w:hAnsi="Times New Roman" w:eastAsia="宋体" w:cs="Times New Roman"/>
                      <w:szCs w:val="21"/>
                    </w:rPr>
                  </w:pPr>
                </w:p>
              </w:tc>
              <w:tc>
                <w:tcPr>
                  <w:tcW w:w="908"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钢类</w:t>
                  </w:r>
                </w:p>
              </w:tc>
              <w:tc>
                <w:tcPr>
                  <w:tcW w:w="798" w:type="pct"/>
                  <w:vAlign w:val="center"/>
                </w:tcPr>
                <w:p>
                  <w:pPr>
                    <w:jc w:val="center"/>
                    <w:rPr>
                      <w:rFonts w:ascii="Times New Roman" w:hAnsi="Times New Roman" w:eastAsia="宋体" w:cs="Times New Roman"/>
                      <w:szCs w:val="20"/>
                    </w:rPr>
                  </w:pPr>
                  <w:r>
                    <w:rPr>
                      <w:rFonts w:ascii="Times New Roman" w:hAnsi="Times New Roman" w:eastAsia="宋体" w:cs="Times New Roman"/>
                      <w:szCs w:val="20"/>
                    </w:rPr>
                    <w:t>钢</w:t>
                  </w:r>
                </w:p>
              </w:tc>
              <w:tc>
                <w:tcPr>
                  <w:tcW w:w="1133" w:type="pct"/>
                  <w:shd w:val="clear" w:color="auto" w:fill="auto"/>
                  <w:vAlign w:val="center"/>
                </w:tcPr>
                <w:p>
                  <w:pPr>
                    <w:jc w:val="center"/>
                    <w:rPr>
                      <w:rFonts w:ascii="Times New Roman" w:hAnsi="Times New Roman" w:eastAsia="宋体" w:cs="Times New Roman"/>
                      <w:szCs w:val="20"/>
                    </w:rPr>
                  </w:pPr>
                  <w:r>
                    <w:rPr>
                      <w:rFonts w:ascii="Times New Roman" w:hAnsi="Times New Roman" w:eastAsia="宋体" w:cs="Times New Roman"/>
                      <w:szCs w:val="20"/>
                    </w:rPr>
                    <w:t>4.1</w:t>
                  </w:r>
                </w:p>
              </w:tc>
              <w:tc>
                <w:tcPr>
                  <w:tcW w:w="837"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吨</w:t>
                  </w:r>
                </w:p>
              </w:tc>
              <w:tc>
                <w:tcPr>
                  <w:tcW w:w="837"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外购，车运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486" w:type="pct"/>
                  <w:vMerge w:val="continue"/>
                  <w:vAlign w:val="center"/>
                </w:tcPr>
                <w:p>
                  <w:pPr>
                    <w:jc w:val="center"/>
                    <w:rPr>
                      <w:rFonts w:ascii="Times New Roman" w:hAnsi="Times New Roman" w:eastAsia="宋体" w:cs="Times New Roman"/>
                      <w:szCs w:val="21"/>
                    </w:rPr>
                  </w:pPr>
                </w:p>
              </w:tc>
              <w:tc>
                <w:tcPr>
                  <w:tcW w:w="908"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水润性切削液</w:t>
                  </w:r>
                </w:p>
              </w:tc>
              <w:tc>
                <w:tcPr>
                  <w:tcW w:w="798" w:type="pct"/>
                  <w:vAlign w:val="center"/>
                </w:tcPr>
                <w:p>
                  <w:pPr>
                    <w:jc w:val="center"/>
                    <w:rPr>
                      <w:rFonts w:ascii="Times New Roman" w:hAnsi="Times New Roman" w:eastAsia="宋体" w:cs="Times New Roman"/>
                      <w:szCs w:val="20"/>
                    </w:rPr>
                  </w:pPr>
                  <w:r>
                    <w:rPr>
                      <w:rFonts w:ascii="Times New Roman" w:hAnsi="Times New Roman" w:eastAsia="宋体" w:cs="Times New Roman"/>
                      <w:szCs w:val="20"/>
                    </w:rPr>
                    <w:t>180kg/桶</w:t>
                  </w:r>
                </w:p>
              </w:tc>
              <w:tc>
                <w:tcPr>
                  <w:tcW w:w="1133" w:type="pct"/>
                  <w:shd w:val="clear" w:color="auto" w:fill="auto"/>
                  <w:vAlign w:val="center"/>
                </w:tcPr>
                <w:p>
                  <w:pPr>
                    <w:jc w:val="center"/>
                    <w:rPr>
                      <w:rFonts w:ascii="Times New Roman" w:hAnsi="Times New Roman" w:eastAsia="宋体" w:cs="Times New Roman"/>
                      <w:szCs w:val="20"/>
                    </w:rPr>
                  </w:pPr>
                  <w:r>
                    <w:rPr>
                      <w:rFonts w:ascii="Times New Roman" w:hAnsi="Times New Roman" w:eastAsia="宋体" w:cs="Times New Roman"/>
                      <w:szCs w:val="20"/>
                    </w:rPr>
                    <w:t>0.18</w:t>
                  </w:r>
                </w:p>
              </w:tc>
              <w:tc>
                <w:tcPr>
                  <w:tcW w:w="837"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吨</w:t>
                  </w:r>
                </w:p>
              </w:tc>
              <w:tc>
                <w:tcPr>
                  <w:tcW w:w="837"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外购，车运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486" w:type="pct"/>
                  <w:vMerge w:val="continue"/>
                  <w:vAlign w:val="center"/>
                </w:tcPr>
                <w:p>
                  <w:pPr>
                    <w:jc w:val="center"/>
                    <w:rPr>
                      <w:rFonts w:ascii="Times New Roman" w:hAnsi="Times New Roman" w:eastAsia="宋体" w:cs="Times New Roman"/>
                      <w:szCs w:val="21"/>
                    </w:rPr>
                  </w:pPr>
                </w:p>
              </w:tc>
              <w:tc>
                <w:tcPr>
                  <w:tcW w:w="908"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导轨润滑油</w:t>
                  </w:r>
                </w:p>
              </w:tc>
              <w:tc>
                <w:tcPr>
                  <w:tcW w:w="798" w:type="pct"/>
                  <w:vAlign w:val="center"/>
                </w:tcPr>
                <w:p>
                  <w:pPr>
                    <w:jc w:val="center"/>
                    <w:rPr>
                      <w:rFonts w:ascii="Times New Roman" w:hAnsi="Times New Roman" w:eastAsia="宋体" w:cs="Times New Roman"/>
                      <w:szCs w:val="20"/>
                    </w:rPr>
                  </w:pPr>
                  <w:r>
                    <w:rPr>
                      <w:rFonts w:ascii="Times New Roman" w:hAnsi="Times New Roman" w:eastAsia="宋体" w:cs="Times New Roman"/>
                      <w:szCs w:val="20"/>
                    </w:rPr>
                    <w:t>170kg/桶</w:t>
                  </w:r>
                </w:p>
              </w:tc>
              <w:tc>
                <w:tcPr>
                  <w:tcW w:w="1133" w:type="pct"/>
                  <w:shd w:val="clear" w:color="auto" w:fill="auto"/>
                  <w:vAlign w:val="center"/>
                </w:tcPr>
                <w:p>
                  <w:pPr>
                    <w:jc w:val="center"/>
                    <w:rPr>
                      <w:rFonts w:ascii="Times New Roman" w:hAnsi="Times New Roman" w:eastAsia="宋体" w:cs="Times New Roman"/>
                      <w:szCs w:val="20"/>
                    </w:rPr>
                  </w:pPr>
                  <w:r>
                    <w:rPr>
                      <w:rFonts w:ascii="Times New Roman" w:hAnsi="Times New Roman" w:eastAsia="宋体" w:cs="Times New Roman"/>
                      <w:szCs w:val="20"/>
                    </w:rPr>
                    <w:t>0.17</w:t>
                  </w:r>
                </w:p>
              </w:tc>
              <w:tc>
                <w:tcPr>
                  <w:tcW w:w="837"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吨</w:t>
                  </w:r>
                </w:p>
              </w:tc>
              <w:tc>
                <w:tcPr>
                  <w:tcW w:w="837"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外购，车运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2" w:hRule="atLeast"/>
              </w:trPr>
              <w:tc>
                <w:tcPr>
                  <w:tcW w:w="486" w:type="pct"/>
                  <w:vMerge w:val="continue"/>
                  <w:vAlign w:val="center"/>
                </w:tcPr>
                <w:p>
                  <w:pPr>
                    <w:jc w:val="center"/>
                    <w:rPr>
                      <w:rFonts w:ascii="Times New Roman" w:hAnsi="Times New Roman" w:eastAsia="宋体" w:cs="Times New Roman"/>
                      <w:szCs w:val="21"/>
                    </w:rPr>
                  </w:pPr>
                </w:p>
              </w:tc>
              <w:tc>
                <w:tcPr>
                  <w:tcW w:w="908"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黑胶</w:t>
                  </w:r>
                </w:p>
              </w:tc>
              <w:tc>
                <w:tcPr>
                  <w:tcW w:w="798" w:type="pct"/>
                  <w:vAlign w:val="center"/>
                </w:tcPr>
                <w:p>
                  <w:pPr>
                    <w:jc w:val="center"/>
                    <w:rPr>
                      <w:rFonts w:ascii="Times New Roman" w:hAnsi="Times New Roman" w:eastAsia="宋体" w:cs="Times New Roman"/>
                      <w:szCs w:val="20"/>
                    </w:rPr>
                  </w:pPr>
                  <w:r>
                    <w:rPr>
                      <w:rFonts w:ascii="Times New Roman" w:hAnsi="Times New Roman" w:eastAsia="宋体" w:cs="Times New Roman"/>
                      <w:szCs w:val="20"/>
                    </w:rPr>
                    <w:t>600ml/瓶</w:t>
                  </w:r>
                </w:p>
              </w:tc>
              <w:tc>
                <w:tcPr>
                  <w:tcW w:w="1133" w:type="pct"/>
                  <w:shd w:val="clear" w:color="auto" w:fill="auto"/>
                  <w:vAlign w:val="center"/>
                </w:tcPr>
                <w:p>
                  <w:pPr>
                    <w:jc w:val="center"/>
                    <w:rPr>
                      <w:rFonts w:ascii="Times New Roman" w:hAnsi="Times New Roman" w:eastAsia="宋体" w:cs="Times New Roman"/>
                      <w:szCs w:val="20"/>
                    </w:rPr>
                  </w:pPr>
                  <w:r>
                    <w:rPr>
                      <w:rFonts w:ascii="Times New Roman" w:hAnsi="Times New Roman" w:eastAsia="宋体" w:cs="Times New Roman"/>
                      <w:szCs w:val="20"/>
                    </w:rPr>
                    <w:t>12</w:t>
                  </w:r>
                </w:p>
              </w:tc>
              <w:tc>
                <w:tcPr>
                  <w:tcW w:w="837"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升</w:t>
                  </w:r>
                </w:p>
              </w:tc>
              <w:tc>
                <w:tcPr>
                  <w:tcW w:w="837"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外购，车运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486" w:type="pct"/>
                  <w:vMerge w:val="continue"/>
                  <w:vAlign w:val="center"/>
                </w:tcPr>
                <w:p>
                  <w:pPr>
                    <w:jc w:val="center"/>
                    <w:rPr>
                      <w:rFonts w:ascii="Times New Roman" w:hAnsi="Times New Roman" w:eastAsia="宋体" w:cs="Times New Roman"/>
                      <w:szCs w:val="21"/>
                    </w:rPr>
                  </w:pPr>
                </w:p>
              </w:tc>
              <w:tc>
                <w:tcPr>
                  <w:tcW w:w="908" w:type="pct"/>
                  <w:shd w:val="clear" w:color="auto" w:fill="auto"/>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焊丝</w:t>
                  </w:r>
                </w:p>
              </w:tc>
              <w:tc>
                <w:tcPr>
                  <w:tcW w:w="798" w:type="pct"/>
                  <w:shd w:val="clear" w:color="auto" w:fill="auto"/>
                  <w:vAlign w:val="center"/>
                </w:tcPr>
                <w:p>
                  <w:pPr>
                    <w:jc w:val="center"/>
                    <w:rPr>
                      <w:rFonts w:ascii="Times New Roman" w:hAnsi="Times New Roman" w:eastAsia="宋体" w:cs="Times New Roman"/>
                      <w:szCs w:val="20"/>
                    </w:rPr>
                  </w:pPr>
                  <w:r>
                    <w:rPr>
                      <w:rFonts w:ascii="Times New Roman" w:hAnsi="Times New Roman" w:eastAsia="宋体" w:cs="Times New Roman"/>
                      <w:szCs w:val="20"/>
                    </w:rPr>
                    <w:t>/</w:t>
                  </w:r>
                </w:p>
              </w:tc>
              <w:tc>
                <w:tcPr>
                  <w:tcW w:w="1133" w:type="pct"/>
                  <w:shd w:val="clear" w:color="auto" w:fill="auto"/>
                  <w:vAlign w:val="center"/>
                </w:tcPr>
                <w:p>
                  <w:pPr>
                    <w:jc w:val="center"/>
                    <w:rPr>
                      <w:rFonts w:ascii="Times New Roman" w:hAnsi="Times New Roman" w:eastAsia="宋体" w:cs="Times New Roman"/>
                      <w:szCs w:val="20"/>
                    </w:rPr>
                  </w:pPr>
                  <w:r>
                    <w:rPr>
                      <w:rFonts w:ascii="Times New Roman" w:hAnsi="Times New Roman" w:eastAsia="宋体" w:cs="Times New Roman"/>
                      <w:szCs w:val="20"/>
                    </w:rPr>
                    <w:t>0.2</w:t>
                  </w:r>
                </w:p>
              </w:tc>
              <w:tc>
                <w:tcPr>
                  <w:tcW w:w="837" w:type="pct"/>
                  <w:vAlign w:val="center"/>
                </w:tcPr>
                <w:p>
                  <w:pPr>
                    <w:jc w:val="center"/>
                    <w:rPr>
                      <w:rFonts w:ascii="Times New Roman" w:hAnsi="Times New Roman" w:eastAsia="宋体" w:cs="Times New Roman"/>
                      <w:szCs w:val="20"/>
                    </w:rPr>
                  </w:pPr>
                  <w:r>
                    <w:rPr>
                      <w:rFonts w:ascii="Times New Roman" w:hAnsi="Times New Roman" w:eastAsia="宋体" w:cs="Times New Roman"/>
                      <w:szCs w:val="20"/>
                    </w:rPr>
                    <w:t>吨</w:t>
                  </w:r>
                </w:p>
              </w:tc>
              <w:tc>
                <w:tcPr>
                  <w:tcW w:w="837" w:type="pct"/>
                  <w:shd w:val="clear" w:color="auto" w:fill="auto"/>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外购，车运</w:t>
                  </w:r>
                </w:p>
              </w:tc>
            </w:tr>
          </w:tbl>
          <w:p>
            <w:pPr>
              <w:spacing w:line="360" w:lineRule="auto"/>
              <w:jc w:val="center"/>
              <w:rPr>
                <w:rFonts w:ascii="Times New Roman" w:hAnsi="Times New Roman" w:eastAsia="宋体" w:cs="Times New Roman"/>
                <w:b/>
                <w:szCs w:val="21"/>
              </w:rPr>
            </w:pPr>
            <w:r>
              <w:rPr>
                <w:rFonts w:ascii="Times New Roman" w:hAnsi="Times New Roman" w:eastAsia="宋体" w:cs="Times New Roman"/>
                <w:b/>
                <w:szCs w:val="21"/>
              </w:rPr>
              <w:t>表1-2 主要原辅材料理化性质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9"/>
              <w:gridCol w:w="3260"/>
              <w:gridCol w:w="39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119"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3260"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重要组份、规格、指标</w:t>
                  </w:r>
                </w:p>
              </w:tc>
              <w:tc>
                <w:tcPr>
                  <w:tcW w:w="3917"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理化特性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0" w:hRule="atLeast"/>
                <w:jc w:val="center"/>
              </w:trPr>
              <w:tc>
                <w:tcPr>
                  <w:tcW w:w="1119" w:type="dxa"/>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切削液C260</w:t>
                  </w:r>
                </w:p>
              </w:tc>
              <w:tc>
                <w:tcPr>
                  <w:tcW w:w="3260" w:type="dxa"/>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混合物乳化液</w:t>
                  </w:r>
                </w:p>
              </w:tc>
              <w:tc>
                <w:tcPr>
                  <w:tcW w:w="3917" w:type="dxa"/>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外观：无色或红色液体 气味：轻微 相对密度：1.05PH值：9.0 水中易溶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1119" w:type="dxa"/>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润滑油</w:t>
                  </w:r>
                </w:p>
              </w:tc>
              <w:tc>
                <w:tcPr>
                  <w:tcW w:w="3260" w:type="dxa"/>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高度精炼矿物油及添加剂</w:t>
                  </w:r>
                </w:p>
              </w:tc>
              <w:tc>
                <w:tcPr>
                  <w:tcW w:w="3917" w:type="dxa"/>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澄清液体，弱烃气味，沸点280℃，闪点230℃，自燃温度＞320℃，密度0.879。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19" w:type="dxa"/>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黑胶</w:t>
                  </w:r>
                </w:p>
              </w:tc>
              <w:tc>
                <w:tcPr>
                  <w:tcW w:w="3260" w:type="dxa"/>
                  <w:vAlign w:val="center"/>
                </w:tcPr>
                <w:p>
                  <w:pPr>
                    <w:jc w:val="center"/>
                    <w:rPr>
                      <w:rFonts w:ascii="Times New Roman" w:hAnsi="Times New Roman" w:eastAsia="Times New Roman" w:cs="Times New Roman"/>
                      <w:szCs w:val="21"/>
                    </w:rPr>
                  </w:pPr>
                  <w:r>
                    <w:rPr>
                      <w:rFonts w:ascii="Times New Roman" w:hAnsi="Times New Roman" w:cs="Times New Roman"/>
                      <w:szCs w:val="21"/>
                    </w:rPr>
                    <w:t>聚氨酯预聚体30-50%填料30-50增塑剂10-20%其他助剂1-5%</w:t>
                  </w:r>
                </w:p>
              </w:tc>
              <w:tc>
                <w:tcPr>
                  <w:tcW w:w="3917" w:type="dxa"/>
                  <w:vAlign w:val="center"/>
                </w:tcPr>
                <w:p>
                  <w:pPr>
                    <w:jc w:val="center"/>
                    <w:rPr>
                      <w:rFonts w:ascii="Times New Roman" w:hAnsi="Times New Roman" w:eastAsia="Times New Roman" w:cs="Times New Roman"/>
                      <w:szCs w:val="21"/>
                    </w:rPr>
                  </w:pPr>
                  <w:r>
                    <w:rPr>
                      <w:rFonts w:ascii="Times New Roman" w:hAnsi="Times New Roman" w:cs="Times New Roman"/>
                      <w:szCs w:val="21"/>
                    </w:rPr>
                    <w:t>液体，糊状物，闪点65℃</w:t>
                  </w:r>
                </w:p>
              </w:tc>
            </w:tr>
          </w:tbl>
          <w:p>
            <w:pPr>
              <w:spacing w:line="360" w:lineRule="auto"/>
              <w:jc w:val="center"/>
              <w:rPr>
                <w:rFonts w:ascii="Times New Roman" w:hAnsi="Times New Roman" w:eastAsia="宋体" w:cs="Times New Roman"/>
                <w:b/>
                <w:szCs w:val="21"/>
              </w:rPr>
            </w:pPr>
            <w:r>
              <w:rPr>
                <w:rFonts w:ascii="Times New Roman" w:hAnsi="Times New Roman" w:eastAsia="宋体" w:cs="Times New Roman"/>
                <w:b/>
                <w:szCs w:val="21"/>
              </w:rPr>
              <w:t>表1-3 建设项目主要设备一览表    单位：台/套</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9"/>
              <w:gridCol w:w="2630"/>
              <w:gridCol w:w="2375"/>
              <w:gridCol w:w="20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69" w:type="pct"/>
                </w:tcPr>
                <w:p>
                  <w:pPr>
                    <w:jc w:val="center"/>
                    <w:rPr>
                      <w:rFonts w:ascii="Times New Roman" w:hAnsi="Times New Roman" w:eastAsia="宋体" w:cs="Times New Roman"/>
                      <w:b/>
                      <w:szCs w:val="21"/>
                    </w:rPr>
                  </w:pPr>
                  <w:r>
                    <w:rPr>
                      <w:rFonts w:ascii="Times New Roman" w:hAnsi="Times New Roman" w:eastAsia="宋体" w:cs="Times New Roman"/>
                      <w:b/>
                      <w:szCs w:val="21"/>
                    </w:rPr>
                    <w:t>序号</w:t>
                  </w:r>
                </w:p>
              </w:tc>
              <w:tc>
                <w:tcPr>
                  <w:tcW w:w="1545"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设备名称</w:t>
                  </w:r>
                </w:p>
              </w:tc>
              <w:tc>
                <w:tcPr>
                  <w:tcW w:w="1395"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规格</w:t>
                  </w:r>
                </w:p>
              </w:tc>
              <w:tc>
                <w:tcPr>
                  <w:tcW w:w="1191" w:type="pct"/>
                  <w:vAlign w:val="center"/>
                </w:tcPr>
                <w:p>
                  <w:pPr>
                    <w:jc w:val="center"/>
                    <w:rPr>
                      <w:rFonts w:ascii="Times New Roman" w:hAnsi="Times New Roman" w:eastAsia="Times New Roman" w:cs="Times New Roman"/>
                      <w:b/>
                      <w:szCs w:val="21"/>
                    </w:rPr>
                  </w:pPr>
                  <w:r>
                    <w:rPr>
                      <w:rFonts w:ascii="Times New Roman" w:hAnsi="Times New Roman" w:eastAsia="宋体" w:cs="Times New Roman"/>
                      <w:b/>
                      <w:szCs w:val="21"/>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CNC加工中心</w:t>
                  </w:r>
                </w:p>
              </w:tc>
              <w:tc>
                <w:tcPr>
                  <w:tcW w:w="1395" w:type="pct"/>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2</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数控机床</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3</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稳压器配电箱</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4</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冲床</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5</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带锯床</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6</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机床</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7</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螺杆机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8</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轮廓测量仪</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9</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电脑（测量仪配套）</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10</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综合加工机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11</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震动机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12</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综合加工机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13</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铆钉机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14</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3D测量</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15</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台钻</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16</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手动液压车</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17</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空压机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18</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铣刀研磨机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19</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冷干机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20</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铝切机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21</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粗糙度仪</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22</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激光标刻机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23</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气动拉铆枪</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24</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攻丝机</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西湖牌</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25</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台钻</w:t>
                  </w:r>
                </w:p>
              </w:tc>
              <w:tc>
                <w:tcPr>
                  <w:tcW w:w="1395" w:type="pct"/>
                  <w:vAlign w:val="center"/>
                </w:tcPr>
                <w:p>
                  <w:pPr>
                    <w:jc w:val="center"/>
                    <w:rPr>
                      <w:rFonts w:ascii="Times New Roman" w:hAnsi="Times New Roman" w:eastAsia="Times New Roman" w:cs="Times New Roman"/>
                      <w:szCs w:val="20"/>
                    </w:rPr>
                  </w:pPr>
                  <w:r>
                    <w:rPr>
                      <w:rFonts w:ascii="Times New Roman" w:hAnsi="Times New Roman" w:eastAsia="宋体" w:cs="Times New Roman"/>
                      <w:bCs/>
                      <w:kern w:val="0"/>
                      <w:szCs w:val="21"/>
                    </w:rPr>
                    <w:t>西湖牌</w:t>
                  </w:r>
                </w:p>
              </w:tc>
              <w:tc>
                <w:tcPr>
                  <w:tcW w:w="1191"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9" w:type="pct"/>
                  <w:tcBorders>
                    <w:top w:val="single" w:color="000000" w:sz="4" w:space="0"/>
                    <w:left w:val="single" w:color="000000" w:sz="4" w:space="0"/>
                    <w:bottom w:val="single" w:color="000000" w:sz="4" w:space="0"/>
                    <w:right w:val="single" w:color="000000" w:sz="4" w:space="0"/>
                  </w:tcBorders>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26</w:t>
                  </w:r>
                </w:p>
              </w:tc>
              <w:tc>
                <w:tcPr>
                  <w:tcW w:w="1545" w:type="pct"/>
                  <w:tcBorders>
                    <w:top w:val="single" w:color="000000" w:sz="4" w:space="0"/>
                    <w:left w:val="single" w:color="000000" w:sz="4" w:space="0"/>
                    <w:bottom w:val="single" w:color="000000" w:sz="4" w:space="0"/>
                    <w:right w:val="single" w:color="000000" w:sz="4" w:space="0"/>
                  </w:tcBorders>
                  <w:vAlign w:val="center"/>
                </w:tcPr>
                <w:p>
                  <w:pPr>
                    <w:spacing w:line="240" w:lineRule="exact"/>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焊接机</w:t>
                  </w:r>
                </w:p>
              </w:tc>
              <w:tc>
                <w:tcPr>
                  <w:tcW w:w="1395" w:type="pct"/>
                  <w:vAlign w:val="center"/>
                </w:tcPr>
                <w:p>
                  <w:pPr>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w:t>
                  </w:r>
                </w:p>
              </w:tc>
              <w:tc>
                <w:tcPr>
                  <w:tcW w:w="1191" w:type="pct"/>
                  <w:vAlign w:val="center"/>
                </w:tcPr>
                <w:p>
                  <w:pPr>
                    <w:jc w:val="center"/>
                    <w:rPr>
                      <w:rFonts w:ascii="Times New Roman" w:hAnsi="Times New Roman" w:cs="Times New Roman"/>
                      <w:szCs w:val="20"/>
                    </w:rPr>
                  </w:pPr>
                  <w:r>
                    <w:rPr>
                      <w:rFonts w:ascii="Times New Roman" w:hAnsi="Times New Roman" w:cs="Times New Roman"/>
                      <w:szCs w:val="20"/>
                    </w:rPr>
                    <w:t>2</w:t>
                  </w:r>
                </w:p>
              </w:tc>
            </w:tr>
          </w:tbl>
          <w:p>
            <w:pPr>
              <w:spacing w:line="360" w:lineRule="auto"/>
              <w:rPr>
                <w:rFonts w:ascii="Times New Roman" w:hAnsi="Times New Roman" w:eastAsia="宋体" w:cs="Times New Roman"/>
                <w:b/>
                <w:sz w:val="24"/>
                <w:szCs w:val="24"/>
              </w:rPr>
            </w:pPr>
          </w:p>
          <w:p>
            <w:pPr>
              <w:spacing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1．项目由来</w:t>
            </w:r>
          </w:p>
          <w:p>
            <w:pPr>
              <w:adjustRightInd w:val="0"/>
              <w:snapToGrid w:val="0"/>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太仓东泰精密机械有限公司成立于2012年7月，位于太仓高新区宣东公路8号1幢，企业在成立后至今未进行生产，现因业务发展需要，太仓东泰精密机械有限公司拟投资200万元人民币，在租赁厂房购买设备进行加工生产，项目建成后年产拓展机构1920套、升降床106套、升顶61套、大拓展8套、抽拉机构支腿122套、卡子11501PCS、半圆片5132PCS。</w:t>
            </w:r>
          </w:p>
          <w:p>
            <w:pPr>
              <w:adjustRightInd w:val="0"/>
              <w:snapToGrid w:val="0"/>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为进一步做好该项目的环境保护工作，科学客观地评价项目运营对周围环境的影响，依据《中华人民共和国环境影响评价法》和《建设项目环境保护管理条例》（中华人民共和国国务院令第 682 号）及《建设项目环境影响评价分类管理名录》（ 2017 年）中“二十三、通用设备制造业”中“69、通用设备制造及维修”中“其他”，应编制环境影响报告表，为此，太仓东泰精密机械有限公司委托我单位承担项目环境影响评价报告表编制工作。我单位在现场踏勘和资料收集的基础上，根据环评技术导则及相关文件，并征求了当地环保行政主管部门的意见，编制了该项目的环境影响报告表，报请环保主管部门审批，以期为项目实施和环境管理提供科学依据。</w:t>
            </w:r>
          </w:p>
          <w:p>
            <w:pPr>
              <w:spacing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2.项目概况</w:t>
            </w:r>
          </w:p>
          <w:p>
            <w:pPr>
              <w:adjustRightInd w:val="0"/>
              <w:snapToGrid w:val="0"/>
              <w:spacing w:line="360" w:lineRule="auto"/>
              <w:ind w:left="240" w:right="113"/>
              <w:rPr>
                <w:rFonts w:ascii="Times New Roman" w:hAnsi="Times New Roman" w:eastAsia="宋体" w:cs="Times New Roman"/>
                <w:sz w:val="24"/>
                <w:szCs w:val="20"/>
              </w:rPr>
            </w:pPr>
            <w:r>
              <w:rPr>
                <w:rFonts w:ascii="Times New Roman" w:hAnsi="Times New Roman" w:eastAsia="宋体" w:cs="Times New Roman"/>
                <w:sz w:val="24"/>
                <w:szCs w:val="20"/>
              </w:rPr>
              <w:t>（1）项目名称：太仓东泰精密机械有限公司新建升降床等专用设备项目</w:t>
            </w:r>
            <w:r>
              <w:rPr>
                <w:rFonts w:ascii="Times New Roman" w:hAnsi="Times New Roman" w:eastAsia="宋体" w:cs="Times New Roman"/>
                <w:sz w:val="24"/>
                <w:szCs w:val="24"/>
              </w:rPr>
              <w:t>；</w:t>
            </w:r>
          </w:p>
          <w:p>
            <w:pPr>
              <w:adjustRightInd w:val="0"/>
              <w:snapToGrid w:val="0"/>
              <w:spacing w:line="360" w:lineRule="auto"/>
              <w:ind w:left="240" w:right="113"/>
              <w:rPr>
                <w:rFonts w:ascii="Times New Roman" w:hAnsi="Times New Roman" w:eastAsia="宋体" w:cs="Times New Roman"/>
                <w:sz w:val="24"/>
                <w:szCs w:val="20"/>
              </w:rPr>
            </w:pPr>
            <w:r>
              <w:rPr>
                <w:rFonts w:ascii="Times New Roman" w:hAnsi="Times New Roman" w:eastAsia="宋体" w:cs="Times New Roman"/>
                <w:sz w:val="24"/>
                <w:szCs w:val="20"/>
              </w:rPr>
              <w:t>（2）建设单位：太仓东泰精密机械有限公司；</w:t>
            </w:r>
          </w:p>
          <w:p>
            <w:pPr>
              <w:adjustRightInd w:val="0"/>
              <w:snapToGrid w:val="0"/>
              <w:spacing w:line="360" w:lineRule="auto"/>
              <w:ind w:left="240" w:right="113"/>
              <w:rPr>
                <w:rFonts w:ascii="Times New Roman" w:hAnsi="Times New Roman" w:eastAsia="宋体" w:cs="Times New Roman"/>
                <w:sz w:val="24"/>
                <w:szCs w:val="20"/>
              </w:rPr>
            </w:pPr>
            <w:r>
              <w:rPr>
                <w:rFonts w:ascii="Times New Roman" w:hAnsi="Times New Roman" w:eastAsia="宋体" w:cs="Times New Roman"/>
                <w:sz w:val="24"/>
                <w:szCs w:val="20"/>
              </w:rPr>
              <w:t>（3）建设地点：</w:t>
            </w:r>
            <w:r>
              <w:rPr>
                <w:rFonts w:ascii="Times New Roman" w:hAnsi="Times New Roman" w:eastAsia="宋体" w:cs="Times New Roman"/>
                <w:sz w:val="24"/>
                <w:szCs w:val="24"/>
              </w:rPr>
              <w:t>太仓高新区宣东公路8号1幢</w:t>
            </w:r>
            <w:r>
              <w:rPr>
                <w:rFonts w:ascii="Times New Roman" w:hAnsi="Times New Roman" w:eastAsia="宋体" w:cs="Times New Roman"/>
                <w:sz w:val="24"/>
                <w:szCs w:val="20"/>
              </w:rPr>
              <w:t>；</w:t>
            </w:r>
          </w:p>
          <w:p>
            <w:pPr>
              <w:adjustRightInd w:val="0"/>
              <w:snapToGrid w:val="0"/>
              <w:spacing w:line="360" w:lineRule="auto"/>
              <w:ind w:left="240" w:right="113"/>
              <w:rPr>
                <w:rFonts w:ascii="Times New Roman" w:hAnsi="Times New Roman" w:eastAsia="宋体" w:cs="Times New Roman"/>
                <w:sz w:val="24"/>
                <w:szCs w:val="20"/>
              </w:rPr>
            </w:pPr>
            <w:r>
              <w:rPr>
                <w:rFonts w:ascii="Times New Roman" w:hAnsi="Times New Roman" w:eastAsia="宋体" w:cs="Times New Roman"/>
                <w:sz w:val="24"/>
                <w:szCs w:val="20"/>
              </w:rPr>
              <w:t>（4）建设性质：新建项目；</w:t>
            </w:r>
          </w:p>
          <w:p>
            <w:pPr>
              <w:adjustRightInd w:val="0"/>
              <w:snapToGrid w:val="0"/>
              <w:spacing w:line="360" w:lineRule="auto"/>
              <w:ind w:right="113" w:firstLine="271" w:firstLineChars="113"/>
              <w:rPr>
                <w:rFonts w:ascii="Times New Roman" w:hAnsi="Times New Roman" w:eastAsia="宋体" w:cs="Times New Roman"/>
                <w:sz w:val="24"/>
                <w:szCs w:val="20"/>
              </w:rPr>
            </w:pPr>
            <w:r>
              <w:rPr>
                <w:rFonts w:ascii="Times New Roman" w:hAnsi="Times New Roman" w:eastAsia="宋体" w:cs="Times New Roman"/>
                <w:sz w:val="24"/>
                <w:szCs w:val="20"/>
              </w:rPr>
              <w:t>（5）总投资和环保投资情况：本项目总投资为</w:t>
            </w:r>
            <w:r>
              <w:rPr>
                <w:rFonts w:ascii="Times New Roman" w:hAnsi="Times New Roman" w:eastAsia="宋体" w:cs="Times New Roman"/>
                <w:sz w:val="24"/>
                <w:szCs w:val="24"/>
              </w:rPr>
              <w:t>200万元</w:t>
            </w:r>
            <w:r>
              <w:rPr>
                <w:rFonts w:ascii="Times New Roman" w:hAnsi="Times New Roman" w:eastAsia="宋体" w:cs="Times New Roman"/>
                <w:sz w:val="24"/>
                <w:szCs w:val="20"/>
              </w:rPr>
              <w:t>，环保投资为10万元，环保投资占总投资比例5%；</w:t>
            </w:r>
          </w:p>
          <w:p>
            <w:pPr>
              <w:spacing w:line="360" w:lineRule="auto"/>
              <w:ind w:firstLine="271" w:firstLineChars="113"/>
              <w:rPr>
                <w:rFonts w:ascii="Times New Roman" w:hAnsi="Times New Roman" w:eastAsia="宋体" w:cs="Times New Roman"/>
                <w:sz w:val="24"/>
                <w:szCs w:val="20"/>
              </w:rPr>
            </w:pPr>
            <w:r>
              <w:rPr>
                <w:rFonts w:ascii="Times New Roman" w:hAnsi="Times New Roman" w:eastAsia="宋体" w:cs="Times New Roman"/>
                <w:sz w:val="24"/>
                <w:szCs w:val="20"/>
              </w:rPr>
              <w:t>（6）经营范围：生产、加工、销售精密机械设备及配件、模具、五金件、金属制品、汽车配件；经销金属材料、机电产品、塑料制品、电动工具；自营和代理各类商品及技术的进出口业务（国家限定企业经营或禁止进出口的商品和技术除外）；信息技术咨询服务。</w:t>
            </w:r>
          </w:p>
          <w:p>
            <w:pPr>
              <w:spacing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3．产品方案</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0"/>
              </w:rPr>
              <w:t>本项目</w:t>
            </w:r>
            <w:r>
              <w:rPr>
                <w:rFonts w:ascii="Times New Roman" w:hAnsi="Times New Roman" w:eastAsia="宋体" w:cs="Times New Roman"/>
                <w:sz w:val="24"/>
                <w:szCs w:val="24"/>
              </w:rPr>
              <w:t xml:space="preserve">方案见表1-4。  </w:t>
            </w:r>
          </w:p>
          <w:p>
            <w:pPr>
              <w:jc w:val="center"/>
              <w:rPr>
                <w:rFonts w:ascii="Times New Roman" w:hAnsi="Times New Roman" w:eastAsia="宋体" w:cs="Times New Roman"/>
                <w:b/>
                <w:bCs/>
                <w:szCs w:val="21"/>
              </w:rPr>
            </w:pPr>
          </w:p>
          <w:p>
            <w:pPr>
              <w:jc w:val="center"/>
              <w:rPr>
                <w:rFonts w:ascii="Times New Roman" w:hAnsi="Times New Roman" w:eastAsia="宋体" w:cs="Times New Roman"/>
                <w:b/>
                <w:bCs/>
                <w:szCs w:val="21"/>
              </w:rPr>
            </w:pPr>
          </w:p>
          <w:p>
            <w:pPr>
              <w:jc w:val="center"/>
              <w:rPr>
                <w:rFonts w:ascii="Times New Roman" w:hAnsi="Times New Roman" w:eastAsia="宋体" w:cs="Times New Roman"/>
                <w:b/>
                <w:bCs/>
                <w:szCs w:val="21"/>
              </w:rPr>
            </w:pPr>
          </w:p>
          <w:p>
            <w:pPr>
              <w:jc w:val="center"/>
              <w:rPr>
                <w:rFonts w:ascii="Times New Roman" w:hAnsi="Times New Roman" w:eastAsia="宋体" w:cs="Times New Roman"/>
                <w:b/>
                <w:bCs/>
                <w:szCs w:val="21"/>
              </w:rPr>
            </w:pPr>
            <w:r>
              <w:rPr>
                <w:rFonts w:ascii="Times New Roman" w:hAnsi="Times New Roman" w:eastAsia="宋体" w:cs="Times New Roman"/>
                <w:b/>
                <w:bCs/>
                <w:szCs w:val="21"/>
              </w:rPr>
              <w:t>表1-4  建设项目产品方案</w:t>
            </w:r>
          </w:p>
          <w:tbl>
            <w:tblPr>
              <w:tblStyle w:val="36"/>
              <w:tblpPr w:leftFromText="180" w:rightFromText="180" w:vertAnchor="text" w:horzAnchor="page" w:tblpXSpec="center" w:tblpY="88"/>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9"/>
              <w:gridCol w:w="2623"/>
              <w:gridCol w:w="1471"/>
              <w:gridCol w:w="1103"/>
              <w:gridCol w:w="12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7" w:hRule="atLeast"/>
                <w:jc w:val="center"/>
              </w:trPr>
              <w:tc>
                <w:tcPr>
                  <w:tcW w:w="123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工程名称</w:t>
                  </w:r>
                </w:p>
                <w:p>
                  <w:pPr>
                    <w:jc w:val="center"/>
                    <w:rPr>
                      <w:rFonts w:ascii="Times New Roman" w:hAnsi="Times New Roman" w:eastAsia="宋体" w:cs="Times New Roman"/>
                      <w:szCs w:val="21"/>
                    </w:rPr>
                  </w:pPr>
                  <w:r>
                    <w:rPr>
                      <w:rFonts w:ascii="Times New Roman" w:hAnsi="Times New Roman" w:eastAsia="宋体" w:cs="Times New Roman"/>
                      <w:szCs w:val="21"/>
                    </w:rPr>
                    <w:t>（车间、生产装置、或生产线）</w:t>
                  </w:r>
                </w:p>
              </w:tc>
              <w:tc>
                <w:tcPr>
                  <w:tcW w:w="154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产品名称及规格</w:t>
                  </w:r>
                </w:p>
              </w:tc>
              <w:tc>
                <w:tcPr>
                  <w:tcW w:w="864"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年设计能力</w:t>
                  </w:r>
                </w:p>
              </w:tc>
              <w:tc>
                <w:tcPr>
                  <w:tcW w:w="64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单位</w:t>
                  </w:r>
                </w:p>
              </w:tc>
              <w:tc>
                <w:tcPr>
                  <w:tcW w:w="70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年运行时数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9"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生产车间</w:t>
                  </w:r>
                </w:p>
              </w:tc>
              <w:tc>
                <w:tcPr>
                  <w:tcW w:w="1541"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拓展机构</w:t>
                  </w:r>
                </w:p>
              </w:tc>
              <w:tc>
                <w:tcPr>
                  <w:tcW w:w="864"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1920</w:t>
                  </w:r>
                </w:p>
              </w:tc>
              <w:tc>
                <w:tcPr>
                  <w:tcW w:w="648"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0"/>
                    </w:rPr>
                    <w:t>套</w:t>
                  </w:r>
                </w:p>
              </w:tc>
              <w:tc>
                <w:tcPr>
                  <w:tcW w:w="708"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2000h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9" w:type="pct"/>
                  <w:vMerge w:val="continue"/>
                  <w:vAlign w:val="center"/>
                </w:tcPr>
                <w:p>
                  <w:pPr>
                    <w:jc w:val="center"/>
                    <w:rPr>
                      <w:rFonts w:ascii="Times New Roman" w:hAnsi="Times New Roman" w:eastAsia="Times New Roman" w:cs="Times New Roman"/>
                      <w:szCs w:val="21"/>
                    </w:rPr>
                  </w:pPr>
                </w:p>
              </w:tc>
              <w:tc>
                <w:tcPr>
                  <w:tcW w:w="1541"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升降床</w:t>
                  </w:r>
                </w:p>
              </w:tc>
              <w:tc>
                <w:tcPr>
                  <w:tcW w:w="864"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106</w:t>
                  </w:r>
                </w:p>
              </w:tc>
              <w:tc>
                <w:tcPr>
                  <w:tcW w:w="648"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0"/>
                    </w:rPr>
                    <w:t>套</w:t>
                  </w:r>
                </w:p>
              </w:tc>
              <w:tc>
                <w:tcPr>
                  <w:tcW w:w="708" w:type="pct"/>
                  <w:vMerge w:val="continue"/>
                  <w:vAlign w:val="center"/>
                </w:tcPr>
                <w:p>
                  <w:pPr>
                    <w:jc w:val="center"/>
                    <w:rPr>
                      <w:rFonts w:ascii="Times New Roman" w:hAnsi="Times New Roman" w:eastAsia="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9" w:type="pct"/>
                  <w:vMerge w:val="continue"/>
                  <w:vAlign w:val="center"/>
                </w:tcPr>
                <w:p>
                  <w:pPr>
                    <w:jc w:val="center"/>
                    <w:rPr>
                      <w:rFonts w:ascii="Times New Roman" w:hAnsi="Times New Roman" w:eastAsia="Times New Roman" w:cs="Times New Roman"/>
                      <w:szCs w:val="21"/>
                    </w:rPr>
                  </w:pPr>
                </w:p>
              </w:tc>
              <w:tc>
                <w:tcPr>
                  <w:tcW w:w="1541"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升顶</w:t>
                  </w:r>
                </w:p>
              </w:tc>
              <w:tc>
                <w:tcPr>
                  <w:tcW w:w="864"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61</w:t>
                  </w:r>
                </w:p>
              </w:tc>
              <w:tc>
                <w:tcPr>
                  <w:tcW w:w="648"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0"/>
                    </w:rPr>
                    <w:t>套</w:t>
                  </w:r>
                </w:p>
              </w:tc>
              <w:tc>
                <w:tcPr>
                  <w:tcW w:w="708" w:type="pct"/>
                  <w:vMerge w:val="continue"/>
                  <w:vAlign w:val="center"/>
                </w:tcPr>
                <w:p>
                  <w:pPr>
                    <w:jc w:val="center"/>
                    <w:rPr>
                      <w:rFonts w:ascii="Times New Roman" w:hAnsi="Times New Roman" w:eastAsia="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9" w:type="pct"/>
                  <w:vMerge w:val="continue"/>
                  <w:vAlign w:val="center"/>
                </w:tcPr>
                <w:p>
                  <w:pPr>
                    <w:jc w:val="center"/>
                    <w:rPr>
                      <w:rFonts w:ascii="Times New Roman" w:hAnsi="Times New Roman" w:eastAsia="Times New Roman" w:cs="Times New Roman"/>
                      <w:szCs w:val="21"/>
                    </w:rPr>
                  </w:pPr>
                </w:p>
              </w:tc>
              <w:tc>
                <w:tcPr>
                  <w:tcW w:w="1541"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大拓展</w:t>
                  </w:r>
                </w:p>
              </w:tc>
              <w:tc>
                <w:tcPr>
                  <w:tcW w:w="864"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8</w:t>
                  </w:r>
                </w:p>
              </w:tc>
              <w:tc>
                <w:tcPr>
                  <w:tcW w:w="648"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0"/>
                    </w:rPr>
                    <w:t>套</w:t>
                  </w:r>
                </w:p>
              </w:tc>
              <w:tc>
                <w:tcPr>
                  <w:tcW w:w="708" w:type="pct"/>
                  <w:vMerge w:val="continue"/>
                  <w:vAlign w:val="center"/>
                </w:tcPr>
                <w:p>
                  <w:pPr>
                    <w:jc w:val="center"/>
                    <w:rPr>
                      <w:rFonts w:ascii="Times New Roman" w:hAnsi="Times New Roman" w:eastAsia="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9" w:type="pct"/>
                  <w:vMerge w:val="continue"/>
                  <w:vAlign w:val="center"/>
                </w:tcPr>
                <w:p>
                  <w:pPr>
                    <w:jc w:val="center"/>
                    <w:rPr>
                      <w:rFonts w:ascii="Times New Roman" w:hAnsi="Times New Roman" w:eastAsia="Times New Roman" w:cs="Times New Roman"/>
                      <w:szCs w:val="21"/>
                    </w:rPr>
                  </w:pPr>
                </w:p>
              </w:tc>
              <w:tc>
                <w:tcPr>
                  <w:tcW w:w="1541"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抽拉机构支腿</w:t>
                  </w:r>
                </w:p>
              </w:tc>
              <w:tc>
                <w:tcPr>
                  <w:tcW w:w="864"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122</w:t>
                  </w:r>
                </w:p>
              </w:tc>
              <w:tc>
                <w:tcPr>
                  <w:tcW w:w="648"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0"/>
                    </w:rPr>
                    <w:t>套</w:t>
                  </w:r>
                </w:p>
              </w:tc>
              <w:tc>
                <w:tcPr>
                  <w:tcW w:w="708" w:type="pct"/>
                  <w:vMerge w:val="continue"/>
                  <w:vAlign w:val="center"/>
                </w:tcPr>
                <w:p>
                  <w:pPr>
                    <w:jc w:val="center"/>
                    <w:rPr>
                      <w:rFonts w:ascii="Times New Roman" w:hAnsi="Times New Roman" w:eastAsia="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9" w:type="pct"/>
                  <w:vMerge w:val="continue"/>
                  <w:vAlign w:val="center"/>
                </w:tcPr>
                <w:p>
                  <w:pPr>
                    <w:jc w:val="center"/>
                    <w:rPr>
                      <w:rFonts w:ascii="Times New Roman" w:hAnsi="Times New Roman" w:eastAsia="Times New Roman" w:cs="Times New Roman"/>
                      <w:color w:val="FF0000"/>
                      <w:szCs w:val="21"/>
                    </w:rPr>
                  </w:pPr>
                </w:p>
              </w:tc>
              <w:tc>
                <w:tcPr>
                  <w:tcW w:w="1541"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卡子</w:t>
                  </w:r>
                </w:p>
              </w:tc>
              <w:tc>
                <w:tcPr>
                  <w:tcW w:w="864"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11501</w:t>
                  </w:r>
                </w:p>
              </w:tc>
              <w:tc>
                <w:tcPr>
                  <w:tcW w:w="648" w:type="pct"/>
                  <w:vAlign w:val="center"/>
                </w:tcPr>
                <w:p>
                  <w:pPr>
                    <w:jc w:val="center"/>
                    <w:rPr>
                      <w:rFonts w:ascii="Times New Roman" w:hAnsi="Times New Roman" w:eastAsia="Times New Roman" w:cs="Times New Roman"/>
                      <w:color w:val="FF0000"/>
                      <w:szCs w:val="21"/>
                    </w:rPr>
                  </w:pPr>
                  <w:r>
                    <w:rPr>
                      <w:rFonts w:ascii="Times New Roman" w:hAnsi="Times New Roman" w:eastAsia="Times New Roman" w:cs="Times New Roman"/>
                      <w:szCs w:val="20"/>
                    </w:rPr>
                    <w:t>PCS</w:t>
                  </w:r>
                </w:p>
              </w:tc>
              <w:tc>
                <w:tcPr>
                  <w:tcW w:w="708" w:type="pct"/>
                  <w:vMerge w:val="continue"/>
                  <w:vAlign w:val="center"/>
                </w:tcPr>
                <w:p>
                  <w:pPr>
                    <w:jc w:val="center"/>
                    <w:rPr>
                      <w:rFonts w:ascii="Times New Roman" w:hAnsi="Times New Roman" w:eastAsia="Times New Roman" w:cs="Times New Roman"/>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9" w:type="pct"/>
                  <w:vMerge w:val="continue"/>
                  <w:vAlign w:val="center"/>
                </w:tcPr>
                <w:p>
                  <w:pPr>
                    <w:jc w:val="center"/>
                    <w:rPr>
                      <w:rFonts w:ascii="Times New Roman" w:hAnsi="Times New Roman" w:eastAsia="Times New Roman" w:cs="Times New Roman"/>
                      <w:color w:val="FF0000"/>
                      <w:szCs w:val="21"/>
                    </w:rPr>
                  </w:pPr>
                </w:p>
              </w:tc>
              <w:tc>
                <w:tcPr>
                  <w:tcW w:w="1541"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半圆片</w:t>
                  </w:r>
                </w:p>
              </w:tc>
              <w:tc>
                <w:tcPr>
                  <w:tcW w:w="864" w:type="pct"/>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5132</w:t>
                  </w:r>
                </w:p>
              </w:tc>
              <w:tc>
                <w:tcPr>
                  <w:tcW w:w="648" w:type="pct"/>
                  <w:vAlign w:val="center"/>
                </w:tcPr>
                <w:p>
                  <w:pPr>
                    <w:jc w:val="center"/>
                    <w:rPr>
                      <w:rFonts w:ascii="Times New Roman" w:hAnsi="Times New Roman" w:eastAsia="Times New Roman" w:cs="Times New Roman"/>
                      <w:color w:val="FF0000"/>
                      <w:szCs w:val="21"/>
                    </w:rPr>
                  </w:pPr>
                  <w:r>
                    <w:rPr>
                      <w:rFonts w:ascii="Times New Roman" w:hAnsi="Times New Roman" w:eastAsia="Times New Roman" w:cs="Times New Roman"/>
                      <w:szCs w:val="20"/>
                    </w:rPr>
                    <w:t>PCS</w:t>
                  </w:r>
                </w:p>
              </w:tc>
              <w:tc>
                <w:tcPr>
                  <w:tcW w:w="708" w:type="pct"/>
                  <w:vMerge w:val="continue"/>
                  <w:vAlign w:val="center"/>
                </w:tcPr>
                <w:p>
                  <w:pPr>
                    <w:jc w:val="center"/>
                    <w:rPr>
                      <w:rFonts w:ascii="Times New Roman" w:hAnsi="Times New Roman" w:eastAsia="Times New Roman" w:cs="Times New Roman"/>
                      <w:color w:val="FF0000"/>
                      <w:szCs w:val="21"/>
                    </w:rPr>
                  </w:pPr>
                </w:p>
              </w:tc>
            </w:tr>
          </w:tbl>
          <w:p>
            <w:pPr>
              <w:spacing w:line="360" w:lineRule="auto"/>
              <w:ind w:firstLine="118" w:firstLineChars="49"/>
              <w:rPr>
                <w:rFonts w:ascii="Times New Roman" w:hAnsi="Times New Roman" w:eastAsia="宋体" w:cs="Times New Roman"/>
                <w:b/>
                <w:sz w:val="24"/>
                <w:szCs w:val="24"/>
              </w:rPr>
            </w:pPr>
            <w:r>
              <w:rPr>
                <w:rFonts w:ascii="Times New Roman" w:hAnsi="Times New Roman" w:eastAsia="宋体" w:cs="Times New Roman"/>
                <w:b/>
                <w:sz w:val="24"/>
                <w:szCs w:val="24"/>
              </w:rPr>
              <w:t>4．公用工程</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（1）给排水</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太仓东泰精密机械有限公司用水来自市政自来水管网。项目配置切削液用水3.6t/a。</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厂区排水采用雨污分流制。雨水经雨水管网收集后就近排入水体；项目无生产废水产生和排放，员工生活用水量为800t/a，生活污水排放量为640t/a，依托厂区污水官网。</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（2）供电</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项目年新增用电量为17.5万度，</w:t>
            </w:r>
            <w:r>
              <w:rPr>
                <w:rFonts w:ascii="Times New Roman" w:hAnsi="Times New Roman" w:eastAsia="宋体" w:cs="Times New Roman"/>
                <w:sz w:val="24"/>
                <w:szCs w:val="20"/>
              </w:rPr>
              <w:t>由当地电网供应</w:t>
            </w:r>
            <w:r>
              <w:rPr>
                <w:rFonts w:ascii="Times New Roman" w:hAnsi="Times New Roman" w:eastAsia="宋体" w:cs="Times New Roman"/>
                <w:sz w:val="24"/>
                <w:szCs w:val="24"/>
              </w:rPr>
              <w:t>。</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（3）储运</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项目原料和产品的运输采用汽车运输，在厂区内设置仓库暂存。</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（4）绿化</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项目绿化依托厂房周边现有绿化。</w:t>
            </w:r>
          </w:p>
          <w:p>
            <w:pPr>
              <w:spacing w:line="360" w:lineRule="auto"/>
              <w:ind w:firstLine="495"/>
              <w:rPr>
                <w:rFonts w:ascii="Times New Roman" w:hAnsi="Times New Roman" w:eastAsia="宋体" w:cs="Times New Roman"/>
                <w:sz w:val="24"/>
                <w:szCs w:val="24"/>
              </w:rPr>
            </w:pPr>
            <w:r>
              <w:rPr>
                <w:rFonts w:ascii="Times New Roman" w:hAnsi="Times New Roman" w:eastAsia="宋体" w:cs="Times New Roman"/>
                <w:sz w:val="24"/>
                <w:szCs w:val="24"/>
              </w:rPr>
              <w:t>项目组成表见表1-5。</w:t>
            </w:r>
          </w:p>
          <w:p>
            <w:pPr>
              <w:snapToGrid w:val="0"/>
              <w:jc w:val="center"/>
              <w:rPr>
                <w:rFonts w:ascii="Times New Roman" w:hAnsi="Times New Roman" w:eastAsia="宋体" w:cs="Times New Roman"/>
                <w:b/>
                <w:szCs w:val="21"/>
              </w:rPr>
            </w:pPr>
            <w:r>
              <w:rPr>
                <w:rFonts w:ascii="Times New Roman" w:hAnsi="Times New Roman" w:eastAsia="宋体" w:cs="Times New Roman"/>
                <w:b/>
                <w:szCs w:val="21"/>
              </w:rPr>
              <w:t>表1-5 扩建项目主体、公辅工程组成表</w:t>
            </w:r>
          </w:p>
          <w:tbl>
            <w:tblPr>
              <w:tblStyle w:val="36"/>
              <w:tblW w:w="0" w:type="auto"/>
              <w:jc w:val="center"/>
              <w:tblLayout w:type="autofit"/>
              <w:tblCellMar>
                <w:top w:w="0" w:type="dxa"/>
                <w:left w:w="108" w:type="dxa"/>
                <w:bottom w:w="0" w:type="dxa"/>
                <w:right w:w="108" w:type="dxa"/>
              </w:tblCellMar>
            </w:tblPr>
            <w:tblGrid>
              <w:gridCol w:w="747"/>
              <w:gridCol w:w="640"/>
              <w:gridCol w:w="81"/>
              <w:gridCol w:w="1646"/>
              <w:gridCol w:w="2268"/>
              <w:gridCol w:w="2914"/>
            </w:tblGrid>
            <w:tr>
              <w:tblPrEx>
                <w:tblCellMar>
                  <w:top w:w="0" w:type="dxa"/>
                  <w:left w:w="108" w:type="dxa"/>
                  <w:bottom w:w="0" w:type="dxa"/>
                  <w:right w:w="108" w:type="dxa"/>
                </w:tblCellMar>
              </w:tblPrEx>
              <w:trPr>
                <w:cantSplit/>
                <w:trHeight w:val="450" w:hRule="atLeast"/>
                <w:jc w:val="center"/>
              </w:trPr>
              <w:tc>
                <w:tcPr>
                  <w:tcW w:w="747"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类别</w:t>
                  </w:r>
                </w:p>
              </w:tc>
              <w:tc>
                <w:tcPr>
                  <w:tcW w:w="2367" w:type="dxa"/>
                  <w:gridSpan w:val="3"/>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建设名称</w:t>
                  </w:r>
                </w:p>
              </w:tc>
              <w:tc>
                <w:tcPr>
                  <w:tcW w:w="2268"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设计能力</w:t>
                  </w:r>
                </w:p>
              </w:tc>
              <w:tc>
                <w:tcPr>
                  <w:tcW w:w="2914"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备注</w:t>
                  </w:r>
                </w:p>
              </w:tc>
            </w:tr>
            <w:tr>
              <w:tblPrEx>
                <w:tblCellMar>
                  <w:top w:w="0" w:type="dxa"/>
                  <w:left w:w="108" w:type="dxa"/>
                  <w:bottom w:w="0" w:type="dxa"/>
                  <w:right w:w="108" w:type="dxa"/>
                </w:tblCellMar>
              </w:tblPrEx>
              <w:trPr>
                <w:cantSplit/>
                <w:trHeight w:val="318" w:hRule="atLeast"/>
                <w:jc w:val="center"/>
              </w:trPr>
              <w:tc>
                <w:tcPr>
                  <w:tcW w:w="747"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主体</w:t>
                  </w:r>
                </w:p>
                <w:p>
                  <w:pPr>
                    <w:jc w:val="center"/>
                    <w:rPr>
                      <w:rFonts w:ascii="Times New Roman" w:hAnsi="Times New Roman" w:eastAsia="宋体" w:cs="Times New Roman"/>
                      <w:szCs w:val="21"/>
                    </w:rPr>
                  </w:pPr>
                  <w:r>
                    <w:rPr>
                      <w:rFonts w:ascii="Times New Roman" w:hAnsi="Times New Roman" w:eastAsia="宋体" w:cs="Times New Roman"/>
                      <w:szCs w:val="21"/>
                    </w:rPr>
                    <w:t>工程</w:t>
                  </w:r>
                </w:p>
              </w:tc>
              <w:tc>
                <w:tcPr>
                  <w:tcW w:w="2367" w:type="dxa"/>
                  <w:gridSpan w:val="3"/>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生产车间</w:t>
                  </w:r>
                </w:p>
              </w:tc>
              <w:tc>
                <w:tcPr>
                  <w:tcW w:w="2268"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pacing w:val="-10"/>
                      <w:szCs w:val="21"/>
                    </w:rPr>
                    <w:t>1154.79m</w:t>
                  </w:r>
                  <w:r>
                    <w:rPr>
                      <w:rFonts w:ascii="Times New Roman" w:hAnsi="Times New Roman" w:eastAsia="宋体" w:cs="Times New Roman"/>
                      <w:spacing w:val="-10"/>
                      <w:szCs w:val="21"/>
                      <w:vertAlign w:val="superscript"/>
                    </w:rPr>
                    <w:t>2</w:t>
                  </w:r>
                </w:p>
              </w:tc>
              <w:tc>
                <w:tcPr>
                  <w:tcW w:w="2914"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依托租赁厂房，简单装修</w:t>
                  </w:r>
                </w:p>
              </w:tc>
            </w:tr>
            <w:tr>
              <w:tblPrEx>
                <w:tblCellMar>
                  <w:top w:w="0" w:type="dxa"/>
                  <w:left w:w="108" w:type="dxa"/>
                  <w:bottom w:w="0" w:type="dxa"/>
                  <w:right w:w="108" w:type="dxa"/>
                </w:tblCellMar>
              </w:tblPrEx>
              <w:trPr>
                <w:cantSplit/>
                <w:trHeight w:val="318" w:hRule="atLeast"/>
                <w:jc w:val="center"/>
              </w:trPr>
              <w:tc>
                <w:tcPr>
                  <w:tcW w:w="747"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贮运工程</w:t>
                  </w:r>
                </w:p>
              </w:tc>
              <w:tc>
                <w:tcPr>
                  <w:tcW w:w="2367" w:type="dxa"/>
                  <w:gridSpan w:val="3"/>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eastAsia="宋体" w:cs="Times New Roman"/>
                      <w:spacing w:val="-10"/>
                      <w:szCs w:val="21"/>
                    </w:rPr>
                  </w:pPr>
                  <w:r>
                    <w:rPr>
                      <w:rFonts w:ascii="Times New Roman" w:hAnsi="Times New Roman" w:eastAsia="宋体" w:cs="Times New Roman"/>
                      <w:szCs w:val="21"/>
                    </w:rPr>
                    <w:t>仓库</w:t>
                  </w:r>
                </w:p>
              </w:tc>
              <w:tc>
                <w:tcPr>
                  <w:tcW w:w="2268"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eastAsia="宋体" w:cs="Times New Roman"/>
                      <w:spacing w:val="-10"/>
                      <w:szCs w:val="21"/>
                    </w:rPr>
                  </w:pPr>
                  <w:r>
                    <w:rPr>
                      <w:rFonts w:ascii="Times New Roman" w:hAnsi="Times New Roman" w:eastAsia="宋体" w:cs="Times New Roman"/>
                      <w:bCs/>
                      <w:szCs w:val="21"/>
                    </w:rPr>
                    <w:t>440m</w:t>
                  </w:r>
                  <w:r>
                    <w:rPr>
                      <w:rFonts w:ascii="Times New Roman" w:hAnsi="Times New Roman" w:eastAsia="宋体" w:cs="Times New Roman"/>
                      <w:bCs/>
                      <w:szCs w:val="21"/>
                      <w:vertAlign w:val="superscript"/>
                    </w:rPr>
                    <w:t>2</w:t>
                  </w:r>
                </w:p>
              </w:tc>
              <w:tc>
                <w:tcPr>
                  <w:tcW w:w="2914"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eastAsia="宋体" w:cs="Times New Roman"/>
                      <w:spacing w:val="-10"/>
                      <w:szCs w:val="21"/>
                    </w:rPr>
                  </w:pPr>
                  <w:r>
                    <w:rPr>
                      <w:rFonts w:ascii="Times New Roman" w:hAnsi="Times New Roman" w:eastAsia="宋体" w:cs="Times New Roman"/>
                      <w:spacing w:val="-10"/>
                      <w:szCs w:val="21"/>
                    </w:rPr>
                    <w:t>生产车间分区域</w:t>
                  </w:r>
                </w:p>
              </w:tc>
            </w:tr>
            <w:tr>
              <w:tblPrEx>
                <w:tblCellMar>
                  <w:top w:w="0" w:type="dxa"/>
                  <w:left w:w="108" w:type="dxa"/>
                  <w:bottom w:w="0" w:type="dxa"/>
                  <w:right w:w="108" w:type="dxa"/>
                </w:tblCellMar>
              </w:tblPrEx>
              <w:trPr>
                <w:cantSplit/>
                <w:trHeight w:val="345" w:hRule="atLeast"/>
                <w:jc w:val="center"/>
              </w:trPr>
              <w:tc>
                <w:tcPr>
                  <w:tcW w:w="747" w:type="dxa"/>
                  <w:vMerge w:val="restart"/>
                  <w:tcBorders>
                    <w:top w:val="nil"/>
                    <w:left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公</w:t>
                  </w:r>
                </w:p>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用</w:t>
                  </w:r>
                </w:p>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工</w:t>
                  </w:r>
                </w:p>
                <w:p>
                  <w:pPr>
                    <w:jc w:val="center"/>
                    <w:rPr>
                      <w:rFonts w:ascii="Times New Roman" w:hAnsi="Times New Roman" w:eastAsia="宋体" w:cs="Times New Roman"/>
                      <w:szCs w:val="21"/>
                    </w:rPr>
                  </w:pPr>
                  <w:r>
                    <w:rPr>
                      <w:rFonts w:ascii="Times New Roman" w:hAnsi="Times New Roman" w:eastAsia="宋体" w:cs="Times New Roman"/>
                      <w:spacing w:val="-10"/>
                      <w:szCs w:val="21"/>
                    </w:rPr>
                    <w:t>程</w:t>
                  </w:r>
                </w:p>
              </w:tc>
              <w:tc>
                <w:tcPr>
                  <w:tcW w:w="721" w:type="dxa"/>
                  <w:gridSpan w:val="2"/>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给水</w:t>
                  </w:r>
                </w:p>
              </w:tc>
              <w:tc>
                <w:tcPr>
                  <w:tcW w:w="1646"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自来水</w:t>
                  </w:r>
                </w:p>
              </w:tc>
              <w:tc>
                <w:tcPr>
                  <w:tcW w:w="2268"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zCs w:val="21"/>
                    </w:rPr>
                    <w:t>803.6t/a</w:t>
                  </w:r>
                </w:p>
              </w:tc>
              <w:tc>
                <w:tcPr>
                  <w:tcW w:w="2914"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主要用于切削液兑水及员工生活污水</w:t>
                  </w:r>
                </w:p>
              </w:tc>
            </w:tr>
            <w:tr>
              <w:tblPrEx>
                <w:tblCellMar>
                  <w:top w:w="0" w:type="dxa"/>
                  <w:left w:w="108" w:type="dxa"/>
                  <w:bottom w:w="0" w:type="dxa"/>
                  <w:right w:w="108" w:type="dxa"/>
                </w:tblCellMar>
              </w:tblPrEx>
              <w:trPr>
                <w:cantSplit/>
                <w:trHeight w:val="318" w:hRule="atLeast"/>
                <w:jc w:val="center"/>
              </w:trPr>
              <w:tc>
                <w:tcPr>
                  <w:tcW w:w="747" w:type="dxa"/>
                  <w:vMerge w:val="continue"/>
                  <w:tcBorders>
                    <w:left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721" w:type="dxa"/>
                  <w:gridSpan w:val="2"/>
                  <w:vMerge w:val="restart"/>
                  <w:tcBorders>
                    <w:top w:val="nil"/>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排水</w:t>
                  </w:r>
                </w:p>
              </w:tc>
              <w:tc>
                <w:tcPr>
                  <w:tcW w:w="1646"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生活污水</w:t>
                  </w:r>
                </w:p>
              </w:tc>
              <w:tc>
                <w:tcPr>
                  <w:tcW w:w="2268" w:type="dxa"/>
                  <w:tcBorders>
                    <w:top w:val="single" w:color="auto" w:sz="4" w:space="0"/>
                    <w:left w:val="nil"/>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640</w:t>
                  </w:r>
                </w:p>
              </w:tc>
              <w:tc>
                <w:tcPr>
                  <w:tcW w:w="2914" w:type="dxa"/>
                  <w:tcBorders>
                    <w:top w:val="single" w:color="auto" w:sz="4" w:space="0"/>
                    <w:left w:val="nil"/>
                    <w:right w:val="single" w:color="auto" w:sz="4" w:space="0"/>
                  </w:tcBorders>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生活污水接市政管网进入污水处理厂</w:t>
                  </w:r>
                </w:p>
              </w:tc>
            </w:tr>
            <w:tr>
              <w:tblPrEx>
                <w:tblCellMar>
                  <w:top w:w="0" w:type="dxa"/>
                  <w:left w:w="108" w:type="dxa"/>
                  <w:bottom w:w="0" w:type="dxa"/>
                  <w:right w:w="108" w:type="dxa"/>
                </w:tblCellMar>
              </w:tblPrEx>
              <w:trPr>
                <w:cantSplit/>
                <w:trHeight w:val="318" w:hRule="atLeast"/>
                <w:jc w:val="center"/>
              </w:trPr>
              <w:tc>
                <w:tcPr>
                  <w:tcW w:w="747" w:type="dxa"/>
                  <w:vMerge w:val="continue"/>
                  <w:tcBorders>
                    <w:left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721" w:type="dxa"/>
                  <w:gridSpan w:val="2"/>
                  <w:vMerge w:val="continue"/>
                  <w:tcBorders>
                    <w:top w:val="nil"/>
                    <w:left w:val="nil"/>
                    <w:bottom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1646" w:type="dxa"/>
                  <w:tcBorders>
                    <w:top w:val="single" w:color="auto" w:sz="4" w:space="0"/>
                    <w:left w:val="nil"/>
                    <w:bottom w:val="single" w:color="auto" w:sz="4" w:space="0"/>
                    <w:right w:val="single" w:color="auto" w:sz="4" w:space="0"/>
                  </w:tcBorders>
                  <w:vAlign w:val="center"/>
                </w:tcPr>
                <w:p>
                  <w:pPr>
                    <w:spacing w:line="151" w:lineRule="atLeast"/>
                    <w:jc w:val="center"/>
                    <w:rPr>
                      <w:rFonts w:ascii="Times New Roman" w:hAnsi="Times New Roman" w:eastAsia="宋体" w:cs="Times New Roman"/>
                      <w:szCs w:val="21"/>
                    </w:rPr>
                  </w:pPr>
                  <w:r>
                    <w:rPr>
                      <w:rFonts w:ascii="Times New Roman" w:hAnsi="Times New Roman" w:eastAsia="宋体" w:cs="Times New Roman"/>
                      <w:szCs w:val="21"/>
                    </w:rPr>
                    <w:t>雨水</w:t>
                  </w:r>
                </w:p>
              </w:tc>
              <w:tc>
                <w:tcPr>
                  <w:tcW w:w="2268" w:type="dxa"/>
                  <w:tcBorders>
                    <w:top w:val="single" w:color="auto" w:sz="4" w:space="0"/>
                    <w:left w:val="nil"/>
                    <w:bottom w:val="single" w:color="auto" w:sz="4" w:space="0"/>
                    <w:right w:val="single" w:color="auto" w:sz="4" w:space="0"/>
                  </w:tcBorders>
                  <w:vAlign w:val="center"/>
                </w:tcPr>
                <w:p>
                  <w:pPr>
                    <w:spacing w:line="151" w:lineRule="atLeast"/>
                    <w:jc w:val="center"/>
                    <w:rPr>
                      <w:rFonts w:ascii="Times New Roman" w:hAnsi="Times New Roman" w:eastAsia="宋体" w:cs="Times New Roman"/>
                      <w:szCs w:val="21"/>
                    </w:rPr>
                  </w:pPr>
                  <w:r>
                    <w:rPr>
                      <w:rFonts w:ascii="Times New Roman" w:hAnsi="Times New Roman" w:eastAsia="宋体" w:cs="Times New Roman"/>
                      <w:spacing w:val="-10"/>
                      <w:szCs w:val="21"/>
                    </w:rPr>
                    <w:t>/</w:t>
                  </w:r>
                </w:p>
              </w:tc>
              <w:tc>
                <w:tcPr>
                  <w:tcW w:w="2914" w:type="dxa"/>
                  <w:tcBorders>
                    <w:top w:val="single" w:color="auto" w:sz="4" w:space="0"/>
                    <w:left w:val="nil"/>
                    <w:bottom w:val="single" w:color="auto" w:sz="4" w:space="0"/>
                    <w:right w:val="single" w:color="auto" w:sz="4" w:space="0"/>
                  </w:tcBorders>
                  <w:vAlign w:val="center"/>
                </w:tcPr>
                <w:p>
                  <w:pPr>
                    <w:spacing w:line="151" w:lineRule="atLeast"/>
                    <w:jc w:val="center"/>
                    <w:rPr>
                      <w:rFonts w:ascii="Times New Roman" w:hAnsi="Times New Roman" w:eastAsia="宋体" w:cs="Times New Roman"/>
                      <w:szCs w:val="21"/>
                    </w:rPr>
                  </w:pPr>
                  <w:r>
                    <w:rPr>
                      <w:rFonts w:ascii="Times New Roman" w:hAnsi="Times New Roman" w:eastAsia="宋体" w:cs="Times New Roman"/>
                      <w:spacing w:val="-10"/>
                      <w:szCs w:val="21"/>
                    </w:rPr>
                    <w:t>接入市政雨水管网</w:t>
                  </w:r>
                </w:p>
              </w:tc>
            </w:tr>
            <w:tr>
              <w:tblPrEx>
                <w:tblCellMar>
                  <w:top w:w="0" w:type="dxa"/>
                  <w:left w:w="108" w:type="dxa"/>
                  <w:bottom w:w="0" w:type="dxa"/>
                  <w:right w:w="108" w:type="dxa"/>
                </w:tblCellMar>
              </w:tblPrEx>
              <w:trPr>
                <w:cantSplit/>
                <w:trHeight w:val="318" w:hRule="atLeast"/>
                <w:jc w:val="center"/>
              </w:trPr>
              <w:tc>
                <w:tcPr>
                  <w:tcW w:w="747" w:type="dxa"/>
                  <w:vMerge w:val="continue"/>
                  <w:tcBorders>
                    <w:left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2367" w:type="dxa"/>
                  <w:gridSpan w:val="3"/>
                  <w:tcBorders>
                    <w:top w:val="single" w:color="auto" w:sz="4" w:space="0"/>
                    <w:left w:val="nil"/>
                    <w:bottom w:val="single" w:color="auto" w:sz="4" w:space="0"/>
                    <w:right w:val="single" w:color="auto" w:sz="4" w:space="0"/>
                  </w:tcBorders>
                  <w:vAlign w:val="center"/>
                </w:tcPr>
                <w:p>
                  <w:pPr>
                    <w:spacing w:line="151" w:lineRule="atLeast"/>
                    <w:jc w:val="center"/>
                    <w:rPr>
                      <w:rFonts w:ascii="Times New Roman" w:hAnsi="Times New Roman" w:eastAsia="宋体" w:cs="Times New Roman"/>
                      <w:szCs w:val="21"/>
                    </w:rPr>
                  </w:pPr>
                  <w:r>
                    <w:rPr>
                      <w:rFonts w:ascii="Times New Roman" w:hAnsi="Times New Roman" w:eastAsia="宋体" w:cs="Times New Roman"/>
                      <w:szCs w:val="21"/>
                    </w:rPr>
                    <w:t>供电</w:t>
                  </w:r>
                </w:p>
              </w:tc>
              <w:tc>
                <w:tcPr>
                  <w:tcW w:w="2268" w:type="dxa"/>
                  <w:tcBorders>
                    <w:top w:val="single" w:color="auto" w:sz="4" w:space="0"/>
                    <w:left w:val="nil"/>
                    <w:bottom w:val="single" w:color="auto" w:sz="4" w:space="0"/>
                    <w:right w:val="single" w:color="auto" w:sz="4" w:space="0"/>
                  </w:tcBorders>
                  <w:vAlign w:val="center"/>
                </w:tcPr>
                <w:p>
                  <w:pPr>
                    <w:spacing w:line="151" w:lineRule="atLeast"/>
                    <w:jc w:val="center"/>
                    <w:rPr>
                      <w:rFonts w:ascii="Times New Roman" w:hAnsi="Times New Roman" w:eastAsia="宋体" w:cs="Times New Roman"/>
                      <w:spacing w:val="-10"/>
                      <w:szCs w:val="21"/>
                    </w:rPr>
                  </w:pPr>
                  <w:r>
                    <w:rPr>
                      <w:rFonts w:ascii="Times New Roman" w:hAnsi="Times New Roman" w:eastAsia="宋体" w:cs="Times New Roman"/>
                      <w:szCs w:val="21"/>
                    </w:rPr>
                    <w:t>用电量17.5万千瓦时/年</w:t>
                  </w:r>
                </w:p>
              </w:tc>
              <w:tc>
                <w:tcPr>
                  <w:tcW w:w="2914" w:type="dxa"/>
                  <w:tcBorders>
                    <w:top w:val="single" w:color="auto" w:sz="4" w:space="0"/>
                    <w:left w:val="nil"/>
                    <w:bottom w:val="single" w:color="auto" w:sz="4" w:space="0"/>
                    <w:right w:val="single" w:color="auto" w:sz="4" w:space="0"/>
                  </w:tcBorders>
                  <w:vAlign w:val="center"/>
                </w:tcPr>
                <w:p>
                  <w:pPr>
                    <w:spacing w:line="151" w:lineRule="atLeast"/>
                    <w:jc w:val="center"/>
                    <w:rPr>
                      <w:rFonts w:ascii="Times New Roman" w:hAnsi="Times New Roman" w:eastAsia="宋体" w:cs="Times New Roman"/>
                      <w:szCs w:val="21"/>
                    </w:rPr>
                  </w:pPr>
                  <w:r>
                    <w:rPr>
                      <w:rFonts w:ascii="Times New Roman" w:hAnsi="Times New Roman" w:eastAsia="宋体" w:cs="Times New Roman"/>
                      <w:szCs w:val="21"/>
                    </w:rPr>
                    <w:t>由区域统一供电</w:t>
                  </w:r>
                </w:p>
              </w:tc>
            </w:tr>
            <w:tr>
              <w:tblPrEx>
                <w:tblCellMar>
                  <w:top w:w="0" w:type="dxa"/>
                  <w:left w:w="108" w:type="dxa"/>
                  <w:bottom w:w="0" w:type="dxa"/>
                  <w:right w:w="108" w:type="dxa"/>
                </w:tblCellMar>
              </w:tblPrEx>
              <w:trPr>
                <w:cantSplit/>
                <w:trHeight w:val="318" w:hRule="atLeast"/>
                <w:jc w:val="center"/>
              </w:trPr>
              <w:tc>
                <w:tcPr>
                  <w:tcW w:w="747" w:type="dxa"/>
                  <w:vMerge w:val="continue"/>
                  <w:tcBorders>
                    <w:left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2367" w:type="dxa"/>
                  <w:gridSpan w:val="3"/>
                  <w:tcBorders>
                    <w:top w:val="single" w:color="auto" w:sz="4" w:space="0"/>
                    <w:left w:val="nil"/>
                    <w:bottom w:val="single" w:color="auto" w:sz="4" w:space="0"/>
                    <w:right w:val="single" w:color="auto" w:sz="4" w:space="0"/>
                  </w:tcBorders>
                  <w:vAlign w:val="center"/>
                </w:tcPr>
                <w:p>
                  <w:pPr>
                    <w:spacing w:line="151" w:lineRule="atLeast"/>
                    <w:jc w:val="center"/>
                    <w:rPr>
                      <w:rFonts w:ascii="Times New Roman" w:hAnsi="Times New Roman" w:eastAsia="宋体" w:cs="Times New Roman"/>
                      <w:szCs w:val="21"/>
                    </w:rPr>
                  </w:pPr>
                  <w:r>
                    <w:rPr>
                      <w:rFonts w:ascii="Times New Roman" w:hAnsi="Times New Roman" w:eastAsia="宋体" w:cs="Times New Roman"/>
                      <w:szCs w:val="21"/>
                    </w:rPr>
                    <w:t>绿化</w:t>
                  </w:r>
                </w:p>
              </w:tc>
              <w:tc>
                <w:tcPr>
                  <w:tcW w:w="2268" w:type="dxa"/>
                  <w:tcBorders>
                    <w:top w:val="single" w:color="auto" w:sz="4" w:space="0"/>
                    <w:left w:val="nil"/>
                    <w:bottom w:val="single" w:color="auto" w:sz="4" w:space="0"/>
                    <w:right w:val="single" w:color="auto" w:sz="4" w:space="0"/>
                  </w:tcBorders>
                  <w:vAlign w:val="center"/>
                </w:tcPr>
                <w:p>
                  <w:pPr>
                    <w:spacing w:line="151" w:lineRule="atLeast"/>
                    <w:jc w:val="center"/>
                    <w:rPr>
                      <w:rFonts w:ascii="Times New Roman" w:hAnsi="Times New Roman" w:eastAsia="宋体" w:cs="Times New Roman"/>
                      <w:szCs w:val="21"/>
                    </w:rPr>
                  </w:pPr>
                  <w:r>
                    <w:rPr>
                      <w:rFonts w:ascii="Times New Roman" w:hAnsi="Times New Roman" w:eastAsia="宋体" w:cs="Times New Roman"/>
                      <w:szCs w:val="21"/>
                    </w:rPr>
                    <w:t>依托周边</w:t>
                  </w:r>
                </w:p>
              </w:tc>
              <w:tc>
                <w:tcPr>
                  <w:tcW w:w="2914" w:type="dxa"/>
                  <w:tcBorders>
                    <w:top w:val="single" w:color="auto" w:sz="4" w:space="0"/>
                    <w:left w:val="nil"/>
                    <w:bottom w:val="single" w:color="auto" w:sz="4" w:space="0"/>
                    <w:right w:val="single" w:color="auto" w:sz="4" w:space="0"/>
                  </w:tcBorders>
                  <w:vAlign w:val="center"/>
                </w:tcPr>
                <w:p>
                  <w:pPr>
                    <w:spacing w:line="151" w:lineRule="atLeast"/>
                    <w:jc w:val="center"/>
                    <w:rPr>
                      <w:rFonts w:ascii="Times New Roman" w:hAnsi="Times New Roman" w:eastAsia="宋体" w:cs="Times New Roman"/>
                      <w:szCs w:val="21"/>
                    </w:rPr>
                  </w:pPr>
                  <w:r>
                    <w:rPr>
                      <w:rFonts w:ascii="Times New Roman" w:hAnsi="Times New Roman" w:eastAsia="宋体" w:cs="Times New Roman"/>
                      <w:szCs w:val="21"/>
                    </w:rPr>
                    <w:t>--</w:t>
                  </w:r>
                </w:p>
              </w:tc>
            </w:tr>
            <w:tr>
              <w:tblPrEx>
                <w:tblCellMar>
                  <w:top w:w="0" w:type="dxa"/>
                  <w:left w:w="108" w:type="dxa"/>
                  <w:bottom w:w="0" w:type="dxa"/>
                  <w:right w:w="108" w:type="dxa"/>
                </w:tblCellMar>
              </w:tblPrEx>
              <w:trPr>
                <w:cantSplit/>
                <w:trHeight w:val="318" w:hRule="atLeast"/>
                <w:jc w:val="center"/>
              </w:trPr>
              <w:tc>
                <w:tcPr>
                  <w:tcW w:w="747" w:type="dxa"/>
                  <w:vMerge w:val="continue"/>
                  <w:tcBorders>
                    <w:left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2367" w:type="dxa"/>
                  <w:gridSpan w:val="3"/>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办公区</w:t>
                  </w:r>
                </w:p>
              </w:tc>
              <w:tc>
                <w:tcPr>
                  <w:tcW w:w="2268"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253m</w:t>
                  </w:r>
                  <w:r>
                    <w:rPr>
                      <w:rFonts w:ascii="Times New Roman" w:hAnsi="Times New Roman" w:eastAsia="宋体" w:cs="Times New Roman"/>
                      <w:szCs w:val="21"/>
                      <w:vertAlign w:val="superscript"/>
                    </w:rPr>
                    <w:t>2</w:t>
                  </w:r>
                </w:p>
              </w:tc>
              <w:tc>
                <w:tcPr>
                  <w:tcW w:w="2914"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用于办公</w:t>
                  </w:r>
                </w:p>
              </w:tc>
            </w:tr>
            <w:tr>
              <w:tblPrEx>
                <w:tblCellMar>
                  <w:top w:w="0" w:type="dxa"/>
                  <w:left w:w="108" w:type="dxa"/>
                  <w:bottom w:w="0" w:type="dxa"/>
                  <w:right w:w="108" w:type="dxa"/>
                </w:tblCellMar>
              </w:tblPrEx>
              <w:trPr>
                <w:cantSplit/>
                <w:trHeight w:val="626" w:hRule="atLeast"/>
                <w:jc w:val="center"/>
              </w:trPr>
              <w:tc>
                <w:tcPr>
                  <w:tcW w:w="747" w:type="dxa"/>
                  <w:vMerge w:val="continue"/>
                  <w:tcBorders>
                    <w:left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640"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废水</w:t>
                  </w:r>
                </w:p>
              </w:tc>
              <w:tc>
                <w:tcPr>
                  <w:tcW w:w="1727" w:type="dxa"/>
                  <w:gridSpan w:val="2"/>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厂区雨、污分流。</w:t>
                  </w:r>
                </w:p>
              </w:tc>
              <w:tc>
                <w:tcPr>
                  <w:tcW w:w="2268"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2914"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生活污水接市政污水管网</w:t>
                  </w:r>
                </w:p>
              </w:tc>
            </w:tr>
            <w:tr>
              <w:tblPrEx>
                <w:tblCellMar>
                  <w:top w:w="0" w:type="dxa"/>
                  <w:left w:w="108" w:type="dxa"/>
                  <w:bottom w:w="0" w:type="dxa"/>
                  <w:right w:w="108" w:type="dxa"/>
                </w:tblCellMar>
              </w:tblPrEx>
              <w:trPr>
                <w:cantSplit/>
                <w:trHeight w:val="315" w:hRule="atLeast"/>
                <w:jc w:val="center"/>
              </w:trPr>
              <w:tc>
                <w:tcPr>
                  <w:tcW w:w="747" w:type="dxa"/>
                  <w:vMerge w:val="continue"/>
                  <w:tcBorders>
                    <w:left w:val="single" w:color="auto" w:sz="4" w:space="0"/>
                    <w:right w:val="single" w:color="auto" w:sz="4" w:space="0"/>
                  </w:tcBorders>
                  <w:vAlign w:val="center"/>
                </w:tcPr>
                <w:p>
                  <w:pPr>
                    <w:widowControl/>
                    <w:jc w:val="left"/>
                    <w:rPr>
                      <w:rFonts w:ascii="Times New Roman" w:hAnsi="Times New Roman" w:eastAsia="Times New Roman" w:cs="Times New Roman"/>
                      <w:color w:val="FF0000"/>
                      <w:szCs w:val="21"/>
                    </w:rPr>
                  </w:pPr>
                </w:p>
              </w:tc>
              <w:tc>
                <w:tcPr>
                  <w:tcW w:w="640" w:type="dxa"/>
                  <w:tcBorders>
                    <w:left w:val="nil"/>
                    <w:right w:val="single" w:color="auto" w:sz="4" w:space="0"/>
                  </w:tcBorders>
                  <w:vAlign w:val="center"/>
                </w:tcPr>
                <w:p>
                  <w:pPr>
                    <w:jc w:val="center"/>
                    <w:rPr>
                      <w:rFonts w:ascii="Times New Roman" w:hAnsi="Times New Roman" w:eastAsia="Times New Roman" w:cs="Times New Roman"/>
                      <w:szCs w:val="21"/>
                    </w:rPr>
                  </w:pPr>
                  <w:r>
                    <w:rPr>
                      <w:rFonts w:ascii="Times New Roman" w:hAnsi="Times New Roman" w:cs="Times New Roman"/>
                      <w:szCs w:val="21"/>
                    </w:rPr>
                    <w:t>废气</w:t>
                  </w:r>
                </w:p>
              </w:tc>
              <w:tc>
                <w:tcPr>
                  <w:tcW w:w="1727" w:type="dxa"/>
                  <w:gridSpan w:val="2"/>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CNC加工废气</w:t>
                  </w:r>
                </w:p>
              </w:tc>
              <w:tc>
                <w:tcPr>
                  <w:tcW w:w="2268"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车间通风后排放</w:t>
                  </w:r>
                </w:p>
              </w:tc>
              <w:tc>
                <w:tcPr>
                  <w:tcW w:w="2914" w:type="dxa"/>
                  <w:tcBorders>
                    <w:top w:val="single" w:color="auto" w:sz="4" w:space="0"/>
                    <w:left w:val="nil"/>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r>
            <w:tr>
              <w:tblPrEx>
                <w:tblCellMar>
                  <w:top w:w="0" w:type="dxa"/>
                  <w:left w:w="108" w:type="dxa"/>
                  <w:bottom w:w="0" w:type="dxa"/>
                  <w:right w:w="108" w:type="dxa"/>
                </w:tblCellMar>
              </w:tblPrEx>
              <w:trPr>
                <w:cantSplit/>
                <w:trHeight w:val="626" w:hRule="atLeast"/>
                <w:jc w:val="center"/>
              </w:trPr>
              <w:tc>
                <w:tcPr>
                  <w:tcW w:w="747" w:type="dxa"/>
                  <w:vMerge w:val="continue"/>
                  <w:tcBorders>
                    <w:left w:val="single" w:color="auto" w:sz="4" w:space="0"/>
                    <w:right w:val="single" w:color="auto" w:sz="4" w:space="0"/>
                  </w:tcBorders>
                  <w:vAlign w:val="center"/>
                </w:tcPr>
                <w:p>
                  <w:pPr>
                    <w:widowControl/>
                    <w:jc w:val="left"/>
                    <w:rPr>
                      <w:rFonts w:ascii="Times New Roman" w:hAnsi="Times New Roman" w:eastAsia="宋体" w:cs="Times New Roman"/>
                      <w:color w:val="FF0000"/>
                      <w:szCs w:val="21"/>
                    </w:rPr>
                  </w:pPr>
                </w:p>
              </w:tc>
              <w:tc>
                <w:tcPr>
                  <w:tcW w:w="640"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1727" w:type="dxa"/>
                  <w:gridSpan w:val="2"/>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厂房噪声治理</w:t>
                  </w:r>
                </w:p>
              </w:tc>
              <w:tc>
                <w:tcPr>
                  <w:tcW w:w="2268"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降噪效果达30dB(A)以上</w:t>
                  </w:r>
                </w:p>
              </w:tc>
              <w:tc>
                <w:tcPr>
                  <w:tcW w:w="2914" w:type="dxa"/>
                  <w:tcBorders>
                    <w:top w:val="single" w:color="auto" w:sz="4" w:space="0"/>
                    <w:left w:val="nil"/>
                    <w:bottom w:val="single" w:color="auto" w:sz="4" w:space="0"/>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采取减振、消声等措施，并通过厂房隔声、距离衰减，可达标排放</w:t>
                  </w:r>
                </w:p>
              </w:tc>
            </w:tr>
            <w:tr>
              <w:tblPrEx>
                <w:tblCellMar>
                  <w:top w:w="0" w:type="dxa"/>
                  <w:left w:w="108" w:type="dxa"/>
                  <w:bottom w:w="0" w:type="dxa"/>
                  <w:right w:w="108" w:type="dxa"/>
                </w:tblCellMar>
              </w:tblPrEx>
              <w:trPr>
                <w:cantSplit/>
                <w:trHeight w:val="483" w:hRule="atLeast"/>
                <w:jc w:val="center"/>
              </w:trPr>
              <w:tc>
                <w:tcPr>
                  <w:tcW w:w="747" w:type="dxa"/>
                  <w:vMerge w:val="continue"/>
                  <w:tcBorders>
                    <w:left w:val="single" w:color="auto" w:sz="4" w:space="0"/>
                    <w:right w:val="single" w:color="auto" w:sz="4" w:space="0"/>
                  </w:tcBorders>
                  <w:vAlign w:val="center"/>
                </w:tcPr>
                <w:p>
                  <w:pPr>
                    <w:spacing w:line="90" w:lineRule="atLeast"/>
                    <w:jc w:val="center"/>
                    <w:rPr>
                      <w:rFonts w:ascii="Times New Roman" w:hAnsi="Times New Roman" w:eastAsia="宋体" w:cs="Times New Roman"/>
                      <w:color w:val="FF0000"/>
                      <w:szCs w:val="21"/>
                    </w:rPr>
                  </w:pPr>
                </w:p>
              </w:tc>
              <w:tc>
                <w:tcPr>
                  <w:tcW w:w="640" w:type="dxa"/>
                  <w:vMerge w:val="restart"/>
                  <w:tcBorders>
                    <w:left w:val="nil"/>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固废</w:t>
                  </w:r>
                </w:p>
              </w:tc>
              <w:tc>
                <w:tcPr>
                  <w:tcW w:w="1727" w:type="dxa"/>
                  <w:gridSpan w:val="2"/>
                  <w:vMerge w:val="restart"/>
                  <w:tcBorders>
                    <w:left w:val="nil"/>
                    <w:right w:val="single" w:color="auto" w:sz="4" w:space="0"/>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固废堆场</w:t>
                  </w:r>
                </w:p>
              </w:tc>
              <w:tc>
                <w:tcPr>
                  <w:tcW w:w="2268" w:type="dxa"/>
                  <w:tcBorders>
                    <w:top w:val="single" w:color="auto" w:sz="4" w:space="0"/>
                    <w:left w:val="nil"/>
                    <w:bottom w:val="single" w:color="auto" w:sz="4" w:space="0"/>
                    <w:right w:val="single" w:color="auto" w:sz="4" w:space="0"/>
                  </w:tcBorders>
                  <w:vAlign w:val="center"/>
                </w:tcPr>
                <w:p>
                  <w:pPr>
                    <w:spacing w:line="90" w:lineRule="atLeast"/>
                    <w:jc w:val="center"/>
                    <w:rPr>
                      <w:rFonts w:ascii="Times New Roman" w:hAnsi="Times New Roman" w:eastAsia="宋体" w:cs="Times New Roman"/>
                      <w:szCs w:val="21"/>
                    </w:rPr>
                  </w:pPr>
                  <w:r>
                    <w:rPr>
                      <w:rFonts w:ascii="Times New Roman" w:hAnsi="Times New Roman" w:eastAsia="宋体" w:cs="Times New Roman"/>
                      <w:szCs w:val="21"/>
                    </w:rPr>
                    <w:t>一般固废暂存点50m</w:t>
                  </w:r>
                  <w:r>
                    <w:rPr>
                      <w:rFonts w:ascii="Times New Roman" w:hAnsi="Times New Roman" w:eastAsia="宋体" w:cs="Times New Roman"/>
                      <w:szCs w:val="21"/>
                      <w:vertAlign w:val="superscript"/>
                    </w:rPr>
                    <w:t>2</w:t>
                  </w:r>
                </w:p>
              </w:tc>
              <w:tc>
                <w:tcPr>
                  <w:tcW w:w="2914" w:type="dxa"/>
                  <w:tcBorders>
                    <w:top w:val="single" w:color="auto" w:sz="4" w:space="0"/>
                    <w:left w:val="nil"/>
                    <w:bottom w:val="single" w:color="auto" w:sz="4" w:space="0"/>
                    <w:right w:val="single" w:color="auto" w:sz="4" w:space="0"/>
                  </w:tcBorders>
                  <w:vAlign w:val="center"/>
                </w:tcPr>
                <w:p>
                  <w:pPr>
                    <w:tabs>
                      <w:tab w:val="left" w:pos="908"/>
                    </w:tabs>
                    <w:spacing w:line="90" w:lineRule="atLeast"/>
                    <w:jc w:val="center"/>
                    <w:rPr>
                      <w:rFonts w:ascii="Times New Roman" w:hAnsi="Times New Roman" w:eastAsia="宋体" w:cs="Times New Roman"/>
                      <w:szCs w:val="21"/>
                    </w:rPr>
                  </w:pPr>
                  <w:r>
                    <w:rPr>
                      <w:rFonts w:ascii="Times New Roman" w:hAnsi="Times New Roman" w:eastAsia="宋体" w:cs="Times New Roman"/>
                      <w:szCs w:val="21"/>
                    </w:rPr>
                    <w:t>废加工边角料、不合格品收集后外售，零排放</w:t>
                  </w:r>
                </w:p>
              </w:tc>
            </w:tr>
            <w:tr>
              <w:tblPrEx>
                <w:tblCellMar>
                  <w:top w:w="0" w:type="dxa"/>
                  <w:left w:w="108" w:type="dxa"/>
                  <w:bottom w:w="0" w:type="dxa"/>
                  <w:right w:w="108" w:type="dxa"/>
                </w:tblCellMar>
              </w:tblPrEx>
              <w:trPr>
                <w:cantSplit/>
                <w:trHeight w:val="535" w:hRule="atLeast"/>
                <w:jc w:val="center"/>
              </w:trPr>
              <w:tc>
                <w:tcPr>
                  <w:tcW w:w="747" w:type="dxa"/>
                  <w:vMerge w:val="continue"/>
                  <w:tcBorders>
                    <w:left w:val="single" w:color="auto" w:sz="4" w:space="0"/>
                    <w:right w:val="single" w:color="auto" w:sz="4" w:space="0"/>
                  </w:tcBorders>
                  <w:vAlign w:val="center"/>
                </w:tcPr>
                <w:p>
                  <w:pPr>
                    <w:spacing w:line="90" w:lineRule="atLeast"/>
                    <w:jc w:val="center"/>
                    <w:rPr>
                      <w:rFonts w:ascii="Times New Roman" w:hAnsi="Times New Roman" w:eastAsia="宋体" w:cs="Times New Roman"/>
                      <w:color w:val="FF0000"/>
                      <w:szCs w:val="21"/>
                    </w:rPr>
                  </w:pPr>
                </w:p>
              </w:tc>
              <w:tc>
                <w:tcPr>
                  <w:tcW w:w="640" w:type="dxa"/>
                  <w:vMerge w:val="continue"/>
                  <w:tcBorders>
                    <w:left w:val="nil"/>
                    <w:right w:val="single" w:color="auto" w:sz="4" w:space="0"/>
                  </w:tcBorders>
                  <w:vAlign w:val="center"/>
                </w:tcPr>
                <w:p>
                  <w:pPr>
                    <w:jc w:val="center"/>
                    <w:rPr>
                      <w:rFonts w:ascii="Times New Roman" w:hAnsi="Times New Roman" w:eastAsia="宋体" w:cs="Times New Roman"/>
                      <w:szCs w:val="21"/>
                    </w:rPr>
                  </w:pPr>
                </w:p>
              </w:tc>
              <w:tc>
                <w:tcPr>
                  <w:tcW w:w="1727" w:type="dxa"/>
                  <w:gridSpan w:val="2"/>
                  <w:vMerge w:val="continue"/>
                  <w:tcBorders>
                    <w:left w:val="nil"/>
                    <w:right w:val="single" w:color="auto" w:sz="4" w:space="0"/>
                  </w:tcBorders>
                  <w:vAlign w:val="center"/>
                </w:tcPr>
                <w:p>
                  <w:pPr>
                    <w:jc w:val="center"/>
                    <w:rPr>
                      <w:rFonts w:ascii="Times New Roman" w:hAnsi="Times New Roman" w:eastAsia="宋体" w:cs="Times New Roman"/>
                      <w:szCs w:val="21"/>
                    </w:rPr>
                  </w:pPr>
                </w:p>
              </w:tc>
              <w:tc>
                <w:tcPr>
                  <w:tcW w:w="2268" w:type="dxa"/>
                  <w:tcBorders>
                    <w:top w:val="single" w:color="auto" w:sz="4" w:space="0"/>
                    <w:left w:val="nil"/>
                    <w:bottom w:val="single" w:color="auto" w:sz="4" w:space="0"/>
                    <w:right w:val="single" w:color="auto" w:sz="4" w:space="0"/>
                  </w:tcBorders>
                  <w:vAlign w:val="center"/>
                </w:tcPr>
                <w:p>
                  <w:pPr>
                    <w:spacing w:line="90" w:lineRule="atLeast"/>
                    <w:jc w:val="center"/>
                    <w:rPr>
                      <w:rFonts w:ascii="Times New Roman" w:hAnsi="Times New Roman" w:eastAsia="宋体" w:cs="Times New Roman"/>
                      <w:szCs w:val="21"/>
                    </w:rPr>
                  </w:pPr>
                  <w:r>
                    <w:rPr>
                      <w:rFonts w:ascii="Times New Roman" w:hAnsi="Times New Roman" w:eastAsia="宋体" w:cs="Times New Roman"/>
                      <w:szCs w:val="21"/>
                    </w:rPr>
                    <w:t>危险固废暂存点50m</w:t>
                  </w:r>
                  <w:r>
                    <w:rPr>
                      <w:rFonts w:ascii="Times New Roman" w:hAnsi="Times New Roman" w:eastAsia="宋体" w:cs="Times New Roman"/>
                      <w:szCs w:val="21"/>
                      <w:vertAlign w:val="superscript"/>
                    </w:rPr>
                    <w:t>2</w:t>
                  </w:r>
                </w:p>
              </w:tc>
              <w:tc>
                <w:tcPr>
                  <w:tcW w:w="2914" w:type="dxa"/>
                  <w:tcBorders>
                    <w:top w:val="single" w:color="auto" w:sz="4" w:space="0"/>
                    <w:left w:val="nil"/>
                    <w:bottom w:val="single" w:color="auto" w:sz="4" w:space="0"/>
                    <w:right w:val="single" w:color="auto" w:sz="4" w:space="0"/>
                  </w:tcBorders>
                  <w:vAlign w:val="center"/>
                </w:tcPr>
                <w:p>
                  <w:pPr>
                    <w:tabs>
                      <w:tab w:val="left" w:pos="908"/>
                    </w:tabs>
                    <w:spacing w:line="90" w:lineRule="atLeast"/>
                    <w:jc w:val="center"/>
                    <w:rPr>
                      <w:rFonts w:ascii="Times New Roman" w:hAnsi="Times New Roman" w:eastAsia="宋体" w:cs="Times New Roman"/>
                      <w:szCs w:val="21"/>
                    </w:rPr>
                  </w:pPr>
                  <w:r>
                    <w:rPr>
                      <w:rFonts w:ascii="Times New Roman" w:hAnsi="Times New Roman" w:eastAsia="宋体" w:cs="Times New Roman"/>
                      <w:szCs w:val="21"/>
                    </w:rPr>
                    <w:t>委托有资质单位处理，零排放</w:t>
                  </w:r>
                </w:p>
              </w:tc>
            </w:tr>
            <w:tr>
              <w:tblPrEx>
                <w:tblCellMar>
                  <w:top w:w="0" w:type="dxa"/>
                  <w:left w:w="108" w:type="dxa"/>
                  <w:bottom w:w="0" w:type="dxa"/>
                  <w:right w:w="108" w:type="dxa"/>
                </w:tblCellMar>
              </w:tblPrEx>
              <w:trPr>
                <w:cantSplit/>
                <w:trHeight w:val="328" w:hRule="atLeast"/>
                <w:jc w:val="center"/>
              </w:trPr>
              <w:tc>
                <w:tcPr>
                  <w:tcW w:w="747"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640" w:type="dxa"/>
                  <w:vMerge w:val="continue"/>
                  <w:tcBorders>
                    <w:top w:val="nil"/>
                    <w:left w:val="nil"/>
                    <w:bottom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1727" w:type="dxa"/>
                  <w:gridSpan w:val="2"/>
                  <w:vMerge w:val="continue"/>
                  <w:tcBorders>
                    <w:top w:val="nil"/>
                    <w:left w:val="nil"/>
                    <w:bottom w:val="single" w:color="auto" w:sz="4" w:space="0"/>
                    <w:right w:val="single" w:color="auto" w:sz="4" w:space="0"/>
                  </w:tcBorders>
                  <w:vAlign w:val="center"/>
                </w:tcPr>
                <w:p>
                  <w:pPr>
                    <w:widowControl/>
                    <w:jc w:val="left"/>
                    <w:rPr>
                      <w:rFonts w:ascii="Times New Roman" w:hAnsi="Times New Roman" w:eastAsia="宋体" w:cs="Times New Roman"/>
                      <w:szCs w:val="21"/>
                    </w:rPr>
                  </w:pPr>
                </w:p>
              </w:tc>
              <w:tc>
                <w:tcPr>
                  <w:tcW w:w="2268" w:type="dxa"/>
                  <w:tcBorders>
                    <w:top w:val="single" w:color="auto" w:sz="4" w:space="0"/>
                    <w:left w:val="nil"/>
                    <w:bottom w:val="single" w:color="auto" w:sz="4" w:space="0"/>
                    <w:right w:val="single" w:color="auto" w:sz="4" w:space="0"/>
                  </w:tcBorders>
                  <w:vAlign w:val="center"/>
                </w:tcPr>
                <w:p>
                  <w:pPr>
                    <w:spacing w:line="139" w:lineRule="atLeast"/>
                    <w:jc w:val="center"/>
                    <w:rPr>
                      <w:rFonts w:ascii="Times New Roman" w:hAnsi="Times New Roman" w:eastAsia="宋体" w:cs="Times New Roman"/>
                      <w:szCs w:val="21"/>
                    </w:rPr>
                  </w:pPr>
                  <w:r>
                    <w:rPr>
                      <w:rFonts w:ascii="Times New Roman" w:hAnsi="Times New Roman" w:eastAsia="宋体" w:cs="Times New Roman"/>
                      <w:szCs w:val="21"/>
                    </w:rPr>
                    <w:t>生活垃圾桶若干</w:t>
                  </w:r>
                </w:p>
              </w:tc>
              <w:tc>
                <w:tcPr>
                  <w:tcW w:w="2914" w:type="dxa"/>
                  <w:tcBorders>
                    <w:top w:val="single" w:color="auto" w:sz="4" w:space="0"/>
                    <w:left w:val="nil"/>
                    <w:bottom w:val="single" w:color="auto" w:sz="4" w:space="0"/>
                    <w:right w:val="single" w:color="auto" w:sz="4" w:space="0"/>
                  </w:tcBorders>
                  <w:vAlign w:val="center"/>
                </w:tcPr>
                <w:p>
                  <w:pPr>
                    <w:spacing w:line="139" w:lineRule="atLeast"/>
                    <w:jc w:val="center"/>
                    <w:rPr>
                      <w:rFonts w:ascii="Times New Roman" w:hAnsi="Times New Roman" w:eastAsia="宋体" w:cs="Times New Roman"/>
                      <w:szCs w:val="21"/>
                    </w:rPr>
                  </w:pPr>
                  <w:r>
                    <w:rPr>
                      <w:rFonts w:ascii="Times New Roman" w:hAnsi="Times New Roman" w:eastAsia="宋体" w:cs="Times New Roman"/>
                      <w:szCs w:val="21"/>
                    </w:rPr>
                    <w:t>生活垃圾由环卫部门统一处理，零排放</w:t>
                  </w:r>
                </w:p>
              </w:tc>
            </w:tr>
          </w:tbl>
          <w:p>
            <w:pPr>
              <w:spacing w:line="360" w:lineRule="auto"/>
              <w:ind w:right="195" w:rightChars="93"/>
              <w:rPr>
                <w:rFonts w:ascii="Times New Roman" w:hAnsi="Times New Roman" w:eastAsia="宋体" w:cs="Times New Roman"/>
                <w:b/>
                <w:sz w:val="24"/>
                <w:szCs w:val="24"/>
              </w:rPr>
            </w:pPr>
            <w:r>
              <w:rPr>
                <w:rFonts w:ascii="Times New Roman" w:hAnsi="Times New Roman" w:eastAsia="宋体" w:cs="Times New Roman"/>
                <w:b/>
                <w:sz w:val="24"/>
                <w:szCs w:val="24"/>
              </w:rPr>
              <w:t>5．劳动定员及工作制度</w:t>
            </w:r>
          </w:p>
          <w:p>
            <w:pPr>
              <w:spacing w:line="360" w:lineRule="auto"/>
              <w:ind w:right="195" w:rightChars="93" w:firstLine="480" w:firstLineChars="200"/>
              <w:rPr>
                <w:rFonts w:ascii="Times New Roman" w:hAnsi="Times New Roman" w:eastAsia="宋体" w:cs="Times New Roman"/>
                <w:sz w:val="24"/>
                <w:szCs w:val="24"/>
              </w:rPr>
            </w:pPr>
            <w:r>
              <w:rPr>
                <w:rFonts w:ascii="Times New Roman" w:hAnsi="Times New Roman" w:eastAsia="宋体" w:cs="Times New Roman"/>
                <w:sz w:val="24"/>
                <w:szCs w:val="20"/>
              </w:rPr>
              <w:t>太仓东泰精密机械有限公司职工共32人。年工作日250天，长白班，日工作8小时，年工作2000小时。</w:t>
            </w:r>
          </w:p>
          <w:p>
            <w:pPr>
              <w:spacing w:line="360" w:lineRule="auto"/>
              <w:ind w:right="195" w:rightChars="93"/>
              <w:rPr>
                <w:rFonts w:ascii="Times New Roman" w:hAnsi="Times New Roman" w:eastAsia="宋体" w:cs="Times New Roman"/>
                <w:sz w:val="24"/>
                <w:szCs w:val="20"/>
              </w:rPr>
            </w:pPr>
            <w:r>
              <w:rPr>
                <w:rFonts w:ascii="Times New Roman" w:hAnsi="Times New Roman" w:eastAsia="宋体" w:cs="Times New Roman"/>
                <w:b/>
                <w:sz w:val="24"/>
                <w:szCs w:val="24"/>
              </w:rPr>
              <w:t>6．环保措施</w:t>
            </w:r>
          </w:p>
          <w:p>
            <w:pPr>
              <w:spacing w:line="360" w:lineRule="auto"/>
              <w:ind w:firstLine="480" w:firstLineChars="200"/>
              <w:outlineLvl w:val="0"/>
              <w:rPr>
                <w:rFonts w:ascii="Times New Roman" w:hAnsi="Times New Roman" w:eastAsia="宋体" w:cs="Times New Roman"/>
                <w:b/>
                <w:szCs w:val="21"/>
              </w:rPr>
            </w:pPr>
            <w:r>
              <w:rPr>
                <w:rFonts w:ascii="Times New Roman" w:hAnsi="Times New Roman" w:eastAsia="宋体" w:cs="Times New Roman"/>
                <w:sz w:val="24"/>
                <w:szCs w:val="24"/>
              </w:rPr>
              <w:t>项目环保投资10万元，占总投资的5%。具体环保投资情况见表1-6：</w:t>
            </w:r>
          </w:p>
          <w:p>
            <w:pPr>
              <w:snapToGrid w:val="0"/>
              <w:jc w:val="center"/>
              <w:rPr>
                <w:rFonts w:ascii="Times New Roman" w:hAnsi="Times New Roman" w:eastAsia="宋体" w:cs="Times New Roman"/>
                <w:b/>
                <w:bCs/>
                <w:szCs w:val="21"/>
              </w:rPr>
            </w:pPr>
            <w:r>
              <w:rPr>
                <w:rFonts w:ascii="Times New Roman" w:hAnsi="Times New Roman" w:eastAsia="宋体" w:cs="Times New Roman"/>
                <w:b/>
                <w:szCs w:val="21"/>
              </w:rPr>
              <w:t>表1-6  项目环保投资一览表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1"/>
              <w:gridCol w:w="2398"/>
              <w:gridCol w:w="1005"/>
              <w:gridCol w:w="786"/>
              <w:gridCol w:w="1560"/>
              <w:gridCol w:w="1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1141" w:type="dxa"/>
                  <w:vAlign w:val="center"/>
                </w:tcPr>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污染源</w:t>
                  </w:r>
                </w:p>
              </w:tc>
              <w:tc>
                <w:tcPr>
                  <w:tcW w:w="2398" w:type="dxa"/>
                  <w:vAlign w:val="center"/>
                </w:tcPr>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环保设施名称</w:t>
                  </w:r>
                </w:p>
              </w:tc>
              <w:tc>
                <w:tcPr>
                  <w:tcW w:w="1005" w:type="dxa"/>
                  <w:tcMar>
                    <w:left w:w="11" w:type="dxa"/>
                    <w:right w:w="11" w:type="dxa"/>
                  </w:tcMar>
                  <w:vAlign w:val="center"/>
                </w:tcPr>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环保投资</w:t>
                  </w:r>
                </w:p>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（万元）</w:t>
                  </w:r>
                </w:p>
              </w:tc>
              <w:tc>
                <w:tcPr>
                  <w:tcW w:w="786" w:type="dxa"/>
                  <w:vAlign w:val="center"/>
                </w:tcPr>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数量</w:t>
                  </w:r>
                </w:p>
              </w:tc>
              <w:tc>
                <w:tcPr>
                  <w:tcW w:w="1560" w:type="dxa"/>
                  <w:vAlign w:val="center"/>
                </w:tcPr>
                <w:p>
                  <w:pPr>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处理能力</w:t>
                  </w:r>
                </w:p>
              </w:tc>
              <w:tc>
                <w:tcPr>
                  <w:tcW w:w="1406" w:type="dxa"/>
                  <w:vAlign w:val="center"/>
                </w:tcPr>
                <w:p>
                  <w:pPr>
                    <w:jc w:val="center"/>
                    <w:rPr>
                      <w:rFonts w:ascii="Times New Roman" w:hAnsi="Times New Roman" w:eastAsia="宋体" w:cs="Times New Roman"/>
                      <w:b/>
                      <w:bCs/>
                      <w:szCs w:val="21"/>
                    </w:rPr>
                  </w:pPr>
                  <w:r>
                    <w:rPr>
                      <w:rFonts w:ascii="Times New Roman" w:hAnsi="Times New Roman" w:eastAsia="宋体" w:cs="Times New Roman"/>
                      <w:b/>
                      <w:bCs/>
                      <w:szCs w:val="21"/>
                    </w:rPr>
                    <w:t>处理效果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14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废气</w:t>
                  </w:r>
                </w:p>
              </w:tc>
              <w:tc>
                <w:tcPr>
                  <w:tcW w:w="2398" w:type="dxa"/>
                  <w:vAlign w:val="center"/>
                </w:tcPr>
                <w:p>
                  <w:pPr>
                    <w:jc w:val="center"/>
                    <w:rPr>
                      <w:rFonts w:ascii="Times New Roman" w:hAnsi="Times New Roman" w:eastAsia="宋体" w:cs="Times New Roman"/>
                      <w:spacing w:val="-10"/>
                      <w:szCs w:val="21"/>
                    </w:rPr>
                  </w:pPr>
                  <w:r>
                    <w:rPr>
                      <w:rFonts w:ascii="Times New Roman" w:hAnsi="Times New Roman" w:eastAsia="宋体" w:cs="Times New Roman"/>
                      <w:spacing w:val="-10"/>
                      <w:szCs w:val="21"/>
                    </w:rPr>
                    <w:t>通风设备</w:t>
                  </w:r>
                </w:p>
              </w:tc>
              <w:tc>
                <w:tcPr>
                  <w:tcW w:w="1005" w:type="dxa"/>
                  <w:tcMar>
                    <w:left w:w="11" w:type="dxa"/>
                    <w:right w:w="11" w:type="dxa"/>
                  </w:tcMar>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w:t>
                  </w:r>
                </w:p>
              </w:tc>
              <w:tc>
                <w:tcPr>
                  <w:tcW w:w="78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56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14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废水</w:t>
                  </w:r>
                </w:p>
              </w:tc>
              <w:tc>
                <w:tcPr>
                  <w:tcW w:w="2398"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依托厂区现有污水管网</w:t>
                  </w:r>
                </w:p>
              </w:tc>
              <w:tc>
                <w:tcPr>
                  <w:tcW w:w="1005" w:type="dxa"/>
                  <w:tcMar>
                    <w:left w:w="11" w:type="dxa"/>
                    <w:right w:w="11" w:type="dxa"/>
                  </w:tcMar>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8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56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14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2398"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隔声减震消声措施</w:t>
                  </w:r>
                </w:p>
              </w:tc>
              <w:tc>
                <w:tcPr>
                  <w:tcW w:w="1005" w:type="dxa"/>
                  <w:tcMar>
                    <w:left w:w="11" w:type="dxa"/>
                    <w:right w:w="11" w:type="dxa"/>
                  </w:tcMar>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w:t>
                  </w:r>
                </w:p>
              </w:tc>
              <w:tc>
                <w:tcPr>
                  <w:tcW w:w="78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56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单台设备总体消声量30dB(A)</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厂界噪声达标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114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固废</w:t>
                  </w:r>
                </w:p>
              </w:tc>
              <w:tc>
                <w:tcPr>
                  <w:tcW w:w="2398"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固废堆存设施</w:t>
                  </w:r>
                </w:p>
              </w:tc>
              <w:tc>
                <w:tcPr>
                  <w:tcW w:w="1005" w:type="dxa"/>
                  <w:tcMar>
                    <w:left w:w="11" w:type="dxa"/>
                    <w:right w:w="11" w:type="dxa"/>
                  </w:tcMar>
                  <w:vAlign w:val="center"/>
                </w:tcPr>
                <w:p>
                  <w:pPr>
                    <w:jc w:val="center"/>
                    <w:rPr>
                      <w:rFonts w:ascii="Times New Roman" w:hAnsi="Times New Roman" w:eastAsia="宋体" w:cs="Times New Roman"/>
                      <w:szCs w:val="21"/>
                    </w:rPr>
                  </w:pPr>
                  <w:r>
                    <w:rPr>
                      <w:rFonts w:ascii="Times New Roman" w:hAnsi="Times New Roman" w:eastAsia="宋体" w:cs="Times New Roman"/>
                      <w:szCs w:val="21"/>
                    </w:rPr>
                    <w:t>3</w:t>
                  </w:r>
                </w:p>
              </w:tc>
              <w:tc>
                <w:tcPr>
                  <w:tcW w:w="78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56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3539"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合计</w:t>
                  </w:r>
                </w:p>
              </w:tc>
              <w:tc>
                <w:tcPr>
                  <w:tcW w:w="10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w:t>
                  </w:r>
                </w:p>
              </w:tc>
              <w:tc>
                <w:tcPr>
                  <w:tcW w:w="78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56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r>
          </w:tbl>
          <w:p>
            <w:pPr>
              <w:spacing w:line="360" w:lineRule="auto"/>
              <w:ind w:right="195" w:rightChars="93"/>
              <w:rPr>
                <w:rFonts w:ascii="Times New Roman" w:hAnsi="Times New Roman" w:eastAsia="宋体" w:cs="Times New Roman"/>
                <w:b/>
                <w:sz w:val="24"/>
                <w:szCs w:val="24"/>
              </w:rPr>
            </w:pPr>
            <w:r>
              <w:rPr>
                <w:rFonts w:ascii="Times New Roman" w:hAnsi="Times New Roman" w:eastAsia="宋体" w:cs="Times New Roman"/>
                <w:b/>
                <w:sz w:val="24"/>
                <w:szCs w:val="24"/>
              </w:rPr>
              <w:t>7．项目总平面布置</w:t>
            </w:r>
          </w:p>
          <w:p>
            <w:pPr>
              <w:spacing w:line="360" w:lineRule="auto"/>
              <w:ind w:firstLine="480" w:firstLineChars="200"/>
              <w:outlineLvl w:val="0"/>
              <w:rPr>
                <w:rFonts w:ascii="Times New Roman" w:hAnsi="Times New Roman" w:eastAsia="宋体" w:cs="Times New Roman"/>
                <w:sz w:val="24"/>
                <w:szCs w:val="20"/>
              </w:rPr>
            </w:pPr>
            <w:r>
              <w:rPr>
                <w:rFonts w:ascii="Times New Roman" w:hAnsi="Times New Roman" w:eastAsia="宋体" w:cs="Times New Roman"/>
                <w:sz w:val="24"/>
                <w:szCs w:val="20"/>
              </w:rPr>
              <w:t>本项目位于太仓高新区宣东公路8号1幢，项目周边环境状况：项目厂区东界外为兴旺路，以东为武锋金属制品，南面为宣公东路，以南为江苏神州建设集团，西界为发达路，路西为太仓安杰时装有限公司，北界康乐沙发家具厂。（详见附图1“项目地理位置图”、附图3“项目周边环境状况图”）。</w:t>
            </w:r>
          </w:p>
          <w:p>
            <w:pPr>
              <w:spacing w:line="360" w:lineRule="auto"/>
              <w:ind w:firstLine="480" w:firstLineChars="200"/>
              <w:outlineLvl w:val="0"/>
              <w:rPr>
                <w:rFonts w:ascii="Times New Roman" w:hAnsi="Times New Roman" w:eastAsia="宋体" w:cs="Times New Roman"/>
                <w:sz w:val="24"/>
                <w:szCs w:val="20"/>
              </w:rPr>
            </w:pPr>
            <w:r>
              <w:rPr>
                <w:rFonts w:ascii="Times New Roman" w:hAnsi="Times New Roman" w:eastAsia="宋体" w:cs="Times New Roman"/>
                <w:sz w:val="24"/>
                <w:szCs w:val="20"/>
              </w:rPr>
              <w:t>本项目在满足生产工艺流程的前提下，考虑运输、安全、卫生等要求，结合项目用地的周边关系，按各种设施不同功能进行分区和组合，力求平面布置紧凑合理，节省用地，有利生产，方便管理。本工程总平面布置情况具体见附图4。</w:t>
            </w:r>
          </w:p>
          <w:p>
            <w:pPr>
              <w:spacing w:line="360" w:lineRule="auto"/>
              <w:ind w:right="25" w:rightChars="12"/>
              <w:rPr>
                <w:rFonts w:ascii="Times New Roman" w:hAnsi="Times New Roman" w:eastAsia="宋体" w:cs="Times New Roman"/>
                <w:b/>
                <w:sz w:val="24"/>
                <w:szCs w:val="24"/>
              </w:rPr>
            </w:pPr>
          </w:p>
          <w:p>
            <w:pPr>
              <w:spacing w:line="360" w:lineRule="auto"/>
              <w:ind w:right="25" w:rightChars="12"/>
              <w:rPr>
                <w:rFonts w:ascii="Times New Roman" w:hAnsi="Times New Roman" w:eastAsia="宋体" w:cs="Times New Roman"/>
                <w:bCs/>
                <w:sz w:val="24"/>
                <w:szCs w:val="20"/>
              </w:rPr>
            </w:pPr>
            <w:r>
              <w:rPr>
                <w:rFonts w:ascii="Times New Roman" w:hAnsi="Times New Roman" w:eastAsia="宋体" w:cs="Times New Roman"/>
                <w:b/>
                <w:sz w:val="24"/>
                <w:szCs w:val="24"/>
              </w:rPr>
              <w:t>8．</w:t>
            </w:r>
            <w:r>
              <w:rPr>
                <w:rFonts w:ascii="Times New Roman" w:hAnsi="Times New Roman" w:eastAsia="宋体" w:cs="Times New Roman"/>
                <w:b/>
                <w:sz w:val="24"/>
                <w:szCs w:val="20"/>
              </w:rPr>
              <w:t>产业政策符合性</w:t>
            </w:r>
          </w:p>
          <w:p>
            <w:pPr>
              <w:spacing w:line="360" w:lineRule="auto"/>
              <w:ind w:firstLine="480" w:firstLineChars="200"/>
              <w:outlineLvl w:val="0"/>
              <w:rPr>
                <w:rFonts w:ascii="Times New Roman" w:hAnsi="Times New Roman" w:eastAsia="宋体" w:cs="Times New Roman"/>
                <w:sz w:val="24"/>
                <w:szCs w:val="20"/>
              </w:rPr>
            </w:pPr>
            <w:r>
              <w:rPr>
                <w:rFonts w:ascii="Times New Roman" w:hAnsi="Times New Roman" w:eastAsia="宋体" w:cs="Times New Roman"/>
                <w:sz w:val="24"/>
                <w:szCs w:val="20"/>
              </w:rPr>
              <w:t>经查实，本项目产品、设备不属于国家发展和改革委员会《产业结构调整指导目录(2019年本)》及《国家发展改革委关于修改&lt;产业结构调整指导目录(2011年本)&gt;有关条款的规定》（发展改革委令2013第21号）鼓励类、限制类和淘汰类；不属于《江苏省工业和信息产业结构调整指导目录（2012年本）（2013修订）》（苏政办39发[2013]9号）及《关于修改&lt;江苏省工业和信息产业结构调整指导目录（2012年本）&gt;部分条目的通知》（苏经信产业[2013]183号）鼓励类、限制类和淘汰类所规定的内容；也不属于《苏州市产业发展导向目录（2007年本）》鼓励类、限制类、禁止类和淘汰类之列，为允许类。故该项目符合国家及地方的产业政策。根据《江苏省太湖水污染防治条例》（2018年修订稿）、《太湖流域管理条例》[国务院令第604号（2011年11月1日实施）]，本项目位于太湖流域三级保护区范围内，但不属于其三级保护区禁止及限制行为，符合太湖水域相关条例规定。根据《江苏省生态红线区域保护规划》，本项目不在生态红线区以及管控区及二级管控区范围内。此外，本项目不属于国家《限制用地项目目录(2012 年本)》、《禁止用地项目目录(2012年本)》(国土资发[2012]98号文附件)、《江苏限制、禁止用地项目目录（2013年本）》。因此，属于允许用地项目类。</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因此，项目符合国家和地方的产业政策规定，与产业政策相容。</w:t>
            </w:r>
          </w:p>
          <w:p>
            <w:pPr>
              <w:spacing w:line="360" w:lineRule="auto"/>
              <w:rPr>
                <w:rFonts w:ascii="Times New Roman" w:hAnsi="Times New Roman" w:eastAsia="宋体" w:cs="Times New Roman"/>
                <w:b/>
                <w:sz w:val="24"/>
                <w:szCs w:val="20"/>
              </w:rPr>
            </w:pPr>
            <w:r>
              <w:rPr>
                <w:rFonts w:ascii="Times New Roman" w:hAnsi="Times New Roman" w:eastAsia="宋体" w:cs="Times New Roman"/>
                <w:b/>
                <w:sz w:val="24"/>
                <w:szCs w:val="24"/>
              </w:rPr>
              <w:t>9．</w:t>
            </w:r>
            <w:r>
              <w:rPr>
                <w:rFonts w:ascii="Times New Roman" w:hAnsi="Times New Roman" w:eastAsia="宋体" w:cs="Times New Roman"/>
                <w:b/>
                <w:sz w:val="24"/>
                <w:szCs w:val="20"/>
              </w:rPr>
              <w:t>规划相容性</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位于太仓高新区宣东公路8号1幢该地块为规划工业用地，属于太仓高新技术产业开发区。太仓高新技术产业开发区四至范围为：东至浏河镇交界，南至新浏河，西至盐铁塘和太平路，北至苏昆太高速。根据该工业园的产业定位立足机械电子、轻工纺织、食品、生物医药、环保等主导产业，其中机械电子环保产业主要发展新能源、装备制造、精密机械、电子信息等，生物医药主要发展复配分装以及研发等，不涉及原药生产，不涉及化工。</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本项目为通用设备生产，属于机械类，产品符合该工业园的产业定位，根据租赁房土地证，用地性质为工业用地。本项目建设符合太仓高新技术产业开发区规划、用地规划。</w:t>
            </w:r>
          </w:p>
          <w:p>
            <w:pPr>
              <w:spacing w:line="360" w:lineRule="auto"/>
              <w:ind w:firstLine="480" w:firstLineChars="200"/>
              <w:rPr>
                <w:rFonts w:ascii="Times New Roman" w:hAnsi="Times New Roman" w:eastAsia="宋体" w:cs="Times New Roman"/>
                <w:sz w:val="24"/>
                <w:szCs w:val="24"/>
              </w:rPr>
            </w:pPr>
          </w:p>
          <w:p>
            <w:pPr>
              <w:spacing w:line="360" w:lineRule="auto"/>
              <w:ind w:firstLine="480" w:firstLineChars="200"/>
              <w:rPr>
                <w:rFonts w:ascii="Times New Roman" w:hAnsi="Times New Roman" w:eastAsia="宋体" w:cs="Times New Roman"/>
                <w:sz w:val="24"/>
                <w:szCs w:val="24"/>
              </w:rPr>
            </w:pPr>
          </w:p>
          <w:p>
            <w:pPr>
              <w:spacing w:line="360" w:lineRule="auto"/>
              <w:ind w:firstLine="480" w:firstLineChars="200"/>
              <w:rPr>
                <w:rFonts w:ascii="Times New Roman" w:hAnsi="Times New Roman" w:eastAsia="宋体" w:cs="Times New Roman"/>
                <w:sz w:val="24"/>
                <w:szCs w:val="24"/>
              </w:rPr>
            </w:pPr>
          </w:p>
          <w:p>
            <w:pPr>
              <w:spacing w:line="360" w:lineRule="auto"/>
              <w:rPr>
                <w:rFonts w:ascii="Times New Roman" w:hAnsi="Times New Roman" w:eastAsia="宋体" w:cs="Times New Roman"/>
                <w:b/>
                <w:sz w:val="24"/>
                <w:szCs w:val="20"/>
              </w:rPr>
            </w:pPr>
            <w:bookmarkStart w:id="0" w:name="OLE_LINK18"/>
            <w:r>
              <w:rPr>
                <w:rFonts w:ascii="Times New Roman" w:hAnsi="Times New Roman" w:eastAsia="宋体" w:cs="Times New Roman"/>
                <w:b/>
                <w:sz w:val="24"/>
                <w:szCs w:val="20"/>
              </w:rPr>
              <w:t>10.与太湖流域管理要求相符性</w:t>
            </w:r>
          </w:p>
          <w:p>
            <w:pPr>
              <w:spacing w:line="360" w:lineRule="auto"/>
              <w:rPr>
                <w:rFonts w:ascii="Times New Roman" w:hAnsi="Times New Roman" w:eastAsia="宋体" w:cs="Times New Roman"/>
                <w:sz w:val="24"/>
                <w:szCs w:val="20"/>
              </w:rPr>
            </w:pPr>
            <w:r>
              <w:rPr>
                <w:rFonts w:ascii="Times New Roman" w:hAnsi="Times New Roman" w:eastAsia="宋体" w:cs="Times New Roman"/>
                <w:sz w:val="24"/>
                <w:szCs w:val="20"/>
              </w:rPr>
              <w:t xml:space="preserve">    根据《江苏省太湖水污染防治条例》(2018年修订)，太湖流域实行分级保护，划分为三级保护区：太湖湖体、沿湖岸五公里区域、入湖河道上溯十公里以及沿岸两侧各一公里范围为一级保护区；主要入湖河道上溯十公里至五十公里以及沿岸两侧各一公里范围为二级保护区；其他地区为三级保护区。太湖流域一、二、三级保护区禁止下列行为：</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 xml:space="preserve">（一）新建、改建、扩建化学制浆造纸、制革、酿造、染料、印染、电镀以及其他排放含磷、氮等污染物的企业和项目，城镇污水集中处理等环境基础设施项目和第四十六条规定的情形除外； </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（二）销售、使用含磷洗涤用品；</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（三）向水体排放或者倾倒油类、酸液、碱液、剧毒废渣废液、含放射性废渣废液、含病原体污水、工业废渣以及其他废弃物；</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（四）在水体清洗装贮过油类或者有毒有害污染物的车辆、船舶和容器等；</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（五）使用农药等有毒物毒杀水生生物；</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（六）向水体直接排放人畜粪便、倾倒垃圾；</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（七）围湖造地；</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（八）违法开山采石，或者进行破坏林木、植被、水生生物的活动；</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（九）法律、法规禁止的其他行为。</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本项目属于太湖流域三级保护区，本项目无生产废水，只有生活污水，符合该条例的有关要求。</w:t>
            </w:r>
          </w:p>
          <w:bookmarkEnd w:id="0"/>
          <w:p>
            <w:pPr>
              <w:spacing w:line="360" w:lineRule="auto"/>
              <w:rPr>
                <w:rFonts w:ascii="Times New Roman" w:hAnsi="Times New Roman" w:eastAsia="宋体" w:cs="Times New Roman"/>
                <w:szCs w:val="20"/>
              </w:rPr>
            </w:pPr>
            <w:r>
              <w:rPr>
                <w:rFonts w:ascii="Times New Roman" w:hAnsi="Times New Roman" w:eastAsia="宋体" w:cs="Times New Roman"/>
                <w:b/>
                <w:sz w:val="24"/>
                <w:szCs w:val="20"/>
              </w:rPr>
              <w:t>11.</w:t>
            </w:r>
            <w:r>
              <w:rPr>
                <w:rFonts w:ascii="Times New Roman" w:hAnsi="Times New Roman" w:eastAsia="宋体" w:cs="Times New Roman"/>
                <w:b/>
                <w:bCs/>
                <w:sz w:val="24"/>
                <w:szCs w:val="24"/>
              </w:rPr>
              <w:t>与“三线一单”相符性分析</w:t>
            </w:r>
          </w:p>
          <w:p>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1）“生态红线”：根据《江苏省国家级生态保护红线规划》，太仓市生态保护红线区域有太仓金仓湖省级湿地公园、长江太仓浏河饮用水水源保护区、长江太仓浪港饮用水水源保护区，本项目不在以上所列太仓市生态保护红线区域内，本项目直线距离最近的生态功能保护区为“太仓金仓湖省级湿地公园”，本项目位于其南侧，距离其湿地保育区和恢复重建区边界距离约4200m符合《江苏省国家级生态保护红线规划》相关要求。</w:t>
            </w:r>
          </w:p>
          <w:p>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根据《江苏省生态空间管控区域规划》（苏政发[2020]1号），与本项目直线距离最近的生态红线管控区为“浏河（太仓市）清水通道维护区”，本项目位于其北侧，距离生态空间管控区域边界距离约4100m，因此本项目不在江苏省太仓市生态空间管控区域内，不会导致太仓市管辖区内生态空间保护区域主导生态功能下降，因此建设项目与《江苏省生态空间管控区域规划》（苏政发[2020]1号）是相符的。</w:t>
            </w:r>
          </w:p>
          <w:p>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2）“环境质量底线”：2019年太仓市环境空气中二氧化硫、二氧化氮、可吸入颗粒物年均浓度和一氧化碳日平均第95百分位数浓度达到《环境空气质量标准》(GB3095—2012)二级标准，细颗粒物年均浓度达标，细颗粒物百分位数日 均浓度和臭氧日最大8小时平均百分位数浓度超过《环境空气质量标准》(GB3095—2012)二级标准，因此判定为非达标区，根据大气环境质量达标规划，通过进一步减少氮氧化物的排放量，控制扬尘污染，机动车尾气污染防治等措施，大气环境质量状况可以得到进一步改善；项目所在地水、土壤环境质量现状良好，本项目建设后营运期产生的各项污染物通过相应的治理措施处理后均可达标排放，本项目环境风险可控制在安全范围内，地表水新浏河水质满足《地表水环境质量标准》(GB3838-2002)中Ⅳ类标准要求，声环境达到《声环境质量标准》(GB3096-2008)中的2类标准，本项目实施后，“三废”处理达标后排放，对周边环境产生影响较小，不会改变周边环境功能区划要求，从环境的角度来说项目 的建设与周围环境是相容的。</w:t>
            </w:r>
          </w:p>
          <w:p>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（3）“资源利用上线”：本项目用水取自当地自来水，且用水量较小，不会达到资源利用上线；项目占地符合当地规划要求，亦不会达到资源利用上线。</w:t>
            </w:r>
          </w:p>
          <w:p>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（4）“负面清单”：</w:t>
            </w:r>
          </w:p>
          <w:p>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太仓市高新技术产业开发区环境准入负面清单详见下表。</w:t>
            </w:r>
          </w:p>
          <w:p>
            <w:pPr>
              <w:jc w:val="center"/>
              <w:rPr>
                <w:rFonts w:ascii="Times New Roman" w:hAnsi="Times New Roman" w:eastAsia="宋体" w:cs="Times New Roman"/>
                <w:b/>
                <w:bCs/>
                <w:szCs w:val="24"/>
              </w:rPr>
            </w:pPr>
            <w:r>
              <w:rPr>
                <w:rFonts w:ascii="Times New Roman" w:hAnsi="Times New Roman" w:eastAsia="宋体" w:cs="Times New Roman"/>
                <w:b/>
                <w:bCs/>
                <w:szCs w:val="24"/>
              </w:rPr>
              <w:t>表1-7   环境准入负面清单</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6"/>
              <w:gridCol w:w="2472"/>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要求</w:t>
                  </w:r>
                </w:p>
              </w:tc>
              <w:tc>
                <w:tcPr>
                  <w:tcW w:w="1452"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行业</w:t>
                  </w:r>
                </w:p>
              </w:tc>
              <w:tc>
                <w:tcPr>
                  <w:tcW w:w="2499"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禁止发展内容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pct"/>
                  <w:vMerge w:val="restar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不符合国家产业政策、不符合规划区产业定位、工艺落后、污染严重的企业</w:t>
                  </w:r>
                </w:p>
              </w:tc>
              <w:tc>
                <w:tcPr>
                  <w:tcW w:w="1452"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机械电子类</w:t>
                  </w:r>
                </w:p>
              </w:tc>
              <w:tc>
                <w:tcPr>
                  <w:tcW w:w="2499"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电镀、印刷电路板的制造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pct"/>
                  <w:vMerge w:val="continue"/>
                  <w:shd w:val="clear" w:color="auto" w:fill="auto"/>
                  <w:vAlign w:val="center"/>
                </w:tcPr>
                <w:p>
                  <w:pPr>
                    <w:jc w:val="center"/>
                    <w:rPr>
                      <w:rFonts w:ascii="Times New Roman" w:hAnsi="Times New Roman" w:eastAsia="Times New Roman" w:cs="Times New Roman"/>
                      <w:bCs/>
                      <w:szCs w:val="21"/>
                    </w:rPr>
                  </w:pPr>
                </w:p>
              </w:tc>
              <w:tc>
                <w:tcPr>
                  <w:tcW w:w="1452"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轻功纺织类</w:t>
                  </w:r>
                </w:p>
              </w:tc>
              <w:tc>
                <w:tcPr>
                  <w:tcW w:w="2499"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制浆造纸、印染、制革、酿造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pct"/>
                  <w:vMerge w:val="continue"/>
                  <w:shd w:val="clear" w:color="auto" w:fill="auto"/>
                  <w:vAlign w:val="center"/>
                </w:tcPr>
                <w:p>
                  <w:pPr>
                    <w:jc w:val="center"/>
                    <w:rPr>
                      <w:rFonts w:ascii="Times New Roman" w:hAnsi="Times New Roman" w:eastAsia="Times New Roman" w:cs="Times New Roman"/>
                      <w:bCs/>
                      <w:szCs w:val="21"/>
                    </w:rPr>
                  </w:pPr>
                </w:p>
              </w:tc>
              <w:tc>
                <w:tcPr>
                  <w:tcW w:w="1452"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食品类</w:t>
                  </w:r>
                </w:p>
              </w:tc>
              <w:tc>
                <w:tcPr>
                  <w:tcW w:w="2499"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盐、糖、酒精、味精（传统工艺）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pct"/>
                  <w:vMerge w:val="continue"/>
                  <w:shd w:val="clear" w:color="auto" w:fill="auto"/>
                  <w:vAlign w:val="center"/>
                </w:tcPr>
                <w:p>
                  <w:pPr>
                    <w:jc w:val="center"/>
                    <w:rPr>
                      <w:rFonts w:ascii="Times New Roman" w:hAnsi="Times New Roman" w:eastAsia="Times New Roman" w:cs="Times New Roman"/>
                      <w:bCs/>
                      <w:szCs w:val="21"/>
                    </w:rPr>
                  </w:pPr>
                </w:p>
              </w:tc>
              <w:tc>
                <w:tcPr>
                  <w:tcW w:w="1452" w:type="pct"/>
                  <w:shd w:val="clear" w:color="auto" w:fill="auto"/>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生物医药</w:t>
                  </w:r>
                </w:p>
              </w:tc>
              <w:tc>
                <w:tcPr>
                  <w:tcW w:w="2499"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化学原料药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pct"/>
                  <w:vMerge w:val="continue"/>
                  <w:shd w:val="clear" w:color="auto" w:fill="auto"/>
                  <w:vAlign w:val="center"/>
                </w:tcPr>
                <w:p>
                  <w:pPr>
                    <w:jc w:val="center"/>
                    <w:rPr>
                      <w:rFonts w:ascii="Times New Roman" w:hAnsi="Times New Roman" w:eastAsia="Times New Roman" w:cs="Times New Roman"/>
                      <w:bCs/>
                      <w:szCs w:val="21"/>
                    </w:rPr>
                  </w:pPr>
                </w:p>
              </w:tc>
              <w:tc>
                <w:tcPr>
                  <w:tcW w:w="1452" w:type="pct"/>
                  <w:shd w:val="clear" w:color="auto" w:fill="auto"/>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环保产业</w:t>
                  </w:r>
                </w:p>
              </w:tc>
              <w:tc>
                <w:tcPr>
                  <w:tcW w:w="2499"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危险固废处置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pct"/>
                  <w:vMerge w:val="continue"/>
                  <w:shd w:val="clear" w:color="auto" w:fill="auto"/>
                  <w:vAlign w:val="center"/>
                </w:tcPr>
                <w:p>
                  <w:pPr>
                    <w:jc w:val="center"/>
                    <w:rPr>
                      <w:rFonts w:ascii="Times New Roman" w:hAnsi="Times New Roman" w:eastAsia="Times New Roman" w:cs="Times New Roman"/>
                      <w:bCs/>
                      <w:szCs w:val="21"/>
                    </w:rPr>
                  </w:pPr>
                </w:p>
              </w:tc>
              <w:tc>
                <w:tcPr>
                  <w:tcW w:w="1452" w:type="pct"/>
                  <w:shd w:val="clear" w:color="auto" w:fill="auto"/>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其他</w:t>
                  </w:r>
                </w:p>
              </w:tc>
              <w:tc>
                <w:tcPr>
                  <w:tcW w:w="2499" w:type="pct"/>
                  <w:shd w:val="clear" w:color="auto" w:fill="auto"/>
                  <w:vAlign w:val="center"/>
                </w:tcPr>
                <w:p>
                  <w:pPr>
                    <w:jc w:val="center"/>
                    <w:rPr>
                      <w:rFonts w:ascii="Times New Roman" w:hAnsi="Times New Roman" w:eastAsia="Times New Roman" w:cs="Times New Roman"/>
                      <w:bCs/>
                      <w:szCs w:val="21"/>
                    </w:rPr>
                  </w:pPr>
                  <w:r>
                    <w:rPr>
                      <w:rFonts w:ascii="Times New Roman" w:hAnsi="Times New Roman" w:eastAsia="宋体" w:cs="Times New Roman"/>
                      <w:bCs/>
                      <w:szCs w:val="21"/>
                    </w:rPr>
                    <w:t>其他不在规划区行业的定位的项目（如化工、电镀等），以及新增排放氮磷生产废水排放，排放恶臭污染的企业。</w:t>
                  </w:r>
                </w:p>
              </w:tc>
            </w:tr>
          </w:tbl>
          <w:p>
            <w:pPr>
              <w:spacing w:after="120"/>
              <w:rPr>
                <w:rFonts w:ascii="Times New Roman" w:hAnsi="Times New Roman" w:eastAsia="宋体" w:cs="Times New Roman"/>
                <w:sz w:val="24"/>
                <w:szCs w:val="24"/>
              </w:rPr>
            </w:pPr>
            <w:r>
              <w:rPr>
                <w:rFonts w:ascii="Times New Roman" w:hAnsi="Times New Roman" w:eastAsia="宋体" w:cs="Times New Roman"/>
                <w:b/>
                <w:sz w:val="24"/>
                <w:szCs w:val="24"/>
              </w:rPr>
              <w:t>12、与《“十三五”挥发性有机物污染防治工作方案》相符性</w:t>
            </w:r>
          </w:p>
          <w:p>
            <w:pPr>
              <w:snapToGrid w:val="0"/>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根据关于印发《“十三五”挥发性有机物污染防治工作方案》的通知(环大气[2017]121号)要求：“提高VOCs排放重点行业环保准入门槛，严格控制新增污染物排放量。重点地区要严格限制石化、化工、包装印刷、工业涂装等高VOCs排放建设项目。新建涉VOCs排放的工业企业要入园区。未纳入《石化产业规划布局方案》的新建炼化项目 一律不得建设。严格涉VOCs建设项目环境影响评价，实行区域内VOCs排放等量或倍量削减替代，并将替代方案落实到企业排污许可证中，纳入环境执法管理。新、改、扩建涉VOCs 排放项目，应从源头加强控制，使用低(无)VOCs 含量的原辅材料，加强废气收集，安装高效治理设施。”相符性分析：本项目 不属于高VOCs 排放项目。</w:t>
            </w:r>
          </w:p>
          <w:p>
            <w:pPr>
              <w:snapToGrid w:val="0"/>
              <w:spacing w:line="360" w:lineRule="auto"/>
              <w:ind w:firstLine="482" w:firstLineChars="200"/>
              <w:jc w:val="left"/>
              <w:rPr>
                <w:rFonts w:ascii="Times New Roman" w:hAnsi="Times New Roman" w:eastAsia="宋体" w:cs="Times New Roman"/>
                <w:b/>
                <w:sz w:val="24"/>
                <w:szCs w:val="24"/>
              </w:rPr>
            </w:pPr>
            <w:r>
              <w:rPr>
                <w:rFonts w:ascii="Times New Roman" w:hAnsi="Times New Roman" w:eastAsia="宋体" w:cs="Times New Roman"/>
                <w:b/>
                <w:sz w:val="24"/>
                <w:szCs w:val="24"/>
              </w:rPr>
              <w:t>13、与《打赢蓝天保卫战三年行动计划》相符性</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本项目大气污染物排放量较低，无温室气体、二氧化硫、氮氧化物的排放，采用清洁原辅材料和能源，符合《打赢蓝天保卫战三年行动计划》的内容。</w:t>
            </w:r>
          </w:p>
          <w:p>
            <w:pPr>
              <w:snapToGrid w:val="0"/>
              <w:spacing w:line="360" w:lineRule="auto"/>
              <w:ind w:firstLine="482" w:firstLineChars="200"/>
              <w:jc w:val="left"/>
              <w:rPr>
                <w:rFonts w:ascii="Times New Roman" w:hAnsi="Times New Roman" w:eastAsia="宋体" w:cs="Times New Roman"/>
                <w:b/>
                <w:sz w:val="24"/>
                <w:szCs w:val="24"/>
              </w:rPr>
            </w:pPr>
            <w:r>
              <w:rPr>
                <w:rFonts w:ascii="Times New Roman" w:hAnsi="Times New Roman" w:eastAsia="宋体" w:cs="Times New Roman"/>
                <w:b/>
                <w:sz w:val="24"/>
                <w:szCs w:val="24"/>
              </w:rPr>
              <w:t>14、与《江苏省重点行业挥发性有机物污染控制指南》（苏环办[2014]128 号）相符性分析</w:t>
            </w:r>
          </w:p>
          <w:p>
            <w:pPr>
              <w:snapToGrid w:val="0"/>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根据《江苏省重点行业挥发性有机物污染控制指南》总体要求：</w:t>
            </w:r>
          </w:p>
          <w:p>
            <w:pPr>
              <w:snapToGrid w:val="0"/>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（一）所有产生有机废气污染的企业，应优先采用环保型原辅料、生产工艺和装备，对相应生产单元或设施进行密闭，从源头控制VOCs的产生，减少废气污染物排放。</w:t>
            </w:r>
          </w:p>
          <w:p>
            <w:pPr>
              <w:snapToGrid w:val="0"/>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二）鼓励对排放的VOCs进行回收利用，并优先在生产系统内回用。对浓度、性状差异较大的废气应分类收集，并采用适宜的方式进行有效处理，确保VOCs总去除率满足管理要求，其中有机化工、医药化工、橡胶和塑料制品（有溶剂浸胶工艺）、溶剂型涂料表面涂装、包装印刷业的 VOCs 总收集、净化处理率均不低于90%，其他行业原则上不低于75%。废气处理的工艺路线应根据废气产生量、污染物组分和性质、温度、压力等因素，综合分析后合理选择，具体要求如下：</w:t>
            </w:r>
          </w:p>
          <w:p>
            <w:pPr>
              <w:snapToGrid w:val="0"/>
              <w:spacing w:line="360" w:lineRule="auto"/>
              <w:ind w:firstLine="480" w:firstLineChars="200"/>
              <w:jc w:val="left"/>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对于5000ppm 以上的高浓度VOCs废气，优先采用冷凝、吸附回收等技术对废气中的VOCs回收利用，并辅以其他治理技术实现达标排放。</w:t>
            </w:r>
          </w:p>
          <w:p>
            <w:pPr>
              <w:snapToGrid w:val="0"/>
              <w:spacing w:line="360" w:lineRule="auto"/>
              <w:ind w:firstLine="480" w:firstLineChars="200"/>
              <w:jc w:val="left"/>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对于1000ppm～5000ppm的中等浓度VOCs废气，具备回收价值的宜采用吸附技术回收有机溶剂，不具备回收价值的可采用催化燃烧、RTO炉高温焚烧等技术净化后达标排放。当采用热力焚烧技术进行净化时，宜对燃烧后的热量回收利用。</w:t>
            </w:r>
          </w:p>
          <w:p>
            <w:pPr>
              <w:snapToGrid w:val="0"/>
              <w:spacing w:line="360" w:lineRule="auto"/>
              <w:ind w:firstLine="480" w:firstLineChars="200"/>
              <w:jc w:val="left"/>
              <w:rPr>
                <w:rFonts w:ascii="Times New Roman" w:hAnsi="Times New Roman" w:eastAsia="宋体" w:cs="Times New Roman"/>
                <w:sz w:val="24"/>
                <w:szCs w:val="24"/>
              </w:rPr>
            </w:pPr>
            <w:r>
              <w:rPr>
                <w:rFonts w:hint="eastAsia" w:ascii="宋体" w:hAnsi="宋体" w:eastAsia="宋体" w:cs="宋体"/>
                <w:sz w:val="24"/>
                <w:szCs w:val="24"/>
              </w:rPr>
              <w:t>③</w:t>
            </w:r>
            <w:r>
              <w:rPr>
                <w:rFonts w:ascii="Times New Roman" w:hAnsi="Times New Roman" w:eastAsia="宋体" w:cs="Times New Roman"/>
                <w:sz w:val="24"/>
                <w:szCs w:val="24"/>
              </w:rPr>
              <w:t>对于 1000ppm 以下的低浓度VOCs废气，有回收价值时宜采用吸附技术回收处理，无回收价值时优先采用吸附浓缩－高温燃烧、微生物处理、填料塔吸收等技术净化处理后达标排放。</w:t>
            </w:r>
          </w:p>
          <w:p>
            <w:pPr>
              <w:snapToGrid w:val="0"/>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相符性分析：本项目不属于重点行业。本项目建设符合该文件的要求。</w:t>
            </w:r>
          </w:p>
        </w:tc>
      </w:tr>
    </w:tbl>
    <w:p>
      <w:pPr>
        <w:keepNext/>
        <w:keepLines/>
        <w:spacing w:before="340" w:after="330" w:line="578" w:lineRule="auto"/>
        <w:outlineLvl w:val="0"/>
        <w:rPr>
          <w:rFonts w:ascii="Times New Roman" w:hAnsi="Times New Roman" w:eastAsia="宋体" w:cs="Times New Roman"/>
          <w:b/>
          <w:bCs/>
          <w:color w:val="FF0000"/>
          <w:kern w:val="44"/>
          <w:sz w:val="44"/>
          <w:szCs w:val="44"/>
        </w:rPr>
        <w:sectPr>
          <w:footerReference r:id="rId4" w:type="default"/>
          <w:pgSz w:w="11906" w:h="16838"/>
          <w:pgMar w:top="1440" w:right="1080" w:bottom="1440" w:left="1080" w:header="851" w:footer="992" w:gutter="0"/>
          <w:pgBorders w:offsetFrom="page">
            <w:top w:val="none" w:sz="0" w:space="0"/>
            <w:left w:val="none" w:sz="0" w:space="0"/>
            <w:bottom w:val="none" w:sz="0" w:space="0"/>
            <w:right w:val="none" w:sz="0" w:space="0"/>
          </w:pgBorders>
          <w:pgNumType w:start="1"/>
          <w:cols w:space="720" w:num="1"/>
          <w:docGrid w:linePitch="312" w:charSpace="0"/>
        </w:sectPr>
      </w:pPr>
    </w:p>
    <w:p>
      <w:pPr>
        <w:keepNext/>
        <w:keepLines/>
        <w:spacing w:line="240" w:lineRule="atLeast"/>
        <w:outlineLvl w:val="0"/>
        <w:rPr>
          <w:rFonts w:ascii="Times New Roman" w:hAnsi="Times New Roman" w:eastAsia="宋体" w:cs="Times New Roman"/>
          <w:b/>
          <w:bCs/>
          <w:kern w:val="44"/>
          <w:sz w:val="28"/>
          <w:szCs w:val="28"/>
        </w:rPr>
      </w:pPr>
      <w:r>
        <w:rPr>
          <w:rFonts w:ascii="Times New Roman" w:hAnsi="Times New Roman" w:eastAsia="宋体" w:cs="Times New Roman"/>
          <w:b/>
          <w:bCs/>
          <w:kern w:val="44"/>
          <w:sz w:val="28"/>
          <w:szCs w:val="28"/>
        </w:rPr>
        <w:t>二、建设项目所在地自然环境、社会环境简况</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Pr>
          <w:p>
            <w:pPr>
              <w:spacing w:line="288" w:lineRule="auto"/>
              <w:rPr>
                <w:rFonts w:ascii="Times New Roman" w:hAnsi="Times New Roman" w:eastAsia="宋体" w:cs="Times New Roman"/>
                <w:sz w:val="24"/>
                <w:szCs w:val="24"/>
              </w:rPr>
            </w:pPr>
            <w:r>
              <w:rPr>
                <w:rFonts w:ascii="Times New Roman" w:hAnsi="Times New Roman" w:eastAsia="宋体" w:cs="Times New Roman"/>
                <w:b/>
                <w:sz w:val="24"/>
                <w:szCs w:val="24"/>
              </w:rPr>
              <w:t>自然环境简况</w:t>
            </w:r>
            <w:r>
              <w:rPr>
                <w:rFonts w:ascii="Times New Roman" w:hAnsi="Times New Roman" w:eastAsia="宋体" w:cs="Times New Roman"/>
                <w:sz w:val="24"/>
                <w:szCs w:val="24"/>
              </w:rPr>
              <w:t>（地形、地貌、地质、气候、气象、水文、植被、生物多样性）</w:t>
            </w:r>
          </w:p>
          <w:p>
            <w:pPr>
              <w:spacing w:line="360" w:lineRule="auto"/>
              <w:rPr>
                <w:rFonts w:ascii="Times New Roman" w:hAnsi="Times New Roman" w:eastAsia="宋体" w:cs="Times New Roman"/>
                <w:b/>
                <w:sz w:val="24"/>
                <w:szCs w:val="24"/>
              </w:rPr>
            </w:pPr>
            <w:r>
              <w:rPr>
                <w:rFonts w:ascii="Times New Roman" w:hAnsi="Times New Roman" w:eastAsia="宋体" w:cs="Times New Roman"/>
                <w:sz w:val="24"/>
                <w:szCs w:val="24"/>
              </w:rPr>
              <w:t xml:space="preserve">   </w:t>
            </w:r>
            <w:r>
              <w:rPr>
                <w:rFonts w:ascii="Times New Roman" w:hAnsi="Times New Roman" w:eastAsia="宋体" w:cs="Times New Roman"/>
                <w:b/>
                <w:sz w:val="24"/>
                <w:szCs w:val="24"/>
              </w:rPr>
              <w:t xml:space="preserve"> 1.地理位置</w:t>
            </w:r>
          </w:p>
          <w:p>
            <w:pPr>
              <w:spacing w:line="360" w:lineRule="auto"/>
              <w:ind w:firstLine="470" w:firstLineChars="196"/>
              <w:rPr>
                <w:rFonts w:ascii="Times New Roman" w:hAnsi="Times New Roman" w:eastAsia="宋体" w:cs="Times New Roman"/>
                <w:bCs/>
                <w:sz w:val="24"/>
                <w:szCs w:val="24"/>
              </w:rPr>
            </w:pPr>
            <w:r>
              <w:rPr>
                <w:rFonts w:ascii="Times New Roman" w:hAnsi="Times New Roman" w:eastAsia="宋体" w:cs="Times New Roman"/>
                <w:bCs/>
                <w:sz w:val="24"/>
                <w:szCs w:val="20"/>
              </w:rPr>
              <w:t>本项目位于太仓高新区宣东公路8号1幢。</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太仓位于江苏省东南部，长江口南岸。地处北纬31°20′～31°45′、东经120° 58′～121°20′。东濒长江，与崇明岛隔江相望，南临上海市宝山区、嘉定区，西连太仓市，北接常熟市。</w:t>
            </w:r>
          </w:p>
          <w:p>
            <w:pPr>
              <w:spacing w:line="360" w:lineRule="auto"/>
              <w:ind w:firstLine="472" w:firstLineChars="196"/>
              <w:rPr>
                <w:rFonts w:ascii="Times New Roman" w:hAnsi="Times New Roman" w:eastAsia="宋体" w:cs="Times New Roman"/>
                <w:b/>
                <w:sz w:val="24"/>
                <w:szCs w:val="24"/>
              </w:rPr>
            </w:pPr>
            <w:r>
              <w:rPr>
                <w:rFonts w:ascii="Times New Roman" w:hAnsi="Times New Roman" w:eastAsia="宋体" w:cs="Times New Roman"/>
                <w:b/>
                <w:sz w:val="24"/>
                <w:szCs w:val="24"/>
              </w:rPr>
              <w:t>2.地形地貌及地质</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建设项目地区位于新华夏系第二隆起带，淮阳山字形构造宁镇反射弧的东南段。区内断裂构造规模不大，基底构造相稳定。新构造运动主要表现为大面积的升降运动，差异不大，近期呈持续缓慢沉降。</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该地区的地层以深层粘土层为主，主要状况为：</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（1）第一层为种植或返填土，厚度0.6～1.8m左右；</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（2）第二层为亚粘土，色灰黄或灰褐，湿度饱和，0.3～1.1m厚；</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（3）第三层为淤质亚粘土，呈青灰色，湿度饱和，密度高，厚度为0.5～1.9m，地耐力为100～120kPa；</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（4）四层为轻亚粘土，呈浅黄，厚度在0.4～0.8m，地耐力为80～100kPa；</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（5）第五层为粘土，少量粉砂，呈灰黄色或青色，湿度高，稍密，厚度为1.1km左右，地耐力约为120～140kPa。</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陆域属广阔的长江三角洲冲积平原，地势低平，高程2.5～2.8m（以黄海基面计，下同），现为高产农田，并有众多浜、塘、沟埂纵横交错，村舍较为集中密集。 沿江有长江大堤，堤顶高程6.3～7.0m。江面开阔，边滩宽300～1100m。10等深线距岸堤1000～1400m。</w:t>
            </w:r>
          </w:p>
          <w:p>
            <w:pPr>
              <w:spacing w:line="360" w:lineRule="auto"/>
              <w:ind w:firstLine="472" w:firstLineChars="196"/>
              <w:rPr>
                <w:rFonts w:ascii="Times New Roman" w:hAnsi="Times New Roman" w:eastAsia="宋体" w:cs="Times New Roman"/>
                <w:b/>
                <w:sz w:val="24"/>
                <w:szCs w:val="24"/>
              </w:rPr>
            </w:pPr>
            <w:r>
              <w:rPr>
                <w:rFonts w:ascii="Times New Roman" w:hAnsi="Times New Roman" w:eastAsia="宋体" w:cs="Times New Roman"/>
                <w:b/>
                <w:sz w:val="24"/>
                <w:szCs w:val="24"/>
              </w:rPr>
              <w:t>3.水文</w:t>
            </w:r>
          </w:p>
          <w:p>
            <w:pPr>
              <w:adjustRightInd w:val="0"/>
              <w:snapToGrid w:val="0"/>
              <w:spacing w:line="360" w:lineRule="auto"/>
              <w:ind w:left="8" w:leftChars="4"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太仓市濒临长江，由于受到长江口潮汐的影响，太仓境内的内河都具有河口特征，河水的潮汐运动基本与长江口的潮汐运动一致。长江口是一个中等强度的潮汐河口，长江南支河段是非正规半日潮，每天二涨二落。本项目附近河段潮位变化特征：各月平均高潮位与低潮位在数值上很接近，潮位的高低与径流的大小关系不大，高、低潮位的年际变化也不大，年内月平均高潮位以9月最高、8月次之、7月居第3位。根据附近江边七丫口水文站的潮位资料分析，本段长江潮流特征如下：</w:t>
            </w:r>
          </w:p>
          <w:p>
            <w:pPr>
              <w:adjustRightInd w:val="0"/>
              <w:snapToGrid w:val="0"/>
              <w:spacing w:line="360" w:lineRule="auto"/>
              <w:ind w:left="8" w:leftChars="4"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平均涨潮流速： 0. 55m/s， 平均落潮流速： 0. 98m/s；</w:t>
            </w:r>
          </w:p>
          <w:p>
            <w:pPr>
              <w:adjustRightInd w:val="0"/>
              <w:snapToGrid w:val="0"/>
              <w:spacing w:line="360" w:lineRule="auto"/>
              <w:ind w:left="8" w:leftChars="4"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涨潮最大流速：3.12m/s，涨潮最小流速：0.12m/s；</w:t>
            </w:r>
          </w:p>
          <w:p>
            <w:pPr>
              <w:adjustRightInd w:val="0"/>
              <w:snapToGrid w:val="0"/>
              <w:spacing w:line="360" w:lineRule="auto"/>
              <w:ind w:left="8" w:leftChars="4"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落潮最大流速：2.78m/s，落潮最小流速：0.62m/s。</w:t>
            </w:r>
          </w:p>
          <w:p>
            <w:pPr>
              <w:adjustRightInd w:val="0"/>
              <w:snapToGrid w:val="0"/>
              <w:spacing w:line="360" w:lineRule="auto"/>
              <w:ind w:left="8" w:leftChars="4"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太仓市区域内河流密布，塘浦纵横交错， 是太湖与长江的联系纽带，境内有大小河流4000余条，河道总长达4万余km。主要通江河流有浏河、杨林塘、杨林塘、浪港、鹿鸣泾、钱泾、新泾、汤泽（东西向），主要调蓄河道有吴塘、盐铁塘、半泾、十八港、江申泾、石头塘、斜塘、向阳河、随塘河（西北向）。</w:t>
            </w:r>
          </w:p>
          <w:p>
            <w:pPr>
              <w:adjustRightInd w:val="0"/>
              <w:snapToGrid w:val="0"/>
              <w:spacing w:line="360" w:lineRule="auto"/>
              <w:ind w:left="8" w:leftChars="4" w:firstLine="480" w:firstLineChars="200"/>
              <w:rPr>
                <w:rFonts w:ascii="Times New Roman" w:hAnsi="Times New Roman" w:eastAsia="宋体" w:cs="Times New Roman"/>
                <w:b/>
                <w:spacing w:val="-10"/>
                <w:sz w:val="24"/>
                <w:szCs w:val="24"/>
              </w:rPr>
            </w:pPr>
            <w:r>
              <w:rPr>
                <w:rFonts w:ascii="Times New Roman" w:hAnsi="Times New Roman" w:eastAsia="宋体" w:cs="Times New Roman"/>
                <w:sz w:val="24"/>
                <w:szCs w:val="24"/>
              </w:rPr>
              <w:t>区域内河流主要为新浏河。新浏河上接娄江，下达长江，流经昆山蓬朗，太仓南郊、陆渡、浏河及嘉定娄塘、唐行等乡镇，全长24公里，2020年水质目标为Ⅳ类水质。本项目废水经市政污水管网排至太仓市城东污水处理厂集中处理后，尾水排入新浏河，根据《江苏省水域环境功能区划》，其环境功能为工业用水，农业用水，符合《地表水环境质量标准》（GB3838-2002）Ⅳ类标准。</w:t>
            </w:r>
          </w:p>
          <w:p>
            <w:pPr>
              <w:adjustRightInd w:val="0"/>
              <w:snapToGrid w:val="0"/>
              <w:spacing w:line="360" w:lineRule="auto"/>
              <w:ind w:firstLine="482" w:firstLineChars="200"/>
              <w:rPr>
                <w:rFonts w:ascii="Times New Roman" w:hAnsi="Times New Roman" w:eastAsia="宋体" w:cs="Times New Roman"/>
                <w:b/>
                <w:kern w:val="0"/>
                <w:sz w:val="24"/>
                <w:szCs w:val="24"/>
              </w:rPr>
            </w:pPr>
            <w:r>
              <w:rPr>
                <w:rFonts w:ascii="Times New Roman" w:hAnsi="Times New Roman" w:eastAsia="宋体" w:cs="Times New Roman"/>
                <w:b/>
                <w:kern w:val="0"/>
                <w:sz w:val="24"/>
                <w:szCs w:val="24"/>
              </w:rPr>
              <w:t>4、气候</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地区具有明显的亚热带季风气候特征，年均无霜期232天；年平均降水量1064.8毫米，年平均降雨日为129.7天；年平均气温15.3℃，极端最高气温37.9℃，极端最低温度—11.5℃，年平均相对湿度81%，处于东南季风区域，全年盛行东南风，风向频率为12%，最少西南风，风向频率3%，年均风速3.4米/秒，实测最大风速29米/秒。平均大气压1015百帕，全年日照2019.3小时。</w:t>
            </w:r>
          </w:p>
          <w:p>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5、植物与生物多样性</w:t>
            </w:r>
          </w:p>
          <w:p>
            <w:pPr>
              <w:spacing w:line="360" w:lineRule="auto"/>
              <w:ind w:firstLine="480" w:firstLineChars="200"/>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项目 地区由于农业历史悠久，天然植被很少，主要为农作物和人工植被。</w:t>
            </w:r>
          </w:p>
          <w:p>
            <w:pPr>
              <w:spacing w:line="360" w:lineRule="auto"/>
              <w:ind w:firstLine="480" w:firstLineChars="200"/>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种植业以粮（麦子、水稻）、油、棉等作物为主，还有蔬菜等。畜牧业以养猪、牛、羊、鸡、鸭为主；此外，宅前屋后和道路、河道两旁种植有各种林木和</w:t>
            </w:r>
          </w:p>
          <w:p>
            <w:pPr>
              <w:spacing w:line="360" w:lineRule="auto"/>
              <w:ind w:firstLine="480" w:firstLineChars="200"/>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花卉，林业以乔木、灌木等绿化树种为主，本地区无原始森林。</w:t>
            </w:r>
          </w:p>
          <w:p>
            <w:pPr>
              <w:spacing w:line="360" w:lineRule="auto"/>
              <w:ind w:firstLine="480" w:firstLineChars="200"/>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沿江沼泽、坑塘及洲滩尾部等为水生动物产卵、觅食的场所。</w:t>
            </w:r>
          </w:p>
          <w:p>
            <w:pPr>
              <w:spacing w:line="360" w:lineRule="auto"/>
              <w:ind w:firstLine="480" w:firstLineChars="200"/>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长江渔业水产资源丰富，有淡水种、半咸水种、近河口种和近海种四大类型，鱼类以鲤科为主，还有鲥鱼、刀鱼、河鱭、中华鲟等珍贵鱼类。</w:t>
            </w: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line="360" w:lineRule="auto"/>
              <w:rPr>
                <w:rFonts w:ascii="Times New Roman" w:hAnsi="Times New Roman" w:eastAsia="宋体" w:cs="Times New Roman"/>
                <w:sz w:val="24"/>
                <w:szCs w:val="24"/>
              </w:rPr>
            </w:pPr>
            <w:r>
              <w:rPr>
                <w:rFonts w:ascii="Times New Roman" w:hAnsi="Times New Roman" w:eastAsia="宋体" w:cs="Times New Roman"/>
                <w:b/>
                <w:sz w:val="24"/>
                <w:szCs w:val="24"/>
              </w:rPr>
              <w:t>社会环境简况</w:t>
            </w:r>
            <w:r>
              <w:rPr>
                <w:rFonts w:ascii="Times New Roman" w:hAnsi="Times New Roman" w:eastAsia="宋体" w:cs="Times New Roman"/>
                <w:sz w:val="24"/>
                <w:szCs w:val="24"/>
              </w:rPr>
              <w:t>（社会经济结构、教育、文化、文物保护等）</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太仓位于江苏省东南部，长江口南岸。地处北纬31°20′～31°45′、东经120° 58′～121°20′。东濒长江，与崇明岛隔江相望，南临上海市宝山区、嘉定区，西连太仓市，北接常熟市。全市总面积为823平方公里，长江水域面积143.97平方公里，陆地面积665.96平方公里。辖1个街道、6个镇和太仓港经济开发区。</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太仓市有着悠久的历史，自古代宋、元以来，太仓的浏家港便是江浙一带的槽运枢纽， 建有百万石的粮仓和规模庞大的水运码头。据史籍记载，当时“海外番舶，蛮商夷贾，云集繁华”，号称“六国码头”。明永乐年间，著名航海家三保太监郑和“造大舶，自苏州浏家河泛海”，七下西洋，远航亚非30余国，为太仓留下了辉煌的一页。</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太仓沿江岸线共有38. 8公里，其中深水岸线22公里，从太仓港区到长江口内，航道水深在10m以上，深水线离岸约1.5公里，能满足5万吨级船舶回转水域要求。江苏省自南京以下尚未开发的长江岸线几乎一半在太仓，它是江苏省离长江口最近邻上海的一个重要口岸。</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2018年，太仓市坚持稳中求进的工作总基调，努力推动工业高质量发展。全年实现规模以上工业总产值2283.38亿元，比上年增长6.9%，高于苏州市平均增速0.8个百分点。全市规模以上工业主营业务收入2248.00亿元，增长6.2%。整体上看，全市工业产销平衡。</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2018年，本市33个工业行业中有22个行业工业总产值比上年增长，比重为66.7%。全市产值超百亿行业有十个， 分别为通用设备制造业、化学纤维制造业、化学原料和化学制品制造业、电气机械和器材制造业、石油加工炼焦和核燃料加工业、计算机通信和其他电子设备制造业、造纸和纸制品业、金属制品业、橡胶和塑料制品业、汽车制造业，这十大行业共实现工业总产值1627.60亿元，占规模工业比重为71. %。除电气机械和器材制造业受光伏产业影响增速有所下降外，其余九个行业均实现同比增长。主要工业行业生产形势良好，有力地推动了本市工业持续增长。</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我市969家规模以上工业企业中，有372家填报了科技项目，占比为38. 4%。</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全年科技项目数达到了1947个，项目经费38.47亿元，其中初步判定R&amp;D经费36.38万元，比上年提高了19.6%。</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2018年，全市规模工业实现新产品产值329.48亿元，比上年增长18.1%。分行业看，专用设备制造业、化学原料和化学制品制造业、纺织服装服饰业、金属制品业、汽车制造业这五个行业增长最快，分别达到了61.5%、50.1%、42.8%、42.2%和37.9%。</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2018年，全市规模工业303家高新技术产业企业实现产值1088.48亿元，比上年增长6.3%，占规模工业比重为47.7%，比上年提高2.0个百分点。2018年，全市战略性新兴产业实现工业总产值1274.19亿元，比上年增长9.2%，增速比规模工业平均高2.3个百分点；占规模工业的比重为55. 8%，比上年提高1.3个百分点。</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2、太仓高新技术产业开发区概况</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太仓高新技术产业开发区（即太仓港经济技术开发区（新区））创办于1991年，1993年11月经省人民政府批准为省级开发区，2011年经国务院办公厅批准升级为国家级经济技术开发区。经过近20年的开发建设，以争创一流的工业示范区、科技先导区和现代新城区为目标，开发建设取得了显著成绩，步入了经济和社会事业高速推进、良性发展的快车道。 2008年，被国家商务部、德国经济部共同授予“中德企业合作基地”。《江苏太仓港经济开发区（新区）及周边地区规划环评》已于2012年3月28日经江苏省环保厅审查同意实施（苏环审[2012]49号）。</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后又编制了《江苏太仓港经济开发区（新区）及周边地区规划环境影响报告书补充报告》，该报告也取得江苏省环境保护厅的复函（苏环便管[2012]123号）。</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（1）规划范围：北至苏昆太高速公路，南至新浏河，东至沿江高速公路和十八港，西至盐铁塘和太平路，总用地面积4418.7ha。</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（2）规划年限：规划基准年为2009年， 规划期限为2010-2020年。</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产业规划：太仓高新技术产业开发区主要发展机械电子、轻工纺织、生物医药、环保等主导产业，其中机械电子环保产业主要发展新能源、装备制造、精密机械、电子信息等，生物医药主要发展复配分装以及研发等，不涉及原药生产，不涉及化工，整个区域是集城市新中心，高新技术产业开发区、仓储物流区等为一体的综合性经济开发区。</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（4）基础设施规划及现状</w:t>
            </w:r>
          </w:p>
          <w:p>
            <w:pPr>
              <w:spacing w:line="360" w:lineRule="auto"/>
              <w:ind w:firstLine="480" w:firstLineChars="200"/>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给水工程</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开发区不另设水厂，用水全部来自太仓市第二水厂。太仓市第二水厂以长江水为供水水源。主要供应太仓市区及开发区用水，设计规模70万m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/d，目前实际供水量约为30万m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/d，运行良好。目前太仓市第二水厂正在进行扩建，扩建后供水量可以达到50万m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/d，可满足开发区的需要。</w:t>
            </w:r>
          </w:p>
          <w:p>
            <w:pPr>
              <w:spacing w:line="360" w:lineRule="auto"/>
              <w:ind w:firstLine="480" w:firstLineChars="200"/>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 xml:space="preserve"> 排水工程</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目 前开发区内各企业产生的生产废水、生活污水自行预处理达接管标准后由污水收集管网收集进入太仓市城东污水处理厂进行集中处理。北京路以南、太平路以西区域内的废水排入太仓市城区污水处理厂集中处理。雨水经已建的雨水收集管网收集后就近排入规划的水体和河道。</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太仓市城东污水处理厂坐落于常胜北路67号，经江苏省发展计划委员会立项批准建设，污水处理厂设计规模为日处理污水5万吨，已分二期实施，一期日处理污水2万吨，于2004年4月投入试运行，二期项目于2007年1月1日投入运行，二期项目建成后污水处理厂处理能力达到5万吨/天，处理后尾水排入新浏河。太仓市城东污水处理厂一期、二期工程分别于2004年及2008年通过项目竣工环境保护验收。</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同时为满足开发区发展的需求，太仓市城东污水处理厂在现有厂区扩建三期工程，处理规模3万吨/天，处理工艺采用循环式活性污泥法（C-TECH法），并配备深度处理设施（与前两期项目升级改造后工艺相同），三期项目环评报告于2010年7月通过太仓市环保局审批（太环计[2010]280号），已于2012年6月实现调试和收水，三期扩建项目建成后， 太仓市城东污水处理厂处理能力达到8万吨/天。</w:t>
            </w:r>
          </w:p>
          <w:p>
            <w:pPr>
              <w:spacing w:line="360" w:lineRule="auto"/>
              <w:ind w:firstLine="480" w:firstLineChars="200"/>
              <w:rPr>
                <w:rFonts w:ascii="Times New Roman" w:hAnsi="Times New Roman" w:eastAsia="宋体" w:cs="Times New Roman"/>
                <w:sz w:val="24"/>
                <w:szCs w:val="24"/>
              </w:rPr>
            </w:pPr>
            <w:r>
              <w:rPr>
                <w:rFonts w:hint="eastAsia" w:ascii="宋体" w:hAnsi="宋体" w:eastAsia="宋体" w:cs="宋体"/>
                <w:sz w:val="24"/>
                <w:szCs w:val="24"/>
              </w:rPr>
              <w:t>③</w:t>
            </w:r>
            <w:r>
              <w:rPr>
                <w:rFonts w:ascii="Times New Roman" w:hAnsi="Times New Roman" w:eastAsia="宋体" w:cs="Times New Roman"/>
                <w:sz w:val="24"/>
                <w:szCs w:val="24"/>
              </w:rPr>
              <w:t>固废处置工程</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开发区不设置专门部门处理固废和处理场所设施， 由太仓市环卫部门负责处理。 各企业的生活垃圾定点堆放后由环卫部门统一收集运到太仓市协鑫垃圾焚烧发电厂处理， 各企业的工业固废可综合利用的可采用各种利用途径进行综合利用，属危险废物的必须按照危险废弃物转移和处置相关规定， 由具有相应处理资质的企业进行处理。</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建设项目1000m范围内无文物保护单位。</w:t>
            </w:r>
          </w:p>
          <w:p>
            <w:pPr>
              <w:spacing w:line="360" w:lineRule="auto"/>
              <w:ind w:firstLine="480" w:firstLineChars="200"/>
              <w:rPr>
                <w:rFonts w:ascii="Times New Roman" w:hAnsi="Times New Roman" w:eastAsia="宋体" w:cs="Times New Roman"/>
                <w:sz w:val="24"/>
                <w:szCs w:val="24"/>
              </w:rPr>
            </w:pPr>
          </w:p>
          <w:p>
            <w:pPr>
              <w:spacing w:line="360" w:lineRule="auto"/>
              <w:ind w:firstLine="480" w:firstLineChars="200"/>
              <w:rPr>
                <w:rFonts w:ascii="Times New Roman" w:hAnsi="Times New Roman" w:eastAsia="宋体" w:cs="Times New Roman"/>
                <w:sz w:val="24"/>
                <w:szCs w:val="24"/>
              </w:rPr>
            </w:pPr>
          </w:p>
          <w:p>
            <w:pPr>
              <w:spacing w:line="360" w:lineRule="auto"/>
              <w:rPr>
                <w:rFonts w:ascii="Times New Roman" w:hAnsi="Times New Roman" w:eastAsia="宋体" w:cs="Times New Roman"/>
                <w:sz w:val="24"/>
                <w:szCs w:val="24"/>
              </w:rPr>
            </w:pPr>
          </w:p>
          <w:p>
            <w:pPr>
              <w:spacing w:line="360" w:lineRule="auto"/>
              <w:rPr>
                <w:rFonts w:ascii="Times New Roman" w:hAnsi="Times New Roman" w:eastAsia="宋体" w:cs="Times New Roman"/>
                <w:sz w:val="24"/>
                <w:szCs w:val="24"/>
              </w:rPr>
            </w:pPr>
          </w:p>
          <w:p>
            <w:pPr>
              <w:spacing w:line="360" w:lineRule="auto"/>
              <w:rPr>
                <w:rFonts w:ascii="Times New Roman" w:hAnsi="Times New Roman" w:eastAsia="宋体" w:cs="Times New Roman"/>
                <w:sz w:val="24"/>
                <w:szCs w:val="24"/>
              </w:rPr>
            </w:pPr>
          </w:p>
          <w:p>
            <w:pPr>
              <w:spacing w:line="360" w:lineRule="auto"/>
              <w:rPr>
                <w:rFonts w:ascii="Times New Roman" w:hAnsi="Times New Roman" w:eastAsia="宋体" w:cs="Times New Roman"/>
                <w:sz w:val="24"/>
                <w:szCs w:val="24"/>
              </w:rPr>
            </w:pPr>
          </w:p>
          <w:p>
            <w:pPr>
              <w:spacing w:line="360" w:lineRule="auto"/>
              <w:rPr>
                <w:rFonts w:ascii="Times New Roman" w:hAnsi="Times New Roman" w:eastAsia="宋体" w:cs="Times New Roman"/>
                <w:sz w:val="24"/>
                <w:szCs w:val="24"/>
              </w:rPr>
            </w:pPr>
          </w:p>
        </w:tc>
      </w:tr>
    </w:tbl>
    <w:p>
      <w:pPr>
        <w:keepNext/>
        <w:keepLines/>
        <w:spacing w:line="240" w:lineRule="atLeast"/>
        <w:outlineLvl w:val="0"/>
        <w:rPr>
          <w:rFonts w:ascii="Times New Roman" w:hAnsi="Times New Roman" w:eastAsia="宋体" w:cs="Times New Roman"/>
          <w:b/>
          <w:bCs/>
          <w:kern w:val="44"/>
          <w:sz w:val="28"/>
          <w:szCs w:val="28"/>
        </w:rPr>
      </w:pPr>
      <w:r>
        <w:rPr>
          <w:rFonts w:ascii="Times New Roman" w:hAnsi="Times New Roman" w:eastAsia="宋体" w:cs="Times New Roman"/>
          <w:b/>
          <w:bCs/>
          <w:kern w:val="44"/>
          <w:sz w:val="28"/>
          <w:szCs w:val="28"/>
        </w:rPr>
        <w:t>三、环境质量状况</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1" w:hRule="atLeast"/>
          <w:jc w:val="center"/>
        </w:trPr>
        <w:tc>
          <w:tcPr>
            <w:tcW w:w="9286" w:type="dxa"/>
          </w:tcPr>
          <w:p>
            <w:pPr>
              <w:spacing w:line="360" w:lineRule="auto"/>
              <w:rPr>
                <w:rFonts w:ascii="Times New Roman" w:hAnsi="Times New Roman" w:eastAsia="宋体" w:cs="Times New Roman"/>
                <w:sz w:val="24"/>
                <w:szCs w:val="24"/>
              </w:rPr>
            </w:pPr>
            <w:r>
              <w:rPr>
                <w:rFonts w:ascii="Times New Roman" w:hAnsi="Times New Roman" w:eastAsia="宋体" w:cs="Times New Roman"/>
                <w:b/>
                <w:sz w:val="24"/>
                <w:szCs w:val="24"/>
              </w:rPr>
              <w:t>建设项目所在地区域环境质量现状及主要环境问题</w:t>
            </w:r>
            <w:r>
              <w:rPr>
                <w:rFonts w:ascii="Times New Roman" w:hAnsi="Times New Roman" w:eastAsia="宋体" w:cs="Times New Roman"/>
                <w:sz w:val="24"/>
                <w:szCs w:val="24"/>
              </w:rPr>
              <w:t>（环境空气、地面水、地下水、声环境、辐射环境、生态环境等）</w:t>
            </w:r>
          </w:p>
          <w:p>
            <w:pPr>
              <w:autoSpaceDE w:val="0"/>
              <w:autoSpaceDN w:val="0"/>
              <w:adjustRightInd w:val="0"/>
              <w:snapToGrid w:val="0"/>
              <w:spacing w:line="360" w:lineRule="auto"/>
              <w:rPr>
                <w:rFonts w:ascii="Times New Roman" w:hAnsi="Times New Roman" w:eastAsia="宋体" w:cs="Times New Roman"/>
                <w:sz w:val="24"/>
                <w:szCs w:val="20"/>
                <w:lang w:val="zh-CN"/>
              </w:rPr>
            </w:pPr>
            <w:r>
              <w:rPr>
                <w:rFonts w:ascii="Times New Roman" w:hAnsi="Times New Roman" w:eastAsia="宋体" w:cs="Times New Roman"/>
                <w:sz w:val="24"/>
                <w:szCs w:val="20"/>
                <w:lang w:val="zh-CN"/>
              </w:rPr>
              <w:t>(1)大气环境质量</w:t>
            </w:r>
          </w:p>
          <w:p>
            <w:pPr>
              <w:autoSpaceDE w:val="0"/>
              <w:autoSpaceDN w:val="0"/>
              <w:spacing w:line="360" w:lineRule="auto"/>
              <w:ind w:firstLine="480" w:firstLineChars="200"/>
              <w:jc w:val="left"/>
              <w:rPr>
                <w:rFonts w:ascii="Times New Roman" w:hAnsi="Times New Roman" w:eastAsia="宋体" w:cs="Times New Roman"/>
                <w:sz w:val="24"/>
                <w:szCs w:val="20"/>
              </w:rPr>
            </w:pPr>
            <w:r>
              <w:rPr>
                <w:rFonts w:ascii="Times New Roman" w:hAnsi="Times New Roman" w:eastAsia="宋体" w:cs="Times New Roman"/>
                <w:sz w:val="24"/>
                <w:szCs w:val="20"/>
              </w:rPr>
              <w:t>太仓市2019年环境监测站点空气质量现状监测数据详见表3-1。</w:t>
            </w:r>
          </w:p>
          <w:p>
            <w:pPr>
              <w:autoSpaceDE w:val="0"/>
              <w:autoSpaceDN w:val="0"/>
              <w:ind w:firstLine="422" w:firstLineChars="200"/>
              <w:jc w:val="center"/>
              <w:rPr>
                <w:rFonts w:ascii="Times New Roman" w:hAnsi="Times New Roman" w:eastAsia="宋体" w:cs="Times New Roman"/>
                <w:b/>
                <w:szCs w:val="20"/>
              </w:rPr>
            </w:pPr>
            <w:r>
              <w:rPr>
                <w:rFonts w:ascii="Times New Roman" w:hAnsi="Times New Roman" w:eastAsia="宋体" w:cs="Times New Roman"/>
                <w:b/>
                <w:szCs w:val="20"/>
              </w:rPr>
              <w:t>表3-1  区域空气质量现状评价表</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850"/>
              <w:gridCol w:w="2548"/>
              <w:gridCol w:w="1138"/>
              <w:gridCol w:w="1138"/>
              <w:gridCol w:w="1073"/>
              <w:gridCol w:w="12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点位名称</w:t>
                  </w:r>
                </w:p>
              </w:tc>
              <w:tc>
                <w:tcPr>
                  <w:tcW w:w="850"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平均时段</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现状浓度（ug/m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标准值（ug/m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超标倍数</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8" w:type="dxa"/>
                  <w:vMerge w:val="restart"/>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监测站点</w:t>
                  </w:r>
                </w:p>
              </w:tc>
              <w:tc>
                <w:tcPr>
                  <w:tcW w:w="850" w:type="dxa"/>
                  <w:vMerge w:val="restart"/>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SO</w:t>
                  </w:r>
                  <w:r>
                    <w:rPr>
                      <w:rFonts w:ascii="Times New Roman" w:hAnsi="Times New Roman" w:eastAsia="宋体" w:cs="Times New Roman"/>
                      <w:szCs w:val="21"/>
                      <w:vertAlign w:val="subscript"/>
                    </w:rPr>
                    <w:t>2</w:t>
                  </w: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年均值</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11.3</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60</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850"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24小时平均第98百分位数</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27.7</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150</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8"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850" w:type="dxa"/>
                  <w:vMerge w:val="restart"/>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NO</w:t>
                  </w:r>
                  <w:r>
                    <w:rPr>
                      <w:rFonts w:ascii="Times New Roman" w:hAnsi="Times New Roman" w:eastAsia="宋体" w:cs="Times New Roman"/>
                      <w:szCs w:val="21"/>
                      <w:vertAlign w:val="subscript"/>
                    </w:rPr>
                    <w:t>2</w:t>
                  </w: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年均值</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35.9</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40</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0.05</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不达标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850"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24小时平均第98百分位数</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79.4</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80</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0.15</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不达标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850" w:type="dxa"/>
                  <w:vMerge w:val="restart"/>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10</w:t>
                  </w: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年均值</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54.2</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70</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0.04</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不达标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850"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24小时平均第95百分位数</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139.0</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150</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850" w:type="dxa"/>
                  <w:vMerge w:val="restart"/>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2.5</w:t>
                  </w: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年均值</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30.7</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35</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0.11</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不达标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850"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24小时平均第95百分位数</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87.4</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75</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0.12</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不达标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8"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850"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O</w:t>
                  </w:r>
                  <w:r>
                    <w:rPr>
                      <w:rFonts w:ascii="Times New Roman" w:hAnsi="Times New Roman" w:eastAsia="宋体" w:cs="Times New Roman"/>
                      <w:szCs w:val="21"/>
                      <w:vertAlign w:val="subscript"/>
                    </w:rPr>
                    <w:t>3</w:t>
                  </w: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日 最大 8 小时滑</w:t>
                  </w:r>
                </w:p>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动平均值第 90 百</w:t>
                  </w:r>
                </w:p>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分位数</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173</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160</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0.18</w:t>
                  </w:r>
                </w:p>
              </w:tc>
              <w:tc>
                <w:tcPr>
                  <w:tcW w:w="1289" w:type="dxa"/>
                  <w:shd w:val="clear" w:color="auto" w:fill="auto"/>
                  <w:vAlign w:val="center"/>
                </w:tcPr>
                <w:p>
                  <w:pPr>
                    <w:autoSpaceDE w:val="0"/>
                    <w:autoSpaceDN w:val="0"/>
                    <w:jc w:val="center"/>
                    <w:rPr>
                      <w:rFonts w:ascii="Times New Roman" w:hAnsi="Times New Roman" w:eastAsia="宋体" w:cs="Times New Roman"/>
                      <w:b/>
                      <w:szCs w:val="21"/>
                    </w:rPr>
                  </w:pPr>
                  <w:r>
                    <w:rPr>
                      <w:rFonts w:ascii="Times New Roman" w:hAnsi="Times New Roman" w:eastAsia="宋体" w:cs="Times New Roman"/>
                      <w:szCs w:val="21"/>
                    </w:rPr>
                    <w:t>不达标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continue"/>
                  <w:shd w:val="clear" w:color="auto" w:fill="auto"/>
                  <w:vAlign w:val="center"/>
                </w:tcPr>
                <w:p>
                  <w:pPr>
                    <w:autoSpaceDE w:val="0"/>
                    <w:autoSpaceDN w:val="0"/>
                    <w:jc w:val="center"/>
                    <w:rPr>
                      <w:rFonts w:ascii="Times New Roman" w:hAnsi="Times New Roman" w:eastAsia="宋体" w:cs="Times New Roman"/>
                      <w:szCs w:val="21"/>
                    </w:rPr>
                  </w:pPr>
                </w:p>
              </w:tc>
              <w:tc>
                <w:tcPr>
                  <w:tcW w:w="850"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CO</w:t>
                  </w:r>
                </w:p>
              </w:tc>
              <w:tc>
                <w:tcPr>
                  <w:tcW w:w="254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24 小时平均第 95</w:t>
                  </w:r>
                </w:p>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百分位数</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1.2</w:t>
                  </w:r>
                </w:p>
              </w:tc>
              <w:tc>
                <w:tcPr>
                  <w:tcW w:w="1138"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10</w:t>
                  </w:r>
                </w:p>
              </w:tc>
              <w:tc>
                <w:tcPr>
                  <w:tcW w:w="1073"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0</w:t>
                  </w:r>
                </w:p>
              </w:tc>
              <w:tc>
                <w:tcPr>
                  <w:tcW w:w="1289" w:type="dxa"/>
                  <w:shd w:val="clear" w:color="auto" w:fill="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达标</w:t>
                  </w:r>
                </w:p>
              </w:tc>
            </w:tr>
          </w:tbl>
          <w:p>
            <w:pPr>
              <w:autoSpaceDE w:val="0"/>
              <w:autoSpaceDN w:val="0"/>
              <w:spacing w:line="360" w:lineRule="auto"/>
              <w:ind w:firstLine="480" w:firstLineChars="200"/>
              <w:jc w:val="left"/>
              <w:rPr>
                <w:rFonts w:ascii="Times New Roman" w:hAnsi="Times New Roman" w:eastAsia="宋体" w:cs="Times New Roman"/>
                <w:sz w:val="24"/>
                <w:szCs w:val="20"/>
              </w:rPr>
            </w:pPr>
            <w:r>
              <w:rPr>
                <w:rFonts w:ascii="Times New Roman" w:hAnsi="Times New Roman" w:eastAsia="宋体" w:cs="Times New Roman"/>
                <w:sz w:val="24"/>
                <w:szCs w:val="20"/>
              </w:rPr>
              <w:t>综上分析，2019年太仓市环境空气中二氧化硫、二氧化氮、可吸入颗粒物年均浓度和一氧化碳日平均第95百分位数浓度达到《环境空气质量标准》 (GB3095—2012)二级标准， 细颗粒物年均浓度达标，细颗粒物百分位数日均浓度和臭氧日最大8小时平均百分位数浓度超过《环境空气质量标准》 (GB3095—2012)二级标准。</w:t>
            </w:r>
          </w:p>
          <w:p>
            <w:pPr>
              <w:autoSpaceDE w:val="0"/>
              <w:autoSpaceDN w:val="0"/>
              <w:spacing w:line="360" w:lineRule="auto"/>
              <w:ind w:firstLine="480" w:firstLineChars="200"/>
              <w:jc w:val="left"/>
              <w:rPr>
                <w:rFonts w:ascii="Times New Roman" w:hAnsi="Times New Roman" w:eastAsia="宋体" w:cs="Times New Roman"/>
                <w:sz w:val="24"/>
                <w:szCs w:val="20"/>
              </w:rPr>
            </w:pPr>
            <w:r>
              <w:rPr>
                <w:rFonts w:ascii="Times New Roman" w:hAnsi="Times New Roman" w:eastAsia="宋体" w:cs="Times New Roman"/>
                <w:sz w:val="24"/>
                <w:szCs w:val="20"/>
              </w:rPr>
              <w:t>因此，项目 所在的太仓市属于不达标区。</w:t>
            </w:r>
          </w:p>
          <w:p>
            <w:pPr>
              <w:autoSpaceDE w:val="0"/>
              <w:autoSpaceDN w:val="0"/>
              <w:spacing w:line="360" w:lineRule="auto"/>
              <w:ind w:firstLine="480" w:firstLineChars="200"/>
              <w:jc w:val="left"/>
              <w:rPr>
                <w:rFonts w:ascii="Times New Roman" w:hAnsi="Times New Roman" w:eastAsia="宋体" w:cs="Times New Roman"/>
                <w:sz w:val="24"/>
                <w:szCs w:val="20"/>
              </w:rPr>
            </w:pPr>
            <w:r>
              <w:rPr>
                <w:rFonts w:ascii="Times New Roman" w:hAnsi="Times New Roman" w:eastAsia="宋体" w:cs="Times New Roman"/>
                <w:sz w:val="24"/>
                <w:szCs w:val="20"/>
              </w:rPr>
              <w:t>区域达标规划目前正在编制中，根据大气环境质量整治计划，通过进一步控制氮氧化物的排放量，控制扬尘污染，机动车尾气污染防治，加强工业废气治理等措施，预计区域大气环境质量状况可以得到进一步改善能够达标。</w:t>
            </w:r>
          </w:p>
          <w:p>
            <w:pPr>
              <w:spacing w:line="360" w:lineRule="auto"/>
              <w:rPr>
                <w:rFonts w:ascii="Times New Roman" w:hAnsi="Times New Roman" w:eastAsia="宋体" w:cs="Times New Roman"/>
                <w:sz w:val="24"/>
                <w:szCs w:val="24"/>
                <w:lang w:val="zh-CN"/>
              </w:rPr>
            </w:pPr>
            <w:r>
              <w:rPr>
                <w:rFonts w:ascii="Times New Roman" w:hAnsi="Times New Roman" w:eastAsia="宋体" w:cs="Times New Roman"/>
                <w:sz w:val="24"/>
                <w:szCs w:val="24"/>
                <w:lang w:val="zh-CN"/>
              </w:rPr>
              <w:t>(2)水环境质量</w:t>
            </w:r>
          </w:p>
          <w:p>
            <w:pPr>
              <w:spacing w:line="360" w:lineRule="auto"/>
              <w:ind w:firstLine="480" w:firstLineChars="200"/>
              <w:jc w:val="left"/>
              <w:rPr>
                <w:rFonts w:ascii="Times New Roman" w:hAnsi="Times New Roman" w:eastAsia="宋体" w:cs="Times New Roman"/>
                <w:sz w:val="24"/>
                <w:szCs w:val="20"/>
              </w:rPr>
            </w:pPr>
            <w:r>
              <w:rPr>
                <w:rFonts w:ascii="Times New Roman" w:hAnsi="Times New Roman" w:eastAsia="宋体" w:cs="Times New Roman"/>
                <w:sz w:val="24"/>
                <w:szCs w:val="24"/>
              </w:rPr>
              <w:t>本项目所在地主要地表水新浏河水功能区划分为Ⅳ类，引用《太仓市镇（区）“水十条”考核断面水质监测结果的通报（2018年4月）》（太“263”办[2018]19号）中“太和大桥”监测断面数据。由太仓市环境监测站公司于2018年4月1日进行监测，具体</w:t>
            </w:r>
            <w:r>
              <w:rPr>
                <w:rFonts w:ascii="Times New Roman" w:hAnsi="Times New Roman" w:eastAsia="宋体" w:cs="Times New Roman"/>
                <w:sz w:val="24"/>
                <w:szCs w:val="20"/>
              </w:rPr>
              <w:t>见下表3-2：</w:t>
            </w:r>
          </w:p>
          <w:p>
            <w:pPr>
              <w:autoSpaceDE w:val="0"/>
              <w:autoSpaceDN w:val="0"/>
              <w:adjustRightInd w:val="0"/>
              <w:snapToGrid w:val="0"/>
              <w:jc w:val="center"/>
              <w:rPr>
                <w:rFonts w:ascii="Times New Roman" w:hAnsi="Times New Roman" w:eastAsia="宋体" w:cs="Times New Roman"/>
                <w:b/>
                <w:bCs/>
                <w:szCs w:val="21"/>
              </w:rPr>
            </w:pPr>
          </w:p>
          <w:p>
            <w:pPr>
              <w:autoSpaceDE w:val="0"/>
              <w:autoSpaceDN w:val="0"/>
              <w:adjustRightInd w:val="0"/>
              <w:snapToGrid w:val="0"/>
              <w:jc w:val="center"/>
              <w:rPr>
                <w:rFonts w:ascii="Times New Roman" w:hAnsi="Times New Roman" w:eastAsia="宋体" w:cs="Times New Roman"/>
                <w:b/>
                <w:bCs/>
                <w:szCs w:val="21"/>
                <w:lang w:val="zh-CN"/>
              </w:rPr>
            </w:pPr>
            <w:r>
              <w:rPr>
                <w:rFonts w:ascii="Times New Roman" w:hAnsi="Times New Roman" w:eastAsia="宋体" w:cs="Times New Roman"/>
                <w:b/>
                <w:bCs/>
                <w:szCs w:val="21"/>
              </w:rPr>
              <w:t>表3-2  地表水环境质量现状  （单位：mg/L）</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1"/>
              <w:gridCol w:w="708"/>
              <w:gridCol w:w="1555"/>
              <w:gridCol w:w="1134"/>
              <w:gridCol w:w="1134"/>
              <w:gridCol w:w="1134"/>
              <w:gridCol w:w="1133"/>
              <w:gridCol w:w="1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24" w:type="pct"/>
                  <w:vAlign w:val="center"/>
                </w:tcPr>
                <w:p>
                  <w:pPr>
                    <w:autoSpaceDE w:val="0"/>
                    <w:autoSpaceDN w:val="0"/>
                    <w:adjustRightInd w:val="0"/>
                    <w:snapToGrid w:val="0"/>
                    <w:jc w:val="center"/>
                    <w:rPr>
                      <w:rFonts w:ascii="Times New Roman" w:hAnsi="Times New Roman" w:eastAsia="Times New Roman" w:cs="Times New Roman"/>
                      <w:szCs w:val="21"/>
                    </w:rPr>
                  </w:pPr>
                  <w:r>
                    <w:rPr>
                      <w:rFonts w:ascii="Times New Roman" w:hAnsi="Times New Roman" w:eastAsia="宋体" w:cs="Times New Roman"/>
                      <w:szCs w:val="21"/>
                    </w:rPr>
                    <w:t>水域名称</w:t>
                  </w:r>
                </w:p>
              </w:tc>
              <w:tc>
                <w:tcPr>
                  <w:tcW w:w="391"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检测断面</w:t>
                  </w:r>
                </w:p>
              </w:tc>
              <w:tc>
                <w:tcPr>
                  <w:tcW w:w="858"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项目</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溶解氧</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高猛酸盐指数</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CODcr</w:t>
                  </w:r>
                </w:p>
              </w:tc>
              <w:tc>
                <w:tcPr>
                  <w:tcW w:w="625"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氨氮</w:t>
                  </w:r>
                </w:p>
              </w:tc>
              <w:tc>
                <w:tcPr>
                  <w:tcW w:w="625" w:type="pct"/>
                  <w:vAlign w:val="center"/>
                </w:tcPr>
                <w:p>
                  <w:pPr>
                    <w:autoSpaceDE w:val="0"/>
                    <w:autoSpaceDN w:val="0"/>
                    <w:adjustRightInd w:val="0"/>
                    <w:snapToGrid w:val="0"/>
                    <w:jc w:val="center"/>
                    <w:rPr>
                      <w:rFonts w:ascii="Times New Roman" w:hAnsi="Times New Roman" w:eastAsia="Times New Roman" w:cs="Times New Roman"/>
                      <w:szCs w:val="21"/>
                    </w:rPr>
                  </w:pPr>
                  <w:r>
                    <w:rPr>
                      <w:rFonts w:ascii="Times New Roman" w:hAnsi="Times New Roman" w:eastAsia="宋体" w:cs="Times New Roman"/>
                      <w:szCs w:val="21"/>
                    </w:rPr>
                    <w:t>总磷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624" w:type="pct"/>
                  <w:vMerge w:val="restart"/>
                  <w:vAlign w:val="center"/>
                </w:tcPr>
                <w:p>
                  <w:pPr>
                    <w:autoSpaceDE w:val="0"/>
                    <w:autoSpaceDN w:val="0"/>
                    <w:adjustRightInd w:val="0"/>
                    <w:snapToGrid w:val="0"/>
                    <w:jc w:val="center"/>
                    <w:rPr>
                      <w:rFonts w:ascii="Times New Roman" w:hAnsi="Times New Roman" w:eastAsia="Times New Roman" w:cs="Times New Roman"/>
                      <w:szCs w:val="21"/>
                    </w:rPr>
                  </w:pPr>
                  <w:r>
                    <w:rPr>
                      <w:rFonts w:ascii="Times New Roman" w:hAnsi="Times New Roman" w:eastAsia="宋体" w:cs="Times New Roman"/>
                      <w:szCs w:val="21"/>
                    </w:rPr>
                    <w:t>新浏河</w:t>
                  </w:r>
                </w:p>
              </w:tc>
              <w:tc>
                <w:tcPr>
                  <w:tcW w:w="391" w:type="pct"/>
                  <w:vMerge w:val="restar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W1</w:t>
                  </w:r>
                </w:p>
              </w:tc>
              <w:tc>
                <w:tcPr>
                  <w:tcW w:w="858"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检测值</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6.3</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4.2</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6</w:t>
                  </w:r>
                </w:p>
              </w:tc>
              <w:tc>
                <w:tcPr>
                  <w:tcW w:w="625"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0.79</w:t>
                  </w:r>
                </w:p>
              </w:tc>
              <w:tc>
                <w:tcPr>
                  <w:tcW w:w="625"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24" w:type="pct"/>
                  <w:vMerge w:val="continue"/>
                  <w:vAlign w:val="center"/>
                </w:tcPr>
                <w:p>
                  <w:pPr>
                    <w:autoSpaceDE w:val="0"/>
                    <w:autoSpaceDN w:val="0"/>
                    <w:adjustRightInd w:val="0"/>
                    <w:snapToGrid w:val="0"/>
                    <w:jc w:val="center"/>
                    <w:rPr>
                      <w:rFonts w:ascii="Times New Roman" w:hAnsi="Times New Roman" w:eastAsia="Times New Roman" w:cs="Times New Roman"/>
                      <w:szCs w:val="21"/>
                    </w:rPr>
                  </w:pPr>
                </w:p>
              </w:tc>
              <w:tc>
                <w:tcPr>
                  <w:tcW w:w="391" w:type="pct"/>
                  <w:vMerge w:val="continue"/>
                  <w:vAlign w:val="center"/>
                </w:tcPr>
                <w:p>
                  <w:pPr>
                    <w:autoSpaceDE w:val="0"/>
                    <w:autoSpaceDN w:val="0"/>
                    <w:adjustRightInd w:val="0"/>
                    <w:snapToGrid w:val="0"/>
                    <w:jc w:val="center"/>
                    <w:rPr>
                      <w:rFonts w:ascii="Times New Roman" w:hAnsi="Times New Roman" w:eastAsia="宋体" w:cs="Times New Roman"/>
                      <w:szCs w:val="21"/>
                    </w:rPr>
                  </w:pPr>
                </w:p>
              </w:tc>
              <w:tc>
                <w:tcPr>
                  <w:tcW w:w="858"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超标率（%）</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w:t>
                  </w:r>
                </w:p>
              </w:tc>
              <w:tc>
                <w:tcPr>
                  <w:tcW w:w="625"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w:t>
                  </w:r>
                </w:p>
              </w:tc>
              <w:tc>
                <w:tcPr>
                  <w:tcW w:w="625"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jc w:val="center"/>
              </w:trPr>
              <w:tc>
                <w:tcPr>
                  <w:tcW w:w="624" w:type="pct"/>
                  <w:vMerge w:val="continue"/>
                  <w:vAlign w:val="center"/>
                </w:tcPr>
                <w:p>
                  <w:pPr>
                    <w:autoSpaceDE w:val="0"/>
                    <w:autoSpaceDN w:val="0"/>
                    <w:adjustRightInd w:val="0"/>
                    <w:snapToGrid w:val="0"/>
                    <w:jc w:val="center"/>
                    <w:rPr>
                      <w:rFonts w:ascii="Times New Roman" w:hAnsi="Times New Roman" w:eastAsia="Times New Roman" w:cs="Times New Roman"/>
                      <w:szCs w:val="21"/>
                    </w:rPr>
                  </w:pPr>
                </w:p>
              </w:tc>
              <w:tc>
                <w:tcPr>
                  <w:tcW w:w="391" w:type="pct"/>
                  <w:vMerge w:val="continue"/>
                  <w:vAlign w:val="center"/>
                </w:tcPr>
                <w:p>
                  <w:pPr>
                    <w:autoSpaceDE w:val="0"/>
                    <w:autoSpaceDN w:val="0"/>
                    <w:adjustRightInd w:val="0"/>
                    <w:snapToGrid w:val="0"/>
                    <w:jc w:val="center"/>
                    <w:rPr>
                      <w:rFonts w:ascii="Times New Roman" w:hAnsi="Times New Roman" w:eastAsia="宋体" w:cs="Times New Roman"/>
                      <w:szCs w:val="21"/>
                    </w:rPr>
                  </w:pPr>
                </w:p>
              </w:tc>
              <w:tc>
                <w:tcPr>
                  <w:tcW w:w="858"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最大超标倍数</w:t>
                  </w:r>
                </w:p>
              </w:tc>
              <w:tc>
                <w:tcPr>
                  <w:tcW w:w="626" w:type="pct"/>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626"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1"/>
                    </w:rPr>
                    <w:t>-</w:t>
                  </w:r>
                </w:p>
              </w:tc>
              <w:tc>
                <w:tcPr>
                  <w:tcW w:w="626"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1"/>
                    </w:rPr>
                    <w:t>-</w:t>
                  </w:r>
                </w:p>
              </w:tc>
              <w:tc>
                <w:tcPr>
                  <w:tcW w:w="625"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1"/>
                    </w:rPr>
                    <w:t>-</w:t>
                  </w:r>
                </w:p>
              </w:tc>
              <w:tc>
                <w:tcPr>
                  <w:tcW w:w="625" w:type="pct"/>
                  <w:vAlign w:val="center"/>
                </w:tcPr>
                <w:p>
                  <w:pPr>
                    <w:jc w:val="center"/>
                    <w:rPr>
                      <w:rFonts w:ascii="Times New Roman" w:hAnsi="Times New Roman" w:eastAsia="Times New Roman" w:cs="Times New Roman"/>
                      <w:szCs w:val="20"/>
                    </w:rPr>
                  </w:pPr>
                  <w:r>
                    <w:rPr>
                      <w:rFonts w:ascii="Times New Roman" w:hAnsi="Times New Roman" w:eastAsia="宋体" w:cs="Times New Roman"/>
                      <w:szCs w:val="21"/>
                    </w:rPr>
                    <w:t>-</w:t>
                  </w:r>
                </w:p>
              </w:tc>
            </w:tr>
          </w:tbl>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两监测断面均满足《地表水环境质量标准》（GB3838-2002）Ⅳ类标准要求；SS满足参照执行的水利部试行标准《地表水资源质量标准》（SL63-94）四级标准，水环境质量现状较好。</w:t>
            </w:r>
          </w:p>
          <w:p>
            <w:pPr>
              <w:autoSpaceDE w:val="0"/>
              <w:autoSpaceDN w:val="0"/>
              <w:adjustRightInd w:val="0"/>
              <w:snapToGrid w:val="0"/>
              <w:spacing w:line="360" w:lineRule="auto"/>
              <w:ind w:firstLine="480" w:firstLineChars="200"/>
              <w:rPr>
                <w:rFonts w:ascii="Times New Roman" w:hAnsi="Times New Roman" w:eastAsia="宋体" w:cs="Times New Roman"/>
                <w:b/>
                <w:sz w:val="24"/>
                <w:szCs w:val="24"/>
              </w:rPr>
            </w:pPr>
            <w:r>
              <w:rPr>
                <w:rFonts w:ascii="Times New Roman" w:hAnsi="Times New Roman" w:eastAsia="宋体" w:cs="Times New Roman"/>
                <w:sz w:val="24"/>
                <w:szCs w:val="24"/>
              </w:rPr>
              <w:t>(3)声环境质</w:t>
            </w:r>
            <w:r>
              <w:rPr>
                <w:rFonts w:ascii="Times New Roman" w:hAnsi="Times New Roman" w:eastAsia="宋体" w:cs="Times New Roman"/>
                <w:bCs/>
                <w:sz w:val="24"/>
                <w:szCs w:val="24"/>
              </w:rPr>
              <w:t>量</w:t>
            </w:r>
          </w:p>
          <w:p>
            <w:pPr>
              <w:autoSpaceDE w:val="0"/>
              <w:autoSpaceDN w:val="0"/>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0"/>
              </w:rPr>
              <w:t>为了解项目所在区域声环境质量现状，本评价组委托启辰检测对项目所在地昼夜间声环境现状进行了实测，根据项目特征总布设了4个点位，具体监测结果如下表3-3：</w:t>
            </w:r>
          </w:p>
          <w:p>
            <w:pPr>
              <w:autoSpaceDE w:val="0"/>
              <w:autoSpaceDN w:val="0"/>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表3-3  厂界声环境质量现状</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8"/>
              <w:gridCol w:w="1718"/>
              <w:gridCol w:w="1395"/>
              <w:gridCol w:w="1397"/>
              <w:gridCol w:w="1397"/>
              <w:gridCol w:w="13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6" w:hRule="atLeast"/>
                <w:jc w:val="center"/>
              </w:trPr>
              <w:tc>
                <w:tcPr>
                  <w:tcW w:w="970"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监测时间</w:t>
                  </w:r>
                </w:p>
              </w:tc>
              <w:tc>
                <w:tcPr>
                  <w:tcW w:w="948" w:type="pct"/>
                  <w:tcBorders>
                    <w:top w:val="single" w:color="auto" w:sz="4" w:space="0"/>
                    <w:left w:val="single" w:color="auto" w:sz="4" w:space="0"/>
                    <w:bottom w:val="single" w:color="auto" w:sz="4" w:space="0"/>
                    <w:right w:val="single" w:color="auto" w:sz="4" w:space="0"/>
                    <w:tl2br w:val="single" w:color="auto" w:sz="4" w:space="0"/>
                  </w:tcBorders>
                  <w:vAlign w:val="center"/>
                </w:tcPr>
                <w:p>
                  <w:pPr>
                    <w:autoSpaceDE w:val="0"/>
                    <w:autoSpaceDN w:val="0"/>
                    <w:adjustRightInd w:val="0"/>
                    <w:snapToGrid w:val="0"/>
                    <w:spacing w:line="264" w:lineRule="auto"/>
                    <w:jc w:val="right"/>
                    <w:rPr>
                      <w:rFonts w:ascii="Times New Roman" w:hAnsi="Times New Roman" w:eastAsia="宋体" w:cs="Times New Roman"/>
                      <w:szCs w:val="21"/>
                    </w:rPr>
                  </w:pPr>
                  <w:r>
                    <w:rPr>
                      <w:rFonts w:ascii="Times New Roman" w:hAnsi="Times New Roman" w:eastAsia="宋体" w:cs="Times New Roman"/>
                      <w:szCs w:val="21"/>
                    </w:rPr>
                    <w:t>监测位置</w:t>
                  </w:r>
                </w:p>
                <w:p>
                  <w:pPr>
                    <w:autoSpaceDE w:val="0"/>
                    <w:autoSpaceDN w:val="0"/>
                    <w:adjustRightInd w:val="0"/>
                    <w:snapToGrid w:val="0"/>
                    <w:spacing w:line="264" w:lineRule="auto"/>
                    <w:rPr>
                      <w:rFonts w:ascii="Times New Roman" w:hAnsi="Times New Roman" w:eastAsia="宋体" w:cs="Times New Roman"/>
                      <w:szCs w:val="21"/>
                    </w:rPr>
                  </w:pPr>
                  <w:r>
                    <w:rPr>
                      <w:rFonts w:ascii="Times New Roman" w:hAnsi="Times New Roman" w:eastAsia="宋体" w:cs="Times New Roman"/>
                      <w:szCs w:val="21"/>
                      <w:lang w:val="zh-CN"/>
                    </w:rPr>
                    <w:t>昼夜</w:t>
                  </w:r>
                </w:p>
              </w:tc>
              <w:tc>
                <w:tcPr>
                  <w:tcW w:w="770"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N</w:t>
                  </w:r>
                  <w:r>
                    <w:rPr>
                      <w:rFonts w:ascii="Times New Roman" w:hAnsi="Times New Roman" w:eastAsia="宋体" w:cs="Times New Roman"/>
                      <w:szCs w:val="21"/>
                      <w:lang w:val="zh-CN"/>
                    </w:rPr>
                    <w:t>1东厂界</w:t>
                  </w:r>
                </w:p>
              </w:tc>
              <w:tc>
                <w:tcPr>
                  <w:tcW w:w="771"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N</w:t>
                  </w:r>
                  <w:r>
                    <w:rPr>
                      <w:rFonts w:ascii="Times New Roman" w:hAnsi="Times New Roman" w:eastAsia="宋体" w:cs="Times New Roman"/>
                      <w:szCs w:val="21"/>
                      <w:lang w:val="zh-CN"/>
                    </w:rPr>
                    <w:t>2南厂界</w:t>
                  </w:r>
                </w:p>
              </w:tc>
              <w:tc>
                <w:tcPr>
                  <w:tcW w:w="771"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N</w:t>
                  </w:r>
                  <w:r>
                    <w:rPr>
                      <w:rFonts w:ascii="Times New Roman" w:hAnsi="Times New Roman" w:eastAsia="宋体" w:cs="Times New Roman"/>
                      <w:szCs w:val="21"/>
                      <w:lang w:val="zh-CN"/>
                    </w:rPr>
                    <w:t>3西厂界</w:t>
                  </w:r>
                </w:p>
              </w:tc>
              <w:tc>
                <w:tcPr>
                  <w:tcW w:w="770"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N4</w:t>
                  </w:r>
                  <w:r>
                    <w:rPr>
                      <w:rFonts w:ascii="Times New Roman" w:hAnsi="Times New Roman" w:eastAsia="宋体" w:cs="Times New Roman"/>
                      <w:szCs w:val="21"/>
                      <w:lang w:val="zh-CN"/>
                    </w:rPr>
                    <w:t>北厂界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970" w:type="pct"/>
                  <w:vMerge w:val="restart"/>
                  <w:tcBorders>
                    <w:top w:val="single" w:color="auto" w:sz="4" w:space="0"/>
                    <w:left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2020.7.14</w:t>
                  </w:r>
                </w:p>
              </w:tc>
              <w:tc>
                <w:tcPr>
                  <w:tcW w:w="948"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ind w:left="-5"/>
                    <w:jc w:val="center"/>
                    <w:rPr>
                      <w:rFonts w:ascii="Times New Roman" w:hAnsi="Times New Roman" w:eastAsia="宋体" w:cs="Times New Roman"/>
                      <w:szCs w:val="21"/>
                    </w:rPr>
                  </w:pPr>
                  <w:r>
                    <w:rPr>
                      <w:rFonts w:ascii="Times New Roman" w:hAnsi="Times New Roman" w:eastAsia="宋体" w:cs="Times New Roman"/>
                      <w:szCs w:val="21"/>
                      <w:lang w:val="zh-CN"/>
                    </w:rPr>
                    <w:t>昼间Leq[dB(A)]</w:t>
                  </w:r>
                </w:p>
              </w:tc>
              <w:tc>
                <w:tcPr>
                  <w:tcW w:w="770"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ind w:left="-5"/>
                    <w:jc w:val="center"/>
                    <w:rPr>
                      <w:rFonts w:ascii="Times New Roman" w:hAnsi="Times New Roman" w:eastAsia="宋体" w:cs="Times New Roman"/>
                      <w:szCs w:val="21"/>
                    </w:rPr>
                  </w:pPr>
                  <w:r>
                    <w:rPr>
                      <w:rFonts w:ascii="Times New Roman" w:hAnsi="Times New Roman" w:eastAsia="宋体" w:cs="Times New Roman"/>
                      <w:szCs w:val="21"/>
                    </w:rPr>
                    <w:t>53</w:t>
                  </w:r>
                </w:p>
              </w:tc>
              <w:tc>
                <w:tcPr>
                  <w:tcW w:w="771"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52</w:t>
                  </w:r>
                </w:p>
              </w:tc>
              <w:tc>
                <w:tcPr>
                  <w:tcW w:w="771"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54</w:t>
                  </w:r>
                </w:p>
              </w:tc>
              <w:tc>
                <w:tcPr>
                  <w:tcW w:w="771"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970" w:type="pct"/>
                  <w:vMerge w:val="continue"/>
                  <w:tcBorders>
                    <w:left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Times New Roman" w:cs="Times New Roman"/>
                      <w:szCs w:val="21"/>
                    </w:rPr>
                  </w:pPr>
                </w:p>
              </w:tc>
              <w:tc>
                <w:tcPr>
                  <w:tcW w:w="948"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ind w:left="-5"/>
                    <w:jc w:val="center"/>
                    <w:rPr>
                      <w:rFonts w:ascii="Times New Roman" w:hAnsi="Times New Roman" w:eastAsia="Times New Roman" w:cs="Times New Roman"/>
                      <w:szCs w:val="21"/>
                      <w:lang w:val="zh-CN"/>
                    </w:rPr>
                  </w:pPr>
                  <w:r>
                    <w:rPr>
                      <w:rFonts w:ascii="Times New Roman" w:hAnsi="Times New Roman" w:eastAsia="宋体" w:cs="Times New Roman"/>
                      <w:szCs w:val="21"/>
                      <w:lang w:val="zh-CN"/>
                    </w:rPr>
                    <w:t>夜间Leq[dB(A)]</w:t>
                  </w:r>
                </w:p>
              </w:tc>
              <w:tc>
                <w:tcPr>
                  <w:tcW w:w="770"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ind w:left="-5"/>
                    <w:jc w:val="center"/>
                    <w:rPr>
                      <w:rFonts w:ascii="Times New Roman" w:hAnsi="Times New Roman" w:eastAsia="宋体" w:cs="Times New Roman"/>
                      <w:szCs w:val="21"/>
                    </w:rPr>
                  </w:pPr>
                  <w:r>
                    <w:rPr>
                      <w:rFonts w:ascii="Times New Roman" w:hAnsi="Times New Roman" w:eastAsia="宋体" w:cs="Times New Roman"/>
                      <w:szCs w:val="21"/>
                    </w:rPr>
                    <w:t>43</w:t>
                  </w:r>
                </w:p>
              </w:tc>
              <w:tc>
                <w:tcPr>
                  <w:tcW w:w="771"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43</w:t>
                  </w:r>
                </w:p>
              </w:tc>
              <w:tc>
                <w:tcPr>
                  <w:tcW w:w="771"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42</w:t>
                  </w:r>
                </w:p>
              </w:tc>
              <w:tc>
                <w:tcPr>
                  <w:tcW w:w="770" w:type="pc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64" w:lineRule="auto"/>
                    <w:jc w:val="center"/>
                    <w:rPr>
                      <w:rFonts w:ascii="Times New Roman" w:hAnsi="Times New Roman" w:eastAsia="宋体" w:cs="Times New Roman"/>
                      <w:szCs w:val="21"/>
                    </w:rPr>
                  </w:pPr>
                  <w:r>
                    <w:rPr>
                      <w:rFonts w:ascii="Times New Roman" w:hAnsi="Times New Roman" w:eastAsia="宋体" w:cs="Times New Roman"/>
                      <w:szCs w:val="21"/>
                    </w:rPr>
                    <w:t>44</w:t>
                  </w:r>
                </w:p>
              </w:tc>
            </w:tr>
          </w:tbl>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由上述监测数据可见，项目所在区域目前昼夜间声环境质量较良好，可达《声环境质量标准》（GB3096-2008）中的3类标准。</w:t>
            </w:r>
          </w:p>
          <w:p>
            <w:pPr>
              <w:spacing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主要环境保护目标</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根据建设项目排污特点，本项目环境影响评价的主要环境保护目标为：</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本项目主要环境敏感保护目标见表3-4。</w:t>
            </w:r>
          </w:p>
          <w:p>
            <w:pPr>
              <w:jc w:val="center"/>
              <w:rPr>
                <w:rFonts w:ascii="Times New Roman" w:hAnsi="Times New Roman" w:eastAsia="宋体" w:cs="Times New Roman"/>
                <w:b/>
                <w:bCs/>
                <w:szCs w:val="20"/>
              </w:rPr>
            </w:pPr>
            <w:r>
              <w:rPr>
                <w:rFonts w:ascii="Times New Roman" w:hAnsi="Times New Roman" w:eastAsia="宋体" w:cs="Times New Roman"/>
                <w:b/>
                <w:bCs/>
                <w:szCs w:val="20"/>
              </w:rPr>
              <w:t>表3-4  主要大气环境保护目标</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2"/>
              <w:gridCol w:w="814"/>
              <w:gridCol w:w="980"/>
              <w:gridCol w:w="1129"/>
              <w:gridCol w:w="770"/>
              <w:gridCol w:w="770"/>
              <w:gridCol w:w="2118"/>
              <w:gridCol w:w="1004"/>
              <w:gridCol w:w="9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99" w:type="pct"/>
                  <w:vMerge w:val="restart"/>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序号</w:t>
                  </w:r>
                </w:p>
              </w:tc>
              <w:tc>
                <w:tcPr>
                  <w:tcW w:w="449" w:type="pct"/>
                  <w:vMerge w:val="restart"/>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名称</w:t>
                  </w:r>
                </w:p>
              </w:tc>
              <w:tc>
                <w:tcPr>
                  <w:tcW w:w="1164" w:type="pct"/>
                  <w:gridSpan w:val="2"/>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坐标</w:t>
                  </w:r>
                </w:p>
              </w:tc>
              <w:tc>
                <w:tcPr>
                  <w:tcW w:w="425" w:type="pct"/>
                  <w:vMerge w:val="restart"/>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保护对象</w:t>
                  </w:r>
                </w:p>
              </w:tc>
              <w:tc>
                <w:tcPr>
                  <w:tcW w:w="425" w:type="pct"/>
                  <w:vMerge w:val="restart"/>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保护内容</w:t>
                  </w:r>
                </w:p>
              </w:tc>
              <w:tc>
                <w:tcPr>
                  <w:tcW w:w="1169" w:type="pct"/>
                  <w:vMerge w:val="restart"/>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环境功能区</w:t>
                  </w:r>
                </w:p>
              </w:tc>
              <w:tc>
                <w:tcPr>
                  <w:tcW w:w="554" w:type="pct"/>
                  <w:vMerge w:val="restart"/>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相对厂址方位</w:t>
                  </w:r>
                </w:p>
              </w:tc>
              <w:tc>
                <w:tcPr>
                  <w:tcW w:w="515" w:type="pct"/>
                  <w:vMerge w:val="restart"/>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相对距离/m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299" w:type="pct"/>
                  <w:vMerge w:val="continue"/>
                  <w:vAlign w:val="center"/>
                </w:tcPr>
                <w:p>
                  <w:pPr>
                    <w:widowControl/>
                    <w:jc w:val="left"/>
                    <w:rPr>
                      <w:rFonts w:ascii="Times New Roman" w:hAnsi="Times New Roman" w:eastAsia="宋体" w:cs="Times New Roman"/>
                      <w:bCs/>
                      <w:szCs w:val="21"/>
                    </w:rPr>
                  </w:pPr>
                </w:p>
              </w:tc>
              <w:tc>
                <w:tcPr>
                  <w:tcW w:w="449" w:type="pct"/>
                  <w:vMerge w:val="continue"/>
                  <w:vAlign w:val="center"/>
                </w:tcPr>
                <w:p>
                  <w:pPr>
                    <w:widowControl/>
                    <w:jc w:val="left"/>
                    <w:rPr>
                      <w:rFonts w:ascii="Times New Roman" w:hAnsi="Times New Roman" w:eastAsia="宋体" w:cs="Times New Roman"/>
                      <w:bCs/>
                      <w:szCs w:val="21"/>
                    </w:rPr>
                  </w:pPr>
                </w:p>
              </w:tc>
              <w:tc>
                <w:tcPr>
                  <w:tcW w:w="541" w:type="pct"/>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经度（东经）</w:t>
                  </w:r>
                </w:p>
              </w:tc>
              <w:tc>
                <w:tcPr>
                  <w:tcW w:w="623" w:type="pct"/>
                  <w:vAlign w:val="center"/>
                </w:tcPr>
                <w:p>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纬度（北纬）</w:t>
                  </w:r>
                </w:p>
              </w:tc>
              <w:tc>
                <w:tcPr>
                  <w:tcW w:w="425" w:type="pct"/>
                  <w:vMerge w:val="continue"/>
                  <w:vAlign w:val="center"/>
                </w:tcPr>
                <w:p>
                  <w:pPr>
                    <w:widowControl/>
                    <w:jc w:val="left"/>
                    <w:rPr>
                      <w:rFonts w:ascii="Times New Roman" w:hAnsi="Times New Roman" w:eastAsia="宋体" w:cs="Times New Roman"/>
                      <w:bCs/>
                      <w:szCs w:val="21"/>
                    </w:rPr>
                  </w:pPr>
                </w:p>
              </w:tc>
              <w:tc>
                <w:tcPr>
                  <w:tcW w:w="425" w:type="pct"/>
                  <w:vMerge w:val="continue"/>
                  <w:vAlign w:val="center"/>
                </w:tcPr>
                <w:p>
                  <w:pPr>
                    <w:widowControl/>
                    <w:jc w:val="left"/>
                    <w:rPr>
                      <w:rFonts w:ascii="Times New Roman" w:hAnsi="Times New Roman" w:eastAsia="宋体" w:cs="Times New Roman"/>
                      <w:bCs/>
                      <w:szCs w:val="21"/>
                    </w:rPr>
                  </w:pPr>
                </w:p>
              </w:tc>
              <w:tc>
                <w:tcPr>
                  <w:tcW w:w="1169" w:type="pct"/>
                  <w:vMerge w:val="continue"/>
                  <w:vAlign w:val="center"/>
                </w:tcPr>
                <w:p>
                  <w:pPr>
                    <w:widowControl/>
                    <w:jc w:val="left"/>
                    <w:rPr>
                      <w:rFonts w:ascii="Times New Roman" w:hAnsi="Times New Roman" w:eastAsia="宋体" w:cs="Times New Roman"/>
                      <w:bCs/>
                      <w:szCs w:val="21"/>
                    </w:rPr>
                  </w:pPr>
                </w:p>
              </w:tc>
              <w:tc>
                <w:tcPr>
                  <w:tcW w:w="554" w:type="pct"/>
                  <w:vMerge w:val="continue"/>
                  <w:vAlign w:val="center"/>
                </w:tcPr>
                <w:p>
                  <w:pPr>
                    <w:widowControl/>
                    <w:jc w:val="left"/>
                    <w:rPr>
                      <w:rFonts w:ascii="Times New Roman" w:hAnsi="Times New Roman" w:eastAsia="宋体" w:cs="Times New Roman"/>
                      <w:bCs/>
                      <w:szCs w:val="21"/>
                    </w:rPr>
                  </w:pPr>
                </w:p>
              </w:tc>
              <w:tc>
                <w:tcPr>
                  <w:tcW w:w="515" w:type="pct"/>
                  <w:vMerge w:val="continue"/>
                  <w:vAlign w:val="center"/>
                </w:tcPr>
                <w:p>
                  <w:pPr>
                    <w:widowControl/>
                    <w:jc w:val="left"/>
                    <w:rPr>
                      <w:rFonts w:ascii="Times New Roman" w:hAnsi="Times New Roman" w:eastAsia="宋体" w:cs="Times New Roman"/>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44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尼盛花园</w:t>
                  </w:r>
                </w:p>
              </w:tc>
              <w:tc>
                <w:tcPr>
                  <w:tcW w:w="541"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121.138</w:t>
                  </w:r>
                </w:p>
              </w:tc>
              <w:tc>
                <w:tcPr>
                  <w:tcW w:w="623"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31.489</w:t>
                  </w:r>
                </w:p>
              </w:tc>
              <w:tc>
                <w:tcPr>
                  <w:tcW w:w="425"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居住区</w:t>
                  </w:r>
                </w:p>
              </w:tc>
              <w:tc>
                <w:tcPr>
                  <w:tcW w:w="425"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人群</w:t>
                  </w:r>
                </w:p>
              </w:tc>
              <w:tc>
                <w:tcPr>
                  <w:tcW w:w="1169" w:type="pct"/>
                  <w:vMerge w:val="restar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《环境空气质量标准》（GB3095-2012）表1中的二级标准</w:t>
                  </w:r>
                </w:p>
              </w:tc>
              <w:tc>
                <w:tcPr>
                  <w:tcW w:w="554"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北</w:t>
                  </w:r>
                </w:p>
              </w:tc>
              <w:tc>
                <w:tcPr>
                  <w:tcW w:w="515"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449"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新洋桥公寓</w:t>
                  </w:r>
                </w:p>
              </w:tc>
              <w:tc>
                <w:tcPr>
                  <w:tcW w:w="541"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121.139</w:t>
                  </w:r>
                </w:p>
              </w:tc>
              <w:tc>
                <w:tcPr>
                  <w:tcW w:w="623"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31.491</w:t>
                  </w:r>
                </w:p>
              </w:tc>
              <w:tc>
                <w:tcPr>
                  <w:tcW w:w="425"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居住区</w:t>
                  </w:r>
                </w:p>
              </w:tc>
              <w:tc>
                <w:tcPr>
                  <w:tcW w:w="425"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人群</w:t>
                  </w:r>
                </w:p>
              </w:tc>
              <w:tc>
                <w:tcPr>
                  <w:tcW w:w="1169" w:type="pct"/>
                  <w:vMerge w:val="continue"/>
                  <w:vAlign w:val="center"/>
                </w:tcPr>
                <w:p>
                  <w:pPr>
                    <w:adjustRightInd w:val="0"/>
                    <w:snapToGrid w:val="0"/>
                    <w:jc w:val="center"/>
                    <w:rPr>
                      <w:rFonts w:ascii="Times New Roman" w:hAnsi="Times New Roman" w:eastAsia="宋体" w:cs="Times New Roman"/>
                      <w:szCs w:val="21"/>
                    </w:rPr>
                  </w:pPr>
                </w:p>
              </w:tc>
              <w:tc>
                <w:tcPr>
                  <w:tcW w:w="554" w:type="pct"/>
                  <w:vAlign w:val="center"/>
                </w:tcPr>
                <w:p>
                  <w:pPr>
                    <w:adjustRightInd w:val="0"/>
                    <w:snapToGrid w:val="0"/>
                    <w:jc w:val="center"/>
                    <w:rPr>
                      <w:rFonts w:ascii="Times New Roman" w:hAnsi="Times New Roman" w:eastAsia="Times New Roman" w:cs="Times New Roman"/>
                      <w:szCs w:val="21"/>
                    </w:rPr>
                  </w:pPr>
                  <w:r>
                    <w:rPr>
                      <w:rFonts w:ascii="Times New Roman" w:hAnsi="Times New Roman" w:eastAsia="宋体" w:cs="Times New Roman"/>
                      <w:szCs w:val="21"/>
                    </w:rPr>
                    <w:t>东北</w:t>
                  </w:r>
                </w:p>
              </w:tc>
              <w:tc>
                <w:tcPr>
                  <w:tcW w:w="515"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449" w:type="pct"/>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叶家宅</w:t>
                  </w:r>
                </w:p>
              </w:tc>
              <w:tc>
                <w:tcPr>
                  <w:tcW w:w="541"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121.136</w:t>
                  </w:r>
                </w:p>
              </w:tc>
              <w:tc>
                <w:tcPr>
                  <w:tcW w:w="623"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31.489</w:t>
                  </w:r>
                </w:p>
              </w:tc>
              <w:tc>
                <w:tcPr>
                  <w:tcW w:w="425"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居住区</w:t>
                  </w:r>
                </w:p>
              </w:tc>
              <w:tc>
                <w:tcPr>
                  <w:tcW w:w="425"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人群</w:t>
                  </w:r>
                </w:p>
              </w:tc>
              <w:tc>
                <w:tcPr>
                  <w:tcW w:w="1169" w:type="pct"/>
                  <w:vMerge w:val="continue"/>
                  <w:vAlign w:val="center"/>
                </w:tcPr>
                <w:p>
                  <w:pPr>
                    <w:adjustRightInd w:val="0"/>
                    <w:snapToGrid w:val="0"/>
                    <w:jc w:val="center"/>
                    <w:rPr>
                      <w:rFonts w:ascii="Times New Roman" w:hAnsi="Times New Roman" w:eastAsia="Times New Roman" w:cs="Times New Roman"/>
                      <w:szCs w:val="21"/>
                    </w:rPr>
                  </w:pPr>
                </w:p>
              </w:tc>
              <w:tc>
                <w:tcPr>
                  <w:tcW w:w="554" w:type="pct"/>
                  <w:vAlign w:val="center"/>
                </w:tcPr>
                <w:p>
                  <w:pPr>
                    <w:adjustRightInd w:val="0"/>
                    <w:snapToGrid w:val="0"/>
                    <w:jc w:val="center"/>
                    <w:rPr>
                      <w:rFonts w:ascii="Times New Roman" w:hAnsi="Times New Roman" w:eastAsia="Times New Roman" w:cs="Times New Roman"/>
                      <w:szCs w:val="21"/>
                    </w:rPr>
                  </w:pPr>
                  <w:r>
                    <w:rPr>
                      <w:rFonts w:ascii="Times New Roman" w:hAnsi="Times New Roman" w:eastAsia="宋体" w:cs="Times New Roman"/>
                      <w:szCs w:val="21"/>
                    </w:rPr>
                    <w:t>西北</w:t>
                  </w:r>
                </w:p>
              </w:tc>
              <w:tc>
                <w:tcPr>
                  <w:tcW w:w="515"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408</w:t>
                  </w:r>
                </w:p>
              </w:tc>
            </w:tr>
          </w:tbl>
          <w:p>
            <w:pPr>
              <w:jc w:val="center"/>
              <w:rPr>
                <w:rFonts w:ascii="Times New Roman" w:hAnsi="Times New Roman" w:eastAsia="宋体" w:cs="Times New Roman"/>
                <w:b/>
                <w:bCs/>
                <w:szCs w:val="20"/>
              </w:rPr>
            </w:pPr>
            <w:r>
              <w:rPr>
                <w:rFonts w:ascii="Times New Roman" w:hAnsi="Times New Roman" w:eastAsia="宋体" w:cs="Times New Roman"/>
                <w:b/>
                <w:bCs/>
                <w:szCs w:val="20"/>
              </w:rPr>
              <w:t>表3-5  主要环境保护目标</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2273"/>
              <w:gridCol w:w="552"/>
              <w:gridCol w:w="800"/>
              <w:gridCol w:w="930"/>
              <w:gridCol w:w="3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环境要素</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环境保护对象</w:t>
                  </w:r>
                </w:p>
                <w:p>
                  <w:pPr>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方位</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距离</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规模</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环境功能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0" w:type="auto"/>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水环境</w:t>
                  </w:r>
                </w:p>
              </w:tc>
              <w:tc>
                <w:tcPr>
                  <w:tcW w:w="0" w:type="auto"/>
                  <w:vAlign w:val="center"/>
                </w:tcPr>
                <w:p>
                  <w:pPr>
                    <w:autoSpaceDE w:val="0"/>
                    <w:autoSpaceDN w:val="0"/>
                    <w:adjustRightInd w:val="0"/>
                    <w:snapToGrid w:val="0"/>
                    <w:ind w:left="-5"/>
                    <w:jc w:val="center"/>
                    <w:rPr>
                      <w:rFonts w:ascii="Times New Roman" w:hAnsi="Times New Roman" w:eastAsia="宋体" w:cs="Times New Roman"/>
                      <w:szCs w:val="21"/>
                      <w:lang w:val="zh-CN"/>
                    </w:rPr>
                  </w:pPr>
                  <w:r>
                    <w:rPr>
                      <w:rFonts w:ascii="Times New Roman" w:hAnsi="Times New Roman" w:eastAsia="宋体" w:cs="Times New Roman"/>
                      <w:szCs w:val="21"/>
                      <w:lang w:val="zh-CN"/>
                    </w:rPr>
                    <w:t>十八港</w:t>
                  </w:r>
                </w:p>
              </w:tc>
              <w:tc>
                <w:tcPr>
                  <w:tcW w:w="0" w:type="auto"/>
                  <w:vAlign w:val="center"/>
                </w:tcPr>
                <w:p>
                  <w:pPr>
                    <w:autoSpaceDE w:val="0"/>
                    <w:autoSpaceDN w:val="0"/>
                    <w:adjustRightInd w:val="0"/>
                    <w:snapToGrid w:val="0"/>
                    <w:jc w:val="center"/>
                    <w:rPr>
                      <w:rFonts w:ascii="Times New Roman" w:hAnsi="Times New Roman" w:eastAsia="宋体" w:cs="Times New Roman"/>
                      <w:szCs w:val="21"/>
                      <w:lang w:val="zh-CN"/>
                    </w:rPr>
                  </w:pPr>
                  <w:r>
                    <w:rPr>
                      <w:rFonts w:ascii="Times New Roman" w:hAnsi="Times New Roman" w:eastAsia="宋体" w:cs="Times New Roman"/>
                      <w:szCs w:val="21"/>
                      <w:lang w:val="zh-CN"/>
                    </w:rPr>
                    <w:t>南</w:t>
                  </w:r>
                </w:p>
              </w:tc>
              <w:tc>
                <w:tcPr>
                  <w:tcW w:w="0" w:type="auto"/>
                  <w:vAlign w:val="center"/>
                </w:tcPr>
                <w:p>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350m</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小河</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《地表水环境质量标准》（GB3838-2002）</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 4 \* ROMAN </w:instrText>
                  </w:r>
                  <w:r>
                    <w:rPr>
                      <w:rFonts w:ascii="Times New Roman" w:hAnsi="Times New Roman" w:eastAsia="宋体" w:cs="Times New Roman"/>
                      <w:szCs w:val="21"/>
                    </w:rPr>
                    <w:fldChar w:fldCharType="separate"/>
                  </w:r>
                  <w:r>
                    <w:rPr>
                      <w:rFonts w:ascii="Times New Roman" w:hAnsi="Times New Roman" w:eastAsia="宋体" w:cs="Times New Roman"/>
                      <w:szCs w:val="21"/>
                    </w:rPr>
                    <w:t>IV</w:t>
                  </w:r>
                  <w:r>
                    <w:rPr>
                      <w:rFonts w:ascii="Times New Roman" w:hAnsi="Times New Roman" w:eastAsia="宋体" w:cs="Times New Roman"/>
                      <w:szCs w:val="21"/>
                    </w:rPr>
                    <w:fldChar w:fldCharType="end"/>
                  </w:r>
                  <w:r>
                    <w:rPr>
                      <w:rFonts w:ascii="Times New Roman" w:hAnsi="Times New Roman" w:eastAsia="宋体" w:cs="Times New Roman"/>
                      <w:szCs w:val="21"/>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0" w:type="auto"/>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声环境</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厂界</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周围</w:t>
                  </w:r>
                </w:p>
              </w:tc>
              <w:tc>
                <w:tcPr>
                  <w:tcW w:w="0" w:type="auto"/>
                  <w:vAlign w:val="center"/>
                </w:tcPr>
                <w:p>
                  <w:pPr>
                    <w:jc w:val="center"/>
                    <w:rPr>
                      <w:rFonts w:ascii="Times New Roman" w:hAnsi="Times New Roman" w:eastAsia="宋体" w:cs="Times New Roman"/>
                      <w:szCs w:val="21"/>
                      <w:lang w:val="zh-CN"/>
                    </w:rPr>
                  </w:pPr>
                  <w:r>
                    <w:rPr>
                      <w:rFonts w:ascii="Times New Roman" w:hAnsi="Times New Roman" w:eastAsia="宋体" w:cs="Times New Roman"/>
                      <w:szCs w:val="21"/>
                      <w:lang w:val="zh-CN"/>
                    </w:rPr>
                    <w:t>1m</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0" w:type="auto"/>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《声环境质量标准》（GB3096-2008）中的3类标准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0" w:type="auto"/>
                  <w:vMerge w:val="restar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生态</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太仓金仓湖省级湿地公园</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w:t>
                  </w:r>
                </w:p>
              </w:tc>
              <w:tc>
                <w:tcPr>
                  <w:tcW w:w="0" w:type="auto"/>
                  <w:vAlign w:val="center"/>
                </w:tcPr>
                <w:p>
                  <w:pPr>
                    <w:autoSpaceDE w:val="0"/>
                    <w:autoSpaceDN w:val="0"/>
                    <w:jc w:val="center"/>
                    <w:rPr>
                      <w:rFonts w:ascii="Times New Roman" w:hAnsi="Times New Roman" w:eastAsia="宋体" w:cs="Times New Roman"/>
                      <w:szCs w:val="21"/>
                      <w:lang w:val="zh-CN"/>
                    </w:rPr>
                  </w:pPr>
                  <w:r>
                    <w:rPr>
                      <w:rFonts w:ascii="Times New Roman" w:hAnsi="Times New Roman" w:eastAsia="宋体" w:cs="Times New Roman"/>
                      <w:szCs w:val="21"/>
                    </w:rPr>
                    <w:t>4200m</w:t>
                  </w:r>
                </w:p>
              </w:tc>
              <w:tc>
                <w:tcPr>
                  <w:tcW w:w="0" w:type="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二级管控区</w:t>
                  </w:r>
                </w:p>
              </w:tc>
              <w:tc>
                <w:tcPr>
                  <w:tcW w:w="0" w:type="auto"/>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湿地生态系统维护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0" w:type="auto"/>
                  <w:vMerge w:val="continue"/>
                  <w:vAlign w:val="center"/>
                </w:tcPr>
                <w:p>
                  <w:pPr>
                    <w:adjustRightInd w:val="0"/>
                    <w:snapToGrid w:val="0"/>
                    <w:jc w:val="center"/>
                    <w:rPr>
                      <w:rFonts w:ascii="Times New Roman" w:hAnsi="Times New Roman" w:eastAsia="Times New Roman" w:cs="Times New Roman"/>
                      <w:szCs w:val="21"/>
                    </w:rPr>
                  </w:pPr>
                </w:p>
              </w:tc>
              <w:tc>
                <w:tcPr>
                  <w:tcW w:w="0" w:type="auto"/>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新浏河（太仓市）清水通道维护区</w:t>
                  </w:r>
                </w:p>
              </w:tc>
              <w:tc>
                <w:tcPr>
                  <w:tcW w:w="0" w:type="auto"/>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南</w:t>
                  </w:r>
                </w:p>
              </w:tc>
              <w:tc>
                <w:tcPr>
                  <w:tcW w:w="0" w:type="auto"/>
                  <w:vAlign w:val="center"/>
                </w:tcPr>
                <w:p>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4100m</w:t>
                  </w:r>
                </w:p>
              </w:tc>
              <w:tc>
                <w:tcPr>
                  <w:tcW w:w="0" w:type="auto"/>
                  <w:vAlign w:val="center"/>
                </w:tcPr>
                <w:p>
                  <w:pPr>
                    <w:jc w:val="center"/>
                    <w:rPr>
                      <w:rFonts w:ascii="Times New Roman" w:hAnsi="Times New Roman" w:eastAsia="Times New Roman" w:cs="Times New Roman"/>
                      <w:szCs w:val="21"/>
                    </w:rPr>
                  </w:pPr>
                  <w:r>
                    <w:rPr>
                      <w:rFonts w:ascii="Times New Roman" w:hAnsi="Times New Roman" w:eastAsia="宋体" w:cs="Times New Roman"/>
                      <w:szCs w:val="21"/>
                    </w:rPr>
                    <w:t>二级管控区</w:t>
                  </w:r>
                </w:p>
              </w:tc>
              <w:tc>
                <w:tcPr>
                  <w:tcW w:w="0" w:type="auto"/>
                  <w:vAlign w:val="center"/>
                </w:tcPr>
                <w:p>
                  <w:pPr>
                    <w:adjustRightInd w:val="0"/>
                    <w:snapToGrid w:val="0"/>
                    <w:jc w:val="center"/>
                    <w:rPr>
                      <w:rFonts w:ascii="Times New Roman" w:hAnsi="Times New Roman" w:eastAsia="Times New Roman" w:cs="Times New Roman"/>
                      <w:szCs w:val="21"/>
                    </w:rPr>
                  </w:pPr>
                  <w:r>
                    <w:rPr>
                      <w:rFonts w:ascii="Times New Roman" w:hAnsi="Times New Roman" w:eastAsia="宋体" w:cs="Times New Roman"/>
                      <w:szCs w:val="21"/>
                    </w:rPr>
                    <w:t>水源水质保护</w:t>
                  </w:r>
                </w:p>
              </w:tc>
            </w:tr>
          </w:tbl>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可以看出，本项目不在《江苏省生态红线区域保护规划》中划定的上述重要生态功能保护区内。</w:t>
            </w: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pPr>
          </w:p>
        </w:tc>
      </w:tr>
    </w:tbl>
    <w:p>
      <w:pPr>
        <w:rPr>
          <w:rFonts w:ascii="Times New Roman" w:hAnsi="Times New Roman" w:eastAsia="宋体" w:cs="Times New Roman"/>
          <w:color w:val="FF0000"/>
          <w:sz w:val="28"/>
          <w:szCs w:val="28"/>
        </w:rPr>
        <w:sectPr>
          <w:pgSz w:w="11906" w:h="16838"/>
          <w:pgMar w:top="1440" w:right="1418" w:bottom="1440" w:left="1418" w:header="851" w:footer="992" w:gutter="0"/>
          <w:pgBorders w:offsetFrom="page">
            <w:top w:val="none" w:sz="0" w:space="0"/>
            <w:left w:val="none" w:sz="0" w:space="0"/>
            <w:bottom w:val="none" w:sz="0" w:space="0"/>
            <w:right w:val="none" w:sz="0" w:space="0"/>
          </w:pgBorders>
          <w:cols w:space="720" w:num="1"/>
          <w:docGrid w:linePitch="312" w:charSpace="0"/>
        </w:sectPr>
      </w:pPr>
    </w:p>
    <w:p>
      <w:pPr>
        <w:keepNext/>
        <w:keepLines/>
        <w:spacing w:line="240" w:lineRule="atLeast"/>
        <w:outlineLvl w:val="0"/>
        <w:rPr>
          <w:rFonts w:ascii="Times New Roman" w:hAnsi="Times New Roman" w:eastAsia="宋体" w:cs="Times New Roman"/>
          <w:b/>
          <w:bCs/>
          <w:kern w:val="44"/>
          <w:sz w:val="28"/>
          <w:szCs w:val="28"/>
        </w:rPr>
      </w:pPr>
      <w:r>
        <w:rPr>
          <w:rFonts w:ascii="Times New Roman" w:hAnsi="Times New Roman" w:eastAsia="宋体" w:cs="Times New Roman"/>
          <w:b/>
          <w:bCs/>
          <w:kern w:val="44"/>
          <w:sz w:val="28"/>
          <w:szCs w:val="28"/>
        </w:rPr>
        <w:t>四、评价适用标准</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8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38" w:hRule="atLeast"/>
          <w:jc w:val="center"/>
        </w:trPr>
        <w:tc>
          <w:tcPr>
            <w:tcW w:w="455" w:type="dxa"/>
            <w:vAlign w:val="center"/>
          </w:tcPr>
          <w:p>
            <w:pPr>
              <w:spacing w:line="360" w:lineRule="auto"/>
              <w:rPr>
                <w:rFonts w:ascii="Times New Roman" w:hAnsi="Times New Roman" w:eastAsia="宋体" w:cs="Times New Roman"/>
                <w:sz w:val="24"/>
                <w:szCs w:val="24"/>
              </w:rPr>
            </w:pPr>
            <w:r>
              <w:rPr>
                <w:rFonts w:ascii="Times New Roman" w:hAnsi="Times New Roman" w:eastAsia="宋体" w:cs="Times New Roman"/>
                <w:sz w:val="24"/>
                <w:szCs w:val="24"/>
              </w:rPr>
              <w:t>环境质量标准</w:t>
            </w:r>
          </w:p>
        </w:tc>
        <w:tc>
          <w:tcPr>
            <w:tcW w:w="9205" w:type="dxa"/>
          </w:tcPr>
          <w:p>
            <w:pPr>
              <w:tabs>
                <w:tab w:val="right" w:pos="9760"/>
              </w:tabs>
              <w:spacing w:line="360" w:lineRule="auto"/>
              <w:rPr>
                <w:rFonts w:ascii="Times New Roman" w:hAnsi="Times New Roman" w:eastAsia="宋体" w:cs="Times New Roman"/>
                <w:sz w:val="24"/>
                <w:szCs w:val="24"/>
              </w:rPr>
            </w:pPr>
            <w:r>
              <w:rPr>
                <w:rFonts w:ascii="Times New Roman" w:hAnsi="Times New Roman" w:eastAsia="宋体" w:cs="Times New Roman"/>
                <w:sz w:val="24"/>
                <w:szCs w:val="24"/>
              </w:rPr>
              <w:t>（1）环境空气质量标准</w:t>
            </w:r>
            <w:r>
              <w:rPr>
                <w:rFonts w:ascii="Times New Roman" w:hAnsi="Times New Roman" w:eastAsia="宋体" w:cs="Times New Roman"/>
                <w:sz w:val="24"/>
                <w:szCs w:val="24"/>
              </w:rPr>
              <w:tab/>
            </w:r>
          </w:p>
          <w:p>
            <w:pPr>
              <w:adjustRightInd w:val="0"/>
              <w:snapToGrid w:val="0"/>
              <w:spacing w:before="120" w:beforeLines="50" w:line="360" w:lineRule="auto"/>
              <w:jc w:val="center"/>
              <w:textAlignment w:val="baseline"/>
              <w:rPr>
                <w:rFonts w:ascii="Times New Roman" w:hAnsi="Times New Roman" w:eastAsia="宋体" w:cs="Times New Roman"/>
                <w:b/>
                <w:snapToGrid w:val="0"/>
                <w:spacing w:val="4"/>
                <w:kern w:val="0"/>
                <w:szCs w:val="21"/>
              </w:rPr>
            </w:pPr>
            <w:r>
              <w:rPr>
                <w:rFonts w:ascii="Times New Roman" w:hAnsi="Times New Roman" w:eastAsia="宋体" w:cs="Times New Roman"/>
                <w:b/>
                <w:snapToGrid w:val="0"/>
                <w:spacing w:val="4"/>
                <w:kern w:val="0"/>
                <w:szCs w:val="21"/>
              </w:rPr>
              <w:t>表4-1  环境空气质量标准限值表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8"/>
              <w:gridCol w:w="1406"/>
              <w:gridCol w:w="1466"/>
              <w:gridCol w:w="1071"/>
              <w:gridCol w:w="32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jc w:val="center"/>
              </w:trPr>
              <w:tc>
                <w:tcPr>
                  <w:tcW w:w="1388" w:type="dxa"/>
                  <w:vMerge w:val="restar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污染因子</w:t>
                  </w:r>
                </w:p>
              </w:tc>
              <w:tc>
                <w:tcPr>
                  <w:tcW w:w="3943" w:type="dxa"/>
                  <w:gridSpan w:val="3"/>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环境质量标准（mg/Nm</w:t>
                  </w:r>
                  <w:r>
                    <w:rPr>
                      <w:rFonts w:ascii="Times New Roman" w:hAnsi="Times New Roman" w:eastAsia="宋体" w:cs="Times New Roman"/>
                      <w:b/>
                      <w:szCs w:val="21"/>
                      <w:vertAlign w:val="superscript"/>
                    </w:rPr>
                    <w:t>3</w:t>
                  </w:r>
                  <w:r>
                    <w:rPr>
                      <w:rFonts w:ascii="Times New Roman" w:hAnsi="Times New Roman" w:eastAsia="宋体" w:cs="Times New Roman"/>
                      <w:b/>
                      <w:szCs w:val="21"/>
                    </w:rPr>
                    <w:t>）</w:t>
                  </w:r>
                </w:p>
              </w:tc>
              <w:tc>
                <w:tcPr>
                  <w:tcW w:w="3273" w:type="dxa"/>
                  <w:vMerge w:val="restar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jc w:val="center"/>
              </w:trPr>
              <w:tc>
                <w:tcPr>
                  <w:tcW w:w="1388" w:type="dxa"/>
                  <w:vMerge w:val="continue"/>
                  <w:vAlign w:val="center"/>
                </w:tcPr>
                <w:p>
                  <w:pPr>
                    <w:jc w:val="center"/>
                    <w:rPr>
                      <w:rFonts w:ascii="Times New Roman" w:hAnsi="Times New Roman" w:eastAsia="宋体" w:cs="Times New Roman"/>
                      <w:szCs w:val="21"/>
                    </w:rPr>
                  </w:pPr>
                </w:p>
              </w:tc>
              <w:tc>
                <w:tcPr>
                  <w:tcW w:w="1406"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小时（一次）</w:t>
                  </w:r>
                </w:p>
              </w:tc>
              <w:tc>
                <w:tcPr>
                  <w:tcW w:w="1466"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日均</w:t>
                  </w:r>
                </w:p>
              </w:tc>
              <w:tc>
                <w:tcPr>
                  <w:tcW w:w="1071"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年均</w:t>
                  </w:r>
                </w:p>
              </w:tc>
              <w:tc>
                <w:tcPr>
                  <w:tcW w:w="3273"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388"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SO</w:t>
                  </w:r>
                  <w:r>
                    <w:rPr>
                      <w:rFonts w:ascii="Times New Roman" w:hAnsi="Times New Roman" w:eastAsia="宋体" w:cs="Times New Roman"/>
                      <w:szCs w:val="21"/>
                      <w:vertAlign w:val="subscript"/>
                    </w:rPr>
                    <w:t>2</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0.50</w:t>
                  </w:r>
                </w:p>
              </w:tc>
              <w:tc>
                <w:tcPr>
                  <w:tcW w:w="146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0.15</w:t>
                  </w:r>
                </w:p>
              </w:tc>
              <w:tc>
                <w:tcPr>
                  <w:tcW w:w="107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0.06</w:t>
                  </w:r>
                </w:p>
              </w:tc>
              <w:tc>
                <w:tcPr>
                  <w:tcW w:w="3273"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《环境空气质量标准》（GB3095-2012）及其修改单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388"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NO</w:t>
                  </w:r>
                  <w:r>
                    <w:rPr>
                      <w:rFonts w:ascii="Times New Roman" w:hAnsi="Times New Roman" w:eastAsia="宋体" w:cs="Times New Roman"/>
                      <w:szCs w:val="21"/>
                      <w:vertAlign w:val="subscript"/>
                    </w:rPr>
                    <w:t>2</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0.20</w:t>
                  </w:r>
                </w:p>
              </w:tc>
              <w:tc>
                <w:tcPr>
                  <w:tcW w:w="146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0.08</w:t>
                  </w:r>
                </w:p>
              </w:tc>
              <w:tc>
                <w:tcPr>
                  <w:tcW w:w="107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0.04</w:t>
                  </w:r>
                </w:p>
              </w:tc>
              <w:tc>
                <w:tcPr>
                  <w:tcW w:w="3273"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388"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10</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46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0.15</w:t>
                  </w:r>
                </w:p>
              </w:tc>
              <w:tc>
                <w:tcPr>
                  <w:tcW w:w="107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0.07</w:t>
                  </w:r>
                </w:p>
              </w:tc>
              <w:tc>
                <w:tcPr>
                  <w:tcW w:w="3273"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388" w:type="dxa"/>
                  <w:vAlign w:val="center"/>
                </w:tcPr>
                <w:p>
                  <w:pPr>
                    <w:jc w:val="center"/>
                    <w:rPr>
                      <w:rFonts w:ascii="Times New Roman" w:hAnsi="Times New Roman" w:eastAsia="宋体" w:cs="Times New Roman"/>
                      <w:szCs w:val="21"/>
                    </w:rPr>
                  </w:pPr>
                  <w:r>
                    <w:rPr>
                      <w:rFonts w:ascii="Times New Roman" w:hAnsi="Times New Roman" w:eastAsia="宋体" w:cs="Times New Roman"/>
                      <w:szCs w:val="20"/>
                    </w:rPr>
                    <w:t>PM</w:t>
                  </w:r>
                  <w:r>
                    <w:rPr>
                      <w:rFonts w:ascii="Times New Roman" w:hAnsi="Times New Roman" w:eastAsia="宋体" w:cs="Times New Roman"/>
                      <w:szCs w:val="20"/>
                      <w:vertAlign w:val="subscript"/>
                    </w:rPr>
                    <w:t>2.5</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46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0.075</w:t>
                  </w:r>
                </w:p>
              </w:tc>
              <w:tc>
                <w:tcPr>
                  <w:tcW w:w="107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0.035</w:t>
                  </w:r>
                </w:p>
              </w:tc>
              <w:tc>
                <w:tcPr>
                  <w:tcW w:w="3273"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388" w:type="dxa"/>
                  <w:vAlign w:val="center"/>
                </w:tcPr>
                <w:p>
                  <w:pPr>
                    <w:jc w:val="center"/>
                    <w:rPr>
                      <w:rFonts w:ascii="Times New Roman" w:hAnsi="Times New Roman" w:eastAsia="宋体" w:cs="Times New Roman"/>
                      <w:szCs w:val="21"/>
                    </w:rPr>
                  </w:pPr>
                  <w:r>
                    <w:rPr>
                      <w:rFonts w:ascii="Times New Roman" w:hAnsi="Times New Roman" w:eastAsia="宋体" w:cs="Times New Roman"/>
                      <w:szCs w:val="20"/>
                    </w:rPr>
                    <w:t>CO</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w:t>
                  </w:r>
                </w:p>
              </w:tc>
              <w:tc>
                <w:tcPr>
                  <w:tcW w:w="146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w:t>
                  </w:r>
                </w:p>
              </w:tc>
              <w:tc>
                <w:tcPr>
                  <w:tcW w:w="107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3273"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388" w:type="dxa"/>
                  <w:vAlign w:val="center"/>
                </w:tcPr>
                <w:p>
                  <w:pPr>
                    <w:jc w:val="center"/>
                    <w:rPr>
                      <w:rFonts w:ascii="Times New Roman" w:hAnsi="Times New Roman" w:eastAsia="宋体" w:cs="Times New Roman"/>
                      <w:szCs w:val="21"/>
                    </w:rPr>
                  </w:pPr>
                  <w:r>
                    <w:rPr>
                      <w:rFonts w:ascii="Times New Roman" w:hAnsi="Times New Roman" w:eastAsia="宋体" w:cs="Times New Roman"/>
                      <w:szCs w:val="20"/>
                    </w:rPr>
                    <w:t>O</w:t>
                  </w:r>
                  <w:r>
                    <w:rPr>
                      <w:rFonts w:ascii="Times New Roman" w:hAnsi="Times New Roman" w:eastAsia="宋体" w:cs="Times New Roman"/>
                      <w:szCs w:val="20"/>
                      <w:vertAlign w:val="subscript"/>
                    </w:rPr>
                    <w:t>3</w:t>
                  </w:r>
                </w:p>
              </w:tc>
              <w:tc>
                <w:tcPr>
                  <w:tcW w:w="14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0.2</w:t>
                  </w:r>
                </w:p>
              </w:tc>
              <w:tc>
                <w:tcPr>
                  <w:tcW w:w="146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0.16（日最大8小时平均）</w:t>
                  </w:r>
                </w:p>
              </w:tc>
              <w:tc>
                <w:tcPr>
                  <w:tcW w:w="1071"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3273"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388" w:type="dxa"/>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0"/>
                    </w:rPr>
                    <w:t>非甲烷总烃</w:t>
                  </w:r>
                </w:p>
              </w:tc>
              <w:tc>
                <w:tcPr>
                  <w:tcW w:w="1406" w:type="dxa"/>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0"/>
                    </w:rPr>
                    <w:t>2.0</w:t>
                  </w:r>
                </w:p>
              </w:tc>
              <w:tc>
                <w:tcPr>
                  <w:tcW w:w="1466" w:type="dxa"/>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0"/>
                    </w:rPr>
                    <w:t>—</w:t>
                  </w:r>
                </w:p>
              </w:tc>
              <w:tc>
                <w:tcPr>
                  <w:tcW w:w="1071" w:type="dxa"/>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0"/>
                    </w:rPr>
                    <w:t>—</w:t>
                  </w:r>
                </w:p>
              </w:tc>
              <w:tc>
                <w:tcPr>
                  <w:tcW w:w="3273" w:type="dxa"/>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0"/>
                    </w:rPr>
                    <w:t>《大气污染物综合排放标准详解》244页*</w:t>
                  </w:r>
                </w:p>
              </w:tc>
            </w:tr>
          </w:tbl>
          <w:p>
            <w:pPr>
              <w:adjustRightInd w:val="0"/>
              <w:spacing w:before="120" w:beforeLines="50" w:line="360" w:lineRule="auto"/>
              <w:rPr>
                <w:rFonts w:ascii="Times New Roman" w:hAnsi="Times New Roman" w:eastAsia="宋体" w:cs="Times New Roman"/>
                <w:sz w:val="24"/>
                <w:szCs w:val="24"/>
              </w:rPr>
            </w:pPr>
            <w:r>
              <w:rPr>
                <w:rFonts w:ascii="Times New Roman" w:hAnsi="Times New Roman" w:eastAsia="宋体" w:cs="Times New Roman"/>
                <w:sz w:val="24"/>
                <w:szCs w:val="24"/>
              </w:rPr>
              <w:t>（2）地表水环境质量标准</w:t>
            </w:r>
          </w:p>
          <w:p>
            <w:pPr>
              <w:adjustRightInd w:val="0"/>
              <w:snapToGrid w:val="0"/>
              <w:spacing w:line="360" w:lineRule="auto"/>
              <w:jc w:val="center"/>
              <w:textAlignment w:val="baseline"/>
              <w:rPr>
                <w:rFonts w:ascii="Times New Roman" w:hAnsi="Times New Roman" w:eastAsia="宋体" w:cs="Times New Roman"/>
                <w:b/>
                <w:snapToGrid w:val="0"/>
                <w:spacing w:val="4"/>
                <w:kern w:val="0"/>
                <w:szCs w:val="21"/>
              </w:rPr>
            </w:pPr>
            <w:r>
              <w:rPr>
                <w:rFonts w:ascii="Times New Roman" w:hAnsi="Times New Roman" w:eastAsia="宋体" w:cs="Times New Roman"/>
                <w:b/>
                <w:snapToGrid w:val="0"/>
                <w:spacing w:val="4"/>
                <w:kern w:val="0"/>
                <w:szCs w:val="21"/>
              </w:rPr>
              <w:t>表4-2  地表水环境质量标准限值</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24"/>
              <w:gridCol w:w="1938"/>
              <w:gridCol w:w="1561"/>
              <w:gridCol w:w="1218"/>
              <w:gridCol w:w="12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5" w:type="pct"/>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1"/>
                    </w:rPr>
                    <w:t>执行标准</w:t>
                  </w:r>
                </w:p>
              </w:tc>
              <w:tc>
                <w:tcPr>
                  <w:tcW w:w="1126" w:type="pct"/>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1"/>
                    </w:rPr>
                    <w:t>表号及级别</w:t>
                  </w:r>
                </w:p>
              </w:tc>
              <w:tc>
                <w:tcPr>
                  <w:tcW w:w="907" w:type="pct"/>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1"/>
                    </w:rPr>
                    <w:t>污染物指标</w:t>
                  </w:r>
                </w:p>
              </w:tc>
              <w:tc>
                <w:tcPr>
                  <w:tcW w:w="708" w:type="pct"/>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1"/>
                    </w:rPr>
                    <w:t>单位</w:t>
                  </w:r>
                </w:p>
              </w:tc>
              <w:tc>
                <w:tcPr>
                  <w:tcW w:w="734" w:type="pct"/>
                  <w:vAlign w:val="center"/>
                </w:tcPr>
                <w:p>
                  <w:pPr>
                    <w:spacing w:line="240" w:lineRule="atLeast"/>
                    <w:jc w:val="center"/>
                    <w:rPr>
                      <w:rFonts w:ascii="Times New Roman" w:hAnsi="Times New Roman" w:eastAsia="宋体" w:cs="Times New Roman"/>
                      <w:szCs w:val="21"/>
                    </w:rPr>
                  </w:pPr>
                  <w:r>
                    <w:rPr>
                      <w:rFonts w:ascii="Times New Roman" w:hAnsi="Times New Roman" w:eastAsia="宋体" w:cs="Times New Roman"/>
                      <w:szCs w:val="21"/>
                    </w:rPr>
                    <w:t>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 w:hRule="atLeast"/>
                <w:jc w:val="center"/>
              </w:trPr>
              <w:tc>
                <w:tcPr>
                  <w:tcW w:w="1525" w:type="pct"/>
                  <w:vMerge w:val="restart"/>
                  <w:vAlign w:val="center"/>
                </w:tcPr>
                <w:p>
                  <w:pPr>
                    <w:rPr>
                      <w:rFonts w:ascii="Times New Roman" w:hAnsi="Times New Roman" w:eastAsia="宋体" w:cs="Times New Roman"/>
                      <w:szCs w:val="21"/>
                    </w:rPr>
                  </w:pPr>
                  <w:r>
                    <w:rPr>
                      <w:rFonts w:ascii="Times New Roman" w:hAnsi="Times New Roman" w:eastAsia="宋体" w:cs="Times New Roman"/>
                      <w:szCs w:val="21"/>
                    </w:rPr>
                    <w:t>《地表水环境质量标准》（GB3838—2002）</w:t>
                  </w:r>
                </w:p>
              </w:tc>
              <w:tc>
                <w:tcPr>
                  <w:tcW w:w="1126" w:type="pct"/>
                  <w:vMerge w:val="restart"/>
                  <w:vAlign w:val="center"/>
                </w:tcPr>
                <w:p>
                  <w:pPr>
                    <w:rPr>
                      <w:rFonts w:ascii="Times New Roman" w:hAnsi="Times New Roman" w:eastAsia="宋体" w:cs="Times New Roman"/>
                      <w:szCs w:val="21"/>
                    </w:rPr>
                  </w:pPr>
                  <w:r>
                    <w:rPr>
                      <w:rFonts w:ascii="Times New Roman" w:hAnsi="Times New Roman" w:eastAsia="宋体" w:cs="Times New Roman"/>
                      <w:szCs w:val="21"/>
                    </w:rPr>
                    <w:t xml:space="preserve">表1 </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 4 \* ROMAN </w:instrText>
                  </w:r>
                  <w:r>
                    <w:rPr>
                      <w:rFonts w:ascii="Times New Roman" w:hAnsi="Times New Roman" w:eastAsia="宋体" w:cs="Times New Roman"/>
                      <w:szCs w:val="21"/>
                    </w:rPr>
                    <w:fldChar w:fldCharType="separate"/>
                  </w:r>
                  <w:r>
                    <w:rPr>
                      <w:rFonts w:ascii="Times New Roman" w:hAnsi="Times New Roman" w:eastAsia="宋体" w:cs="Times New Roman"/>
                      <w:szCs w:val="21"/>
                    </w:rPr>
                    <w:t>IV</w:t>
                  </w:r>
                  <w:r>
                    <w:rPr>
                      <w:rFonts w:ascii="Times New Roman" w:hAnsi="Times New Roman" w:eastAsia="宋体" w:cs="Times New Roman"/>
                      <w:szCs w:val="21"/>
                    </w:rPr>
                    <w:fldChar w:fldCharType="end"/>
                  </w:r>
                  <w:r>
                    <w:rPr>
                      <w:rFonts w:ascii="Times New Roman" w:hAnsi="Times New Roman" w:eastAsia="宋体" w:cs="Times New Roman"/>
                      <w:szCs w:val="21"/>
                    </w:rPr>
                    <w:t>类标准</w:t>
                  </w:r>
                </w:p>
              </w:tc>
              <w:tc>
                <w:tcPr>
                  <w:tcW w:w="907" w:type="pct"/>
                  <w:vAlign w:val="center"/>
                </w:tcPr>
                <w:p>
                  <w:pPr>
                    <w:jc w:val="center"/>
                    <w:rPr>
                      <w:rFonts w:ascii="Times New Roman" w:hAnsi="Times New Roman" w:eastAsia="宋体" w:cs="Times New Roman"/>
                      <w:szCs w:val="21"/>
                      <w:vertAlign w:val="subscript"/>
                    </w:rPr>
                  </w:pPr>
                  <w:r>
                    <w:rPr>
                      <w:rFonts w:ascii="Times New Roman" w:hAnsi="Times New Roman" w:eastAsia="宋体" w:cs="Times New Roman"/>
                      <w:szCs w:val="21"/>
                    </w:rPr>
                    <w:t>pH</w:t>
                  </w:r>
                </w:p>
              </w:tc>
              <w:tc>
                <w:tcPr>
                  <w:tcW w:w="70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无量纲</w:t>
                  </w:r>
                </w:p>
              </w:tc>
              <w:tc>
                <w:tcPr>
                  <w:tcW w:w="73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 w:hRule="atLeast"/>
                <w:jc w:val="center"/>
              </w:trPr>
              <w:tc>
                <w:tcPr>
                  <w:tcW w:w="1525" w:type="pct"/>
                  <w:vMerge w:val="continue"/>
                  <w:vAlign w:val="center"/>
                </w:tcPr>
                <w:p>
                  <w:pPr>
                    <w:adjustRightInd w:val="0"/>
                    <w:snapToGrid w:val="0"/>
                    <w:jc w:val="center"/>
                    <w:rPr>
                      <w:rFonts w:ascii="Times New Roman" w:hAnsi="Times New Roman" w:eastAsia="宋体" w:cs="Times New Roman"/>
                      <w:bCs/>
                      <w:szCs w:val="21"/>
                    </w:rPr>
                  </w:pPr>
                </w:p>
              </w:tc>
              <w:tc>
                <w:tcPr>
                  <w:tcW w:w="1126" w:type="pct"/>
                  <w:vMerge w:val="continue"/>
                  <w:vAlign w:val="center"/>
                </w:tcPr>
                <w:p>
                  <w:pPr>
                    <w:jc w:val="center"/>
                    <w:rPr>
                      <w:rFonts w:ascii="Times New Roman" w:hAnsi="Times New Roman" w:eastAsia="宋体" w:cs="Times New Roman"/>
                      <w:szCs w:val="21"/>
                    </w:rPr>
                  </w:pPr>
                </w:p>
              </w:tc>
              <w:tc>
                <w:tcPr>
                  <w:tcW w:w="907"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COD</w:t>
                  </w:r>
                </w:p>
              </w:tc>
              <w:tc>
                <w:tcPr>
                  <w:tcW w:w="708"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mg/L</w:t>
                  </w:r>
                </w:p>
              </w:tc>
              <w:tc>
                <w:tcPr>
                  <w:tcW w:w="73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 w:hRule="atLeast"/>
                <w:jc w:val="center"/>
              </w:trPr>
              <w:tc>
                <w:tcPr>
                  <w:tcW w:w="1525" w:type="pct"/>
                  <w:vMerge w:val="continue"/>
                  <w:vAlign w:val="center"/>
                </w:tcPr>
                <w:p>
                  <w:pPr>
                    <w:adjustRightInd w:val="0"/>
                    <w:snapToGrid w:val="0"/>
                    <w:jc w:val="center"/>
                    <w:rPr>
                      <w:rFonts w:ascii="Times New Roman" w:hAnsi="Times New Roman" w:eastAsia="宋体" w:cs="Times New Roman"/>
                      <w:bCs/>
                      <w:szCs w:val="21"/>
                    </w:rPr>
                  </w:pPr>
                </w:p>
              </w:tc>
              <w:tc>
                <w:tcPr>
                  <w:tcW w:w="1126" w:type="pct"/>
                  <w:vMerge w:val="continue"/>
                  <w:vAlign w:val="center"/>
                </w:tcPr>
                <w:p>
                  <w:pPr>
                    <w:jc w:val="center"/>
                    <w:rPr>
                      <w:rFonts w:ascii="Times New Roman" w:hAnsi="Times New Roman" w:eastAsia="宋体" w:cs="Times New Roman"/>
                      <w:szCs w:val="21"/>
                    </w:rPr>
                  </w:pPr>
                </w:p>
              </w:tc>
              <w:tc>
                <w:tcPr>
                  <w:tcW w:w="907"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SS*</w:t>
                  </w:r>
                </w:p>
              </w:tc>
              <w:tc>
                <w:tcPr>
                  <w:tcW w:w="708" w:type="pct"/>
                  <w:vMerge w:val="continue"/>
                  <w:vAlign w:val="center"/>
                </w:tcPr>
                <w:p>
                  <w:pPr>
                    <w:jc w:val="center"/>
                    <w:rPr>
                      <w:rFonts w:ascii="Times New Roman" w:hAnsi="Times New Roman" w:eastAsia="宋体" w:cs="Times New Roman"/>
                      <w:szCs w:val="21"/>
                    </w:rPr>
                  </w:pPr>
                </w:p>
              </w:tc>
              <w:tc>
                <w:tcPr>
                  <w:tcW w:w="73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 w:hRule="atLeast"/>
                <w:jc w:val="center"/>
              </w:trPr>
              <w:tc>
                <w:tcPr>
                  <w:tcW w:w="1525" w:type="pct"/>
                  <w:vMerge w:val="continue"/>
                  <w:vAlign w:val="center"/>
                </w:tcPr>
                <w:p>
                  <w:pPr>
                    <w:adjustRightInd w:val="0"/>
                    <w:snapToGrid w:val="0"/>
                    <w:jc w:val="center"/>
                    <w:rPr>
                      <w:rFonts w:ascii="Times New Roman" w:hAnsi="Times New Roman" w:eastAsia="宋体" w:cs="Times New Roman"/>
                      <w:bCs/>
                      <w:szCs w:val="21"/>
                    </w:rPr>
                  </w:pPr>
                </w:p>
              </w:tc>
              <w:tc>
                <w:tcPr>
                  <w:tcW w:w="1126" w:type="pct"/>
                  <w:vMerge w:val="continue"/>
                  <w:vAlign w:val="center"/>
                </w:tcPr>
                <w:p>
                  <w:pPr>
                    <w:jc w:val="center"/>
                    <w:rPr>
                      <w:rFonts w:ascii="Times New Roman" w:hAnsi="Times New Roman" w:eastAsia="宋体" w:cs="Times New Roman"/>
                      <w:szCs w:val="21"/>
                    </w:rPr>
                  </w:pPr>
                </w:p>
              </w:tc>
              <w:tc>
                <w:tcPr>
                  <w:tcW w:w="907"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氨氮</w:t>
                  </w:r>
                </w:p>
              </w:tc>
              <w:tc>
                <w:tcPr>
                  <w:tcW w:w="708" w:type="pct"/>
                  <w:vMerge w:val="continue"/>
                  <w:vAlign w:val="center"/>
                </w:tcPr>
                <w:p>
                  <w:pPr>
                    <w:jc w:val="center"/>
                    <w:rPr>
                      <w:rFonts w:ascii="Times New Roman" w:hAnsi="Times New Roman" w:eastAsia="宋体" w:cs="Times New Roman"/>
                      <w:szCs w:val="21"/>
                    </w:rPr>
                  </w:pPr>
                </w:p>
              </w:tc>
              <w:tc>
                <w:tcPr>
                  <w:tcW w:w="73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1525" w:type="pct"/>
                  <w:vMerge w:val="continue"/>
                  <w:vAlign w:val="center"/>
                </w:tcPr>
                <w:p>
                  <w:pPr>
                    <w:adjustRightInd w:val="0"/>
                    <w:snapToGrid w:val="0"/>
                    <w:jc w:val="center"/>
                    <w:rPr>
                      <w:rFonts w:ascii="Times New Roman" w:hAnsi="Times New Roman" w:eastAsia="宋体" w:cs="Times New Roman"/>
                      <w:bCs/>
                      <w:szCs w:val="21"/>
                    </w:rPr>
                  </w:pPr>
                </w:p>
              </w:tc>
              <w:tc>
                <w:tcPr>
                  <w:tcW w:w="1126" w:type="pct"/>
                  <w:vMerge w:val="continue"/>
                  <w:vAlign w:val="center"/>
                </w:tcPr>
                <w:p>
                  <w:pPr>
                    <w:jc w:val="center"/>
                    <w:rPr>
                      <w:rFonts w:ascii="Times New Roman" w:hAnsi="Times New Roman" w:eastAsia="宋体" w:cs="Times New Roman"/>
                      <w:szCs w:val="21"/>
                    </w:rPr>
                  </w:pPr>
                </w:p>
              </w:tc>
              <w:tc>
                <w:tcPr>
                  <w:tcW w:w="907"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TP</w:t>
                  </w:r>
                </w:p>
              </w:tc>
              <w:tc>
                <w:tcPr>
                  <w:tcW w:w="708" w:type="pct"/>
                  <w:vMerge w:val="continue"/>
                  <w:vAlign w:val="center"/>
                </w:tcPr>
                <w:p>
                  <w:pPr>
                    <w:jc w:val="center"/>
                    <w:rPr>
                      <w:rFonts w:ascii="Times New Roman" w:hAnsi="Times New Roman" w:eastAsia="宋体" w:cs="Times New Roman"/>
                      <w:szCs w:val="21"/>
                    </w:rPr>
                  </w:pPr>
                </w:p>
              </w:tc>
              <w:tc>
                <w:tcPr>
                  <w:tcW w:w="73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0.3</w:t>
                  </w:r>
                </w:p>
              </w:tc>
            </w:tr>
          </w:tbl>
          <w:p>
            <w:pPr>
              <w:spacing w:line="360" w:lineRule="auto"/>
              <w:rPr>
                <w:rFonts w:ascii="Times New Roman" w:hAnsi="Times New Roman" w:eastAsia="宋体" w:cs="Times New Roman"/>
                <w:szCs w:val="20"/>
              </w:rPr>
            </w:pPr>
            <w:r>
              <w:rPr>
                <w:rFonts w:ascii="Times New Roman" w:hAnsi="Times New Roman" w:eastAsia="宋体" w:cs="Times New Roman"/>
                <w:szCs w:val="20"/>
              </w:rPr>
              <w:t>注：*SS参照水利部《地表水资源质量标准》（SL63-94）四级标准。</w:t>
            </w:r>
          </w:p>
          <w:p>
            <w:pPr>
              <w:spacing w:line="360" w:lineRule="auto"/>
              <w:rPr>
                <w:rFonts w:ascii="Times New Roman" w:hAnsi="Times New Roman" w:eastAsia="宋体" w:cs="Times New Roman"/>
                <w:sz w:val="24"/>
                <w:szCs w:val="24"/>
              </w:rPr>
            </w:pPr>
            <w:r>
              <w:rPr>
                <w:rFonts w:ascii="Times New Roman" w:hAnsi="Times New Roman" w:eastAsia="宋体" w:cs="Times New Roman"/>
                <w:sz w:val="24"/>
                <w:szCs w:val="24"/>
              </w:rPr>
              <w:t>（3）声环境质量标准</w:t>
            </w:r>
          </w:p>
          <w:p>
            <w:pPr>
              <w:autoSpaceDE w:val="0"/>
              <w:autoSpaceDN w:val="0"/>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建设项目厂区周围区域声环境噪声</w:t>
            </w:r>
            <w:r>
              <w:rPr>
                <w:rFonts w:ascii="Times New Roman" w:hAnsi="Times New Roman" w:eastAsia="宋体" w:cs="Times New Roman"/>
                <w:bCs/>
                <w:sz w:val="24"/>
                <w:szCs w:val="24"/>
              </w:rPr>
              <w:t>执行</w:t>
            </w:r>
            <w:r>
              <w:rPr>
                <w:rFonts w:ascii="Times New Roman" w:hAnsi="Times New Roman" w:eastAsia="宋体" w:cs="Times New Roman"/>
                <w:sz w:val="24"/>
                <w:szCs w:val="24"/>
              </w:rPr>
              <w:t>《声环境质量标准》（GB3096-2008）3类区标准，</w:t>
            </w:r>
            <w:r>
              <w:rPr>
                <w:rFonts w:ascii="Times New Roman" w:hAnsi="Times New Roman" w:eastAsia="宋体" w:cs="Times New Roman"/>
                <w:sz w:val="24"/>
                <w:szCs w:val="20"/>
              </w:rPr>
              <w:t>厂界北侧居民点噪声</w:t>
            </w:r>
            <w:r>
              <w:rPr>
                <w:rFonts w:ascii="Times New Roman" w:hAnsi="Times New Roman" w:eastAsia="宋体" w:cs="Times New Roman"/>
                <w:bCs/>
                <w:sz w:val="24"/>
                <w:szCs w:val="20"/>
              </w:rPr>
              <w:t>执行</w:t>
            </w:r>
            <w:r>
              <w:rPr>
                <w:rFonts w:ascii="Times New Roman" w:hAnsi="Times New Roman" w:eastAsia="宋体" w:cs="Times New Roman"/>
                <w:sz w:val="24"/>
                <w:szCs w:val="20"/>
              </w:rPr>
              <w:t>《声环境质量标准》（GB3096-2008）2类标准。</w:t>
            </w:r>
            <w:r>
              <w:rPr>
                <w:rFonts w:ascii="Times New Roman" w:hAnsi="Times New Roman" w:eastAsia="宋体" w:cs="Times New Roman"/>
                <w:sz w:val="24"/>
                <w:szCs w:val="24"/>
              </w:rPr>
              <w:t>具体见表4-3。</w:t>
            </w:r>
          </w:p>
          <w:p>
            <w:pPr>
              <w:kinsoku w:val="0"/>
              <w:autoSpaceDE w:val="0"/>
              <w:autoSpaceDN w:val="0"/>
              <w:adjustRightInd w:val="0"/>
              <w:snapToGrid w:val="0"/>
              <w:spacing w:line="360" w:lineRule="auto"/>
              <w:ind w:firstLine="422" w:firstLineChars="200"/>
              <w:jc w:val="center"/>
              <w:rPr>
                <w:rFonts w:ascii="Times New Roman" w:hAnsi="Times New Roman" w:eastAsia="宋体" w:cs="Times New Roman"/>
                <w:szCs w:val="21"/>
              </w:rPr>
            </w:pPr>
            <w:r>
              <w:rPr>
                <w:rFonts w:ascii="Times New Roman" w:hAnsi="Times New Roman" w:eastAsia="宋体" w:cs="Times New Roman"/>
                <w:b/>
                <w:szCs w:val="21"/>
              </w:rPr>
              <w:t>表4-3  声环境质量标准限值单位：Leq[dB(A)]</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3"/>
              <w:gridCol w:w="2812"/>
              <w:gridCol w:w="27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786" w:type="pct"/>
                  <w:vAlign w:val="center"/>
                </w:tcPr>
                <w:p>
                  <w:pPr>
                    <w:adjustRightInd w:val="0"/>
                    <w:snapToGrid w:val="0"/>
                    <w:spacing w:line="240" w:lineRule="atLeast"/>
                    <w:jc w:val="center"/>
                    <w:rPr>
                      <w:rFonts w:ascii="Times New Roman" w:hAnsi="Times New Roman" w:eastAsia="宋体" w:cs="Times New Roman"/>
                      <w:szCs w:val="21"/>
                    </w:rPr>
                  </w:pPr>
                  <w:r>
                    <w:rPr>
                      <w:rFonts w:ascii="Times New Roman" w:hAnsi="Times New Roman" w:eastAsia="宋体" w:cs="Times New Roman"/>
                      <w:szCs w:val="21"/>
                    </w:rPr>
                    <w:t>类别</w:t>
                  </w:r>
                </w:p>
              </w:tc>
              <w:tc>
                <w:tcPr>
                  <w:tcW w:w="1634" w:type="pct"/>
                  <w:vAlign w:val="center"/>
                </w:tcPr>
                <w:p>
                  <w:pPr>
                    <w:adjustRightInd w:val="0"/>
                    <w:snapToGrid w:val="0"/>
                    <w:spacing w:line="240" w:lineRule="atLeast"/>
                    <w:jc w:val="center"/>
                    <w:rPr>
                      <w:rFonts w:ascii="Times New Roman" w:hAnsi="Times New Roman" w:eastAsia="宋体" w:cs="Times New Roman"/>
                      <w:szCs w:val="21"/>
                    </w:rPr>
                  </w:pPr>
                  <w:r>
                    <w:rPr>
                      <w:rFonts w:ascii="Times New Roman" w:hAnsi="Times New Roman" w:eastAsia="宋体" w:cs="Times New Roman"/>
                      <w:szCs w:val="21"/>
                    </w:rPr>
                    <w:t>昼间</w:t>
                  </w:r>
                </w:p>
              </w:tc>
              <w:tc>
                <w:tcPr>
                  <w:tcW w:w="1580" w:type="pct"/>
                  <w:vAlign w:val="center"/>
                </w:tcPr>
                <w:p>
                  <w:pPr>
                    <w:adjustRightInd w:val="0"/>
                    <w:snapToGrid w:val="0"/>
                    <w:spacing w:line="240" w:lineRule="atLeast"/>
                    <w:jc w:val="center"/>
                    <w:rPr>
                      <w:rFonts w:ascii="Times New Roman" w:hAnsi="Times New Roman" w:eastAsia="宋体" w:cs="Times New Roman"/>
                      <w:szCs w:val="21"/>
                    </w:rPr>
                  </w:pPr>
                  <w:r>
                    <w:rPr>
                      <w:rFonts w:ascii="Times New Roman" w:hAnsi="Times New Roman" w:eastAsia="宋体" w:cs="Times New Roman"/>
                      <w:szCs w:val="21"/>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786"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1634"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65</w:t>
                  </w:r>
                </w:p>
              </w:tc>
              <w:tc>
                <w:tcPr>
                  <w:tcW w:w="1580"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55</w:t>
                  </w:r>
                </w:p>
              </w:tc>
            </w:tr>
          </w:tbl>
          <w:p>
            <w:pPr>
              <w:rPr>
                <w:rFonts w:ascii="Times New Roman" w:hAnsi="Times New Roman" w:eastAsia="宋体"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76" w:hRule="atLeast"/>
          <w:jc w:val="center"/>
        </w:trPr>
        <w:tc>
          <w:tcPr>
            <w:tcW w:w="9660" w:type="dxa"/>
            <w:gridSpan w:val="2"/>
          </w:tcPr>
          <w:p>
            <w:pPr>
              <w:spacing w:before="120" w:beforeLines="50"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排放标准</w:t>
            </w:r>
          </w:p>
          <w:p>
            <w:pPr>
              <w:spacing w:line="360" w:lineRule="auto"/>
              <w:rPr>
                <w:rFonts w:ascii="Times New Roman" w:hAnsi="Times New Roman" w:eastAsia="宋体" w:cs="Times New Roman"/>
                <w:sz w:val="24"/>
                <w:szCs w:val="24"/>
              </w:rPr>
            </w:pPr>
            <w:r>
              <w:rPr>
                <w:rFonts w:ascii="Times New Roman" w:hAnsi="Times New Roman" w:eastAsia="宋体" w:cs="Times New Roman"/>
                <w:b/>
                <w:sz w:val="24"/>
                <w:szCs w:val="24"/>
              </w:rPr>
              <w:t>1、废水</w:t>
            </w:r>
          </w:p>
          <w:p>
            <w:pPr>
              <w:tabs>
                <w:tab w:val="left" w:pos="2993"/>
              </w:tabs>
              <w:spacing w:line="240" w:lineRule="atLeast"/>
              <w:jc w:val="center"/>
              <w:rPr>
                <w:rFonts w:ascii="Times New Roman" w:hAnsi="Times New Roman" w:eastAsia="宋体" w:cs="Times New Roman"/>
                <w:b/>
                <w:szCs w:val="21"/>
              </w:rPr>
            </w:pPr>
            <w:r>
              <w:rPr>
                <w:rFonts w:ascii="Times New Roman" w:hAnsi="Times New Roman" w:eastAsia="宋体" w:cs="Times New Roman"/>
                <w:b/>
                <w:szCs w:val="21"/>
              </w:rPr>
              <w:t>表4-4  污水排放标准限值表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7"/>
              <w:gridCol w:w="2554"/>
              <w:gridCol w:w="1602"/>
              <w:gridCol w:w="1390"/>
              <w:gridCol w:w="1179"/>
              <w:gridCol w:w="1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77"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排放口名</w:t>
                  </w:r>
                </w:p>
              </w:tc>
              <w:tc>
                <w:tcPr>
                  <w:tcW w:w="2554"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执行标准</w:t>
                  </w:r>
                </w:p>
              </w:tc>
              <w:tc>
                <w:tcPr>
                  <w:tcW w:w="1602"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取值表号</w:t>
                  </w:r>
                </w:p>
                <w:p>
                  <w:pPr>
                    <w:jc w:val="center"/>
                    <w:rPr>
                      <w:rFonts w:ascii="Times New Roman" w:hAnsi="Times New Roman" w:eastAsia="宋体" w:cs="Times New Roman"/>
                      <w:b/>
                      <w:szCs w:val="21"/>
                    </w:rPr>
                  </w:pPr>
                  <w:r>
                    <w:rPr>
                      <w:rFonts w:ascii="Times New Roman" w:hAnsi="Times New Roman" w:eastAsia="宋体" w:cs="Times New Roman"/>
                      <w:b/>
                      <w:szCs w:val="21"/>
                    </w:rPr>
                    <w:t>及级别</w:t>
                  </w:r>
                </w:p>
              </w:tc>
              <w:tc>
                <w:tcPr>
                  <w:tcW w:w="1390"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污染物指标</w:t>
                  </w:r>
                </w:p>
              </w:tc>
              <w:tc>
                <w:tcPr>
                  <w:tcW w:w="1179"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单位</w:t>
                  </w:r>
                </w:p>
              </w:tc>
              <w:tc>
                <w:tcPr>
                  <w:tcW w:w="1070"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atLeast"/>
                <w:jc w:val="center"/>
              </w:trPr>
              <w:tc>
                <w:tcPr>
                  <w:tcW w:w="1177"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项目排放口</w:t>
                  </w:r>
                </w:p>
              </w:tc>
              <w:tc>
                <w:tcPr>
                  <w:tcW w:w="2554"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太仓市城东污水处理厂接管标准</w:t>
                  </w:r>
                </w:p>
              </w:tc>
              <w:tc>
                <w:tcPr>
                  <w:tcW w:w="1602"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pH</w:t>
                  </w:r>
                </w:p>
              </w:tc>
              <w:tc>
                <w:tcPr>
                  <w:tcW w:w="117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无量纲</w:t>
                  </w: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atLeas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COD</w:t>
                  </w:r>
                </w:p>
              </w:tc>
              <w:tc>
                <w:tcPr>
                  <w:tcW w:w="1179" w:type="dxa"/>
                  <w:vMerge w:val="restart"/>
                  <w:vAlign w:val="center"/>
                </w:tcPr>
                <w:p>
                  <w:pPr>
                    <w:ind w:firstLine="105" w:firstLineChars="50"/>
                    <w:jc w:val="center"/>
                    <w:rPr>
                      <w:rFonts w:ascii="Times New Roman" w:hAnsi="Times New Roman" w:eastAsia="宋体" w:cs="Times New Roman"/>
                      <w:szCs w:val="21"/>
                    </w:rPr>
                  </w:pPr>
                  <w:r>
                    <w:rPr>
                      <w:rFonts w:ascii="Times New Roman" w:hAnsi="Times New Roman" w:eastAsia="宋体" w:cs="Times New Roman"/>
                      <w:szCs w:val="21"/>
                    </w:rPr>
                    <w:t>mg/L</w:t>
                  </w: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SS</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kern w:val="0"/>
                      <w:szCs w:val="21"/>
                    </w:rPr>
                    <w:t>氨氮</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0" w:hRule="atLeas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TP</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0" w:hRule="atLeas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动植物油</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77"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污水处理厂排口</w:t>
                  </w:r>
                </w:p>
              </w:tc>
              <w:tc>
                <w:tcPr>
                  <w:tcW w:w="2554"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《城镇污水处理厂污染物排放标准》（GB/T31962-2015）</w:t>
                  </w:r>
                </w:p>
              </w:tc>
              <w:tc>
                <w:tcPr>
                  <w:tcW w:w="1602"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一级A标准</w:t>
                  </w: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pH</w:t>
                  </w:r>
                </w:p>
              </w:tc>
              <w:tc>
                <w:tcPr>
                  <w:tcW w:w="117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COD</w:t>
                  </w:r>
                </w:p>
              </w:tc>
              <w:tc>
                <w:tcPr>
                  <w:tcW w:w="1179"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mg/L</w:t>
                  </w: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SS</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widowControl/>
                    <w:jc w:val="center"/>
                    <w:rPr>
                      <w:rFonts w:ascii="Times New Roman" w:hAnsi="Times New Roman" w:eastAsia="宋体" w:cs="Times New Roman"/>
                      <w:szCs w:val="21"/>
                    </w:rPr>
                  </w:pPr>
                  <w:r>
                    <w:rPr>
                      <w:rFonts w:ascii="Times New Roman" w:hAnsi="Times New Roman" w:eastAsia="宋体" w:cs="Times New Roman"/>
                      <w:kern w:val="0"/>
                      <w:szCs w:val="21"/>
                    </w:rPr>
                    <w:t>氨氮</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widowControl/>
                    <w:jc w:val="center"/>
                    <w:rPr>
                      <w:rFonts w:ascii="Times New Roman" w:hAnsi="Times New Roman" w:eastAsia="宋体" w:cs="Times New Roman"/>
                      <w:szCs w:val="21"/>
                    </w:rPr>
                  </w:pPr>
                  <w:r>
                    <w:rPr>
                      <w:rFonts w:ascii="Times New Roman" w:hAnsi="Times New Roman" w:eastAsia="宋体" w:cs="Times New Roman"/>
                      <w:kern w:val="0"/>
                      <w:szCs w:val="21"/>
                    </w:rPr>
                    <w:t>TP</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动植物油</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3" w:hRule="atLeas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《太湖地区城镇污水处理厂及重点工业行业主要水污染物排放限值》（DB32/1072-2018）</w:t>
                  </w:r>
                </w:p>
              </w:tc>
              <w:tc>
                <w:tcPr>
                  <w:tcW w:w="1602"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表2标准</w:t>
                  </w: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kern w:val="0"/>
                      <w:szCs w:val="21"/>
                    </w:rPr>
                    <w:t>氨氮</w:t>
                  </w:r>
                </w:p>
              </w:tc>
              <w:tc>
                <w:tcPr>
                  <w:tcW w:w="1179"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mg/L</w:t>
                  </w: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1" w:hRule="atLeas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TN</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2" w:hRule="atLeast"/>
                <w:jc w:val="center"/>
              </w:trPr>
              <w:tc>
                <w:tcPr>
                  <w:tcW w:w="1177" w:type="dxa"/>
                  <w:vMerge w:val="continue"/>
                  <w:vAlign w:val="center"/>
                </w:tcPr>
                <w:p>
                  <w:pPr>
                    <w:jc w:val="center"/>
                    <w:rPr>
                      <w:rFonts w:ascii="Times New Roman" w:hAnsi="Times New Roman" w:eastAsia="宋体" w:cs="Times New Roman"/>
                      <w:szCs w:val="21"/>
                    </w:rPr>
                  </w:pPr>
                </w:p>
              </w:tc>
              <w:tc>
                <w:tcPr>
                  <w:tcW w:w="2554" w:type="dxa"/>
                  <w:vMerge w:val="continue"/>
                  <w:vAlign w:val="center"/>
                </w:tcPr>
                <w:p>
                  <w:pPr>
                    <w:jc w:val="center"/>
                    <w:rPr>
                      <w:rFonts w:ascii="Times New Roman" w:hAnsi="Times New Roman" w:eastAsia="宋体" w:cs="Times New Roman"/>
                      <w:szCs w:val="21"/>
                    </w:rPr>
                  </w:pPr>
                </w:p>
              </w:tc>
              <w:tc>
                <w:tcPr>
                  <w:tcW w:w="1602" w:type="dxa"/>
                  <w:vMerge w:val="continue"/>
                  <w:vAlign w:val="center"/>
                </w:tcPr>
                <w:p>
                  <w:pPr>
                    <w:jc w:val="center"/>
                    <w:rPr>
                      <w:rFonts w:ascii="Times New Roman" w:hAnsi="Times New Roman" w:eastAsia="宋体" w:cs="Times New Roman"/>
                      <w:szCs w:val="21"/>
                    </w:rPr>
                  </w:pPr>
                </w:p>
              </w:tc>
              <w:tc>
                <w:tcPr>
                  <w:tcW w:w="13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TP</w:t>
                  </w:r>
                </w:p>
              </w:tc>
              <w:tc>
                <w:tcPr>
                  <w:tcW w:w="1179" w:type="dxa"/>
                  <w:vMerge w:val="continue"/>
                  <w:vAlign w:val="center"/>
                </w:tcPr>
                <w:p>
                  <w:pPr>
                    <w:jc w:val="center"/>
                    <w:rPr>
                      <w:rFonts w:ascii="Times New Roman" w:hAnsi="Times New Roman" w:eastAsia="宋体" w:cs="Times New Roman"/>
                      <w:szCs w:val="21"/>
                    </w:rPr>
                  </w:pPr>
                </w:p>
              </w:tc>
              <w:tc>
                <w:tcPr>
                  <w:tcW w:w="107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0.5</w:t>
                  </w:r>
                </w:p>
              </w:tc>
            </w:tr>
          </w:tbl>
          <w:p>
            <w:pPr>
              <w:ind w:firstLine="420" w:firstLineChars="200"/>
              <w:rPr>
                <w:rFonts w:ascii="Times New Roman" w:hAnsi="Times New Roman" w:eastAsia="宋体" w:cs="Times New Roman"/>
                <w:szCs w:val="20"/>
              </w:rPr>
            </w:pPr>
            <w:r>
              <w:rPr>
                <w:rFonts w:ascii="Times New Roman" w:hAnsi="Times New Roman" w:eastAsia="宋体" w:cs="Times New Roman"/>
                <w:bCs/>
                <w:szCs w:val="20"/>
              </w:rPr>
              <w:t>注：</w:t>
            </w:r>
            <w:r>
              <w:rPr>
                <w:rFonts w:ascii="Times New Roman" w:hAnsi="Times New Roman" w:eastAsia="宋体" w:cs="Times New Roman"/>
                <w:szCs w:val="20"/>
              </w:rPr>
              <w:t>*括号外数值为水温＞12℃时的控制指标，括号内数值为水温≤12℃时的控制指标。</w:t>
            </w:r>
          </w:p>
          <w:p>
            <w:pPr>
              <w:spacing w:line="360" w:lineRule="auto"/>
              <w:rPr>
                <w:rFonts w:ascii="Times New Roman" w:hAnsi="Times New Roman" w:eastAsia="宋体" w:cs="Times New Roman"/>
                <w:b/>
                <w:szCs w:val="21"/>
              </w:rPr>
            </w:pPr>
            <w:r>
              <w:rPr>
                <w:rFonts w:ascii="Times New Roman" w:hAnsi="Times New Roman" w:eastAsia="宋体" w:cs="Times New Roman"/>
                <w:b/>
                <w:sz w:val="24"/>
                <w:szCs w:val="24"/>
              </w:rPr>
              <w:t>2、废气</w:t>
            </w:r>
          </w:p>
          <w:p>
            <w:pPr>
              <w:jc w:val="center"/>
              <w:rPr>
                <w:rFonts w:ascii="Times New Roman" w:hAnsi="Times New Roman" w:eastAsia="宋体" w:cs="Times New Roman"/>
                <w:b/>
                <w:szCs w:val="21"/>
              </w:rPr>
            </w:pPr>
            <w:r>
              <w:rPr>
                <w:rFonts w:ascii="Times New Roman" w:hAnsi="Times New Roman" w:eastAsia="宋体" w:cs="Times New Roman"/>
                <w:b/>
                <w:szCs w:val="21"/>
              </w:rPr>
              <w:t>表4-5废气排放标准限值</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7"/>
              <w:gridCol w:w="973"/>
              <w:gridCol w:w="1026"/>
              <w:gridCol w:w="690"/>
              <w:gridCol w:w="896"/>
              <w:gridCol w:w="853"/>
              <w:gridCol w:w="1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327" w:type="dxa"/>
                  <w:vMerge w:val="restart"/>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执行标准</w:t>
                  </w:r>
                </w:p>
              </w:tc>
              <w:tc>
                <w:tcPr>
                  <w:tcW w:w="973" w:type="dxa"/>
                  <w:vMerge w:val="restart"/>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污染物指标</w:t>
                  </w:r>
                </w:p>
              </w:tc>
              <w:tc>
                <w:tcPr>
                  <w:tcW w:w="1026" w:type="dxa"/>
                  <w:vMerge w:val="restart"/>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最高允许排放浓度</w:t>
                  </w:r>
                </w:p>
                <w:p>
                  <w:pPr>
                    <w:jc w:val="center"/>
                    <w:rPr>
                      <w:rFonts w:ascii="Times New Roman" w:hAnsi="Times New Roman" w:eastAsia="宋体" w:cs="Times New Roman"/>
                      <w:bCs/>
                      <w:szCs w:val="21"/>
                    </w:rPr>
                  </w:pPr>
                  <w:r>
                    <w:rPr>
                      <w:rFonts w:ascii="Times New Roman" w:hAnsi="Times New Roman" w:eastAsia="宋体" w:cs="Times New Roman"/>
                      <w:bCs/>
                      <w:szCs w:val="21"/>
                    </w:rPr>
                    <w:t>mg/ m</w:t>
                  </w:r>
                  <w:r>
                    <w:rPr>
                      <w:rFonts w:ascii="Times New Roman" w:hAnsi="Times New Roman" w:eastAsia="宋体" w:cs="Times New Roman"/>
                      <w:bCs/>
                      <w:szCs w:val="21"/>
                      <w:vertAlign w:val="superscript"/>
                    </w:rPr>
                    <w:t>3</w:t>
                  </w:r>
                </w:p>
              </w:tc>
              <w:tc>
                <w:tcPr>
                  <w:tcW w:w="690" w:type="dxa"/>
                  <w:vMerge w:val="restart"/>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排气筒m</w:t>
                  </w:r>
                </w:p>
              </w:tc>
              <w:tc>
                <w:tcPr>
                  <w:tcW w:w="896" w:type="dxa"/>
                  <w:vMerge w:val="restart"/>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最高允许排放速率kg/h</w:t>
                  </w:r>
                </w:p>
              </w:tc>
              <w:tc>
                <w:tcPr>
                  <w:tcW w:w="1922" w:type="dxa"/>
                  <w:gridSpan w:val="2"/>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无组织排放监控浓度限值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0" w:hRule="atLeast"/>
                <w:jc w:val="center"/>
              </w:trPr>
              <w:tc>
                <w:tcPr>
                  <w:tcW w:w="3327" w:type="dxa"/>
                  <w:vMerge w:val="continue"/>
                  <w:vAlign w:val="center"/>
                </w:tcPr>
                <w:p>
                  <w:pPr>
                    <w:jc w:val="center"/>
                    <w:rPr>
                      <w:rFonts w:ascii="Times New Roman" w:hAnsi="Times New Roman" w:eastAsia="宋体" w:cs="Times New Roman"/>
                      <w:bCs/>
                      <w:szCs w:val="21"/>
                    </w:rPr>
                  </w:pPr>
                </w:p>
              </w:tc>
              <w:tc>
                <w:tcPr>
                  <w:tcW w:w="973" w:type="dxa"/>
                  <w:vMerge w:val="continue"/>
                  <w:vAlign w:val="center"/>
                </w:tcPr>
                <w:p>
                  <w:pPr>
                    <w:jc w:val="center"/>
                    <w:rPr>
                      <w:rFonts w:ascii="Times New Roman" w:hAnsi="Times New Roman" w:eastAsia="宋体" w:cs="Times New Roman"/>
                      <w:bCs/>
                      <w:szCs w:val="21"/>
                    </w:rPr>
                  </w:pPr>
                </w:p>
              </w:tc>
              <w:tc>
                <w:tcPr>
                  <w:tcW w:w="1026" w:type="dxa"/>
                  <w:vMerge w:val="continue"/>
                  <w:vAlign w:val="center"/>
                </w:tcPr>
                <w:p>
                  <w:pPr>
                    <w:jc w:val="center"/>
                    <w:rPr>
                      <w:rFonts w:ascii="Times New Roman" w:hAnsi="Times New Roman" w:eastAsia="宋体" w:cs="Times New Roman"/>
                      <w:bCs/>
                      <w:szCs w:val="21"/>
                    </w:rPr>
                  </w:pPr>
                </w:p>
              </w:tc>
              <w:tc>
                <w:tcPr>
                  <w:tcW w:w="690" w:type="dxa"/>
                  <w:vMerge w:val="continue"/>
                  <w:vAlign w:val="center"/>
                </w:tcPr>
                <w:p>
                  <w:pPr>
                    <w:jc w:val="center"/>
                    <w:rPr>
                      <w:rFonts w:ascii="Times New Roman" w:hAnsi="Times New Roman" w:eastAsia="宋体" w:cs="Times New Roman"/>
                      <w:bCs/>
                      <w:szCs w:val="21"/>
                    </w:rPr>
                  </w:pPr>
                </w:p>
              </w:tc>
              <w:tc>
                <w:tcPr>
                  <w:tcW w:w="896" w:type="dxa"/>
                  <w:vMerge w:val="continue"/>
                  <w:vAlign w:val="center"/>
                </w:tcPr>
                <w:p>
                  <w:pPr>
                    <w:jc w:val="center"/>
                    <w:rPr>
                      <w:rFonts w:ascii="Times New Roman" w:hAnsi="Times New Roman" w:eastAsia="宋体" w:cs="Times New Roman"/>
                      <w:bCs/>
                      <w:szCs w:val="21"/>
                    </w:rPr>
                  </w:pPr>
                </w:p>
              </w:tc>
              <w:tc>
                <w:tcPr>
                  <w:tcW w:w="853" w:type="dxa"/>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监控点</w:t>
                  </w:r>
                </w:p>
              </w:tc>
              <w:tc>
                <w:tcPr>
                  <w:tcW w:w="1069" w:type="dxa"/>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厂周界外 mg/m</w:t>
                  </w:r>
                  <w:r>
                    <w:rPr>
                      <w:rFonts w:ascii="Times New Roman" w:hAnsi="Times New Roman" w:eastAsia="宋体" w:cs="Times New Roman"/>
                      <w:bCs/>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jc w:val="center"/>
              </w:trPr>
              <w:tc>
                <w:tcPr>
                  <w:tcW w:w="3327" w:type="dxa"/>
                  <w:vMerge w:val="restart"/>
                  <w:vAlign w:val="center"/>
                </w:tcPr>
                <w:p>
                  <w:pPr>
                    <w:jc w:val="center"/>
                    <w:rPr>
                      <w:rFonts w:ascii="Times New Roman" w:hAnsi="Times New Roman" w:eastAsia="宋体" w:cs="Times New Roman"/>
                      <w:szCs w:val="20"/>
                    </w:rPr>
                  </w:pPr>
                  <w:r>
                    <w:rPr>
                      <w:rFonts w:ascii="Times New Roman" w:hAnsi="Times New Roman" w:eastAsia="宋体" w:cs="Times New Roman"/>
                      <w:szCs w:val="20"/>
                    </w:rPr>
                    <w:t>《大气污染物综合排放标准》</w:t>
                  </w:r>
                </w:p>
                <w:p>
                  <w:pPr>
                    <w:jc w:val="center"/>
                    <w:rPr>
                      <w:rFonts w:ascii="Times New Roman" w:hAnsi="Times New Roman" w:eastAsia="宋体" w:cs="Times New Roman"/>
                      <w:szCs w:val="20"/>
                    </w:rPr>
                  </w:pPr>
                  <w:r>
                    <w:rPr>
                      <w:rFonts w:ascii="Times New Roman" w:hAnsi="Times New Roman" w:eastAsia="宋体" w:cs="Times New Roman"/>
                      <w:szCs w:val="20"/>
                    </w:rPr>
                    <w:t>（GB16297-1996）表2 标准</w:t>
                  </w:r>
                </w:p>
              </w:tc>
              <w:tc>
                <w:tcPr>
                  <w:tcW w:w="973"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非甲烷总烃</w:t>
                  </w:r>
                </w:p>
              </w:tc>
              <w:tc>
                <w:tcPr>
                  <w:tcW w:w="102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6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89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853"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周界外浓度最高点</w:t>
                  </w:r>
                </w:p>
              </w:tc>
              <w:tc>
                <w:tcPr>
                  <w:tcW w:w="106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jc w:val="center"/>
              </w:trPr>
              <w:tc>
                <w:tcPr>
                  <w:tcW w:w="3327" w:type="dxa"/>
                  <w:vMerge w:val="continue"/>
                  <w:vAlign w:val="center"/>
                </w:tcPr>
                <w:p>
                  <w:pPr>
                    <w:jc w:val="center"/>
                    <w:rPr>
                      <w:rFonts w:ascii="Times New Roman" w:hAnsi="Times New Roman" w:eastAsia="宋体" w:cs="Times New Roman"/>
                      <w:szCs w:val="20"/>
                    </w:rPr>
                  </w:pPr>
                </w:p>
              </w:tc>
              <w:tc>
                <w:tcPr>
                  <w:tcW w:w="973"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02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69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89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853" w:type="dxa"/>
                  <w:vMerge w:val="continue"/>
                  <w:vAlign w:val="center"/>
                </w:tcPr>
                <w:p>
                  <w:pPr>
                    <w:jc w:val="center"/>
                    <w:rPr>
                      <w:rFonts w:ascii="Times New Roman" w:hAnsi="Times New Roman" w:eastAsia="宋体" w:cs="Times New Roman"/>
                      <w:szCs w:val="21"/>
                    </w:rPr>
                  </w:pPr>
                </w:p>
              </w:tc>
              <w:tc>
                <w:tcPr>
                  <w:tcW w:w="106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w:t>
                  </w:r>
                </w:p>
              </w:tc>
            </w:tr>
          </w:tbl>
          <w:p>
            <w:pPr>
              <w:spacing w:before="120" w:beforeLines="50"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3、噪声</w:t>
            </w:r>
          </w:p>
          <w:p>
            <w:pPr>
              <w:spacing w:line="360" w:lineRule="auto"/>
              <w:ind w:firstLine="480" w:firstLineChars="200"/>
              <w:rPr>
                <w:rFonts w:ascii="Times New Roman" w:hAnsi="Times New Roman" w:eastAsia="宋体" w:cs="Times New Roman"/>
                <w:b/>
                <w:szCs w:val="21"/>
              </w:rPr>
            </w:pPr>
            <w:r>
              <w:rPr>
                <w:rFonts w:ascii="Times New Roman" w:hAnsi="Times New Roman" w:eastAsia="宋体" w:cs="Times New Roman"/>
                <w:sz w:val="24"/>
                <w:szCs w:val="20"/>
              </w:rPr>
              <w:t>项目营运期区域环境噪声执行《工业企业厂界环境噪声排放标准》（GB12348－2008）3类标准。具体标准见表4-6。</w:t>
            </w:r>
          </w:p>
          <w:p>
            <w:pPr>
              <w:adjustRightInd w:val="0"/>
              <w:snapToGrid w:val="0"/>
              <w:spacing w:before="120" w:beforeLines="50"/>
              <w:jc w:val="center"/>
              <w:textAlignment w:val="baseline"/>
              <w:rPr>
                <w:rFonts w:ascii="Times New Roman" w:hAnsi="Times New Roman" w:eastAsia="宋体" w:cs="Times New Roman"/>
                <w:b/>
                <w:snapToGrid w:val="0"/>
                <w:spacing w:val="4"/>
                <w:kern w:val="0"/>
                <w:szCs w:val="21"/>
              </w:rPr>
            </w:pPr>
            <w:r>
              <w:rPr>
                <w:rFonts w:ascii="Times New Roman" w:hAnsi="Times New Roman" w:eastAsia="宋体" w:cs="Times New Roman"/>
                <w:b/>
                <w:snapToGrid w:val="0"/>
                <w:spacing w:val="4"/>
                <w:kern w:val="0"/>
                <w:szCs w:val="21"/>
              </w:rPr>
              <w:t>表4-6 噪声排放标准限值表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5"/>
              <w:gridCol w:w="2841"/>
              <w:gridCol w:w="735"/>
              <w:gridCol w:w="756"/>
              <w:gridCol w:w="1273"/>
              <w:gridCol w:w="1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2168" w:type="dxa"/>
                  <w:vMerge w:val="restar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厂界名</w:t>
                  </w:r>
                </w:p>
              </w:tc>
              <w:tc>
                <w:tcPr>
                  <w:tcW w:w="2952" w:type="dxa"/>
                  <w:vMerge w:val="restar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执行标准</w:t>
                  </w:r>
                </w:p>
              </w:tc>
              <w:tc>
                <w:tcPr>
                  <w:tcW w:w="756" w:type="dxa"/>
                  <w:vMerge w:val="restar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级别</w:t>
                  </w:r>
                </w:p>
              </w:tc>
              <w:tc>
                <w:tcPr>
                  <w:tcW w:w="756" w:type="dxa"/>
                  <w:vMerge w:val="restar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单位</w:t>
                  </w:r>
                </w:p>
              </w:tc>
              <w:tc>
                <w:tcPr>
                  <w:tcW w:w="2800" w:type="dxa"/>
                  <w:gridSpan w:val="2"/>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168" w:type="dxa"/>
                  <w:vMerge w:val="continue"/>
                  <w:vAlign w:val="center"/>
                </w:tcPr>
                <w:p>
                  <w:pPr>
                    <w:jc w:val="center"/>
                    <w:rPr>
                      <w:rFonts w:ascii="Times New Roman" w:hAnsi="Times New Roman" w:eastAsia="宋体" w:cs="Times New Roman"/>
                      <w:b/>
                      <w:szCs w:val="21"/>
                    </w:rPr>
                  </w:pPr>
                </w:p>
              </w:tc>
              <w:tc>
                <w:tcPr>
                  <w:tcW w:w="2952" w:type="dxa"/>
                  <w:vMerge w:val="continue"/>
                  <w:vAlign w:val="center"/>
                </w:tcPr>
                <w:p>
                  <w:pPr>
                    <w:jc w:val="center"/>
                    <w:rPr>
                      <w:rFonts w:ascii="Times New Roman" w:hAnsi="Times New Roman" w:eastAsia="宋体" w:cs="Times New Roman"/>
                      <w:b/>
                      <w:szCs w:val="21"/>
                    </w:rPr>
                  </w:pPr>
                </w:p>
              </w:tc>
              <w:tc>
                <w:tcPr>
                  <w:tcW w:w="756" w:type="dxa"/>
                  <w:vMerge w:val="continue"/>
                  <w:vAlign w:val="center"/>
                </w:tcPr>
                <w:p>
                  <w:pPr>
                    <w:jc w:val="center"/>
                    <w:rPr>
                      <w:rFonts w:ascii="Times New Roman" w:hAnsi="Times New Roman" w:eastAsia="宋体" w:cs="Times New Roman"/>
                      <w:b/>
                      <w:szCs w:val="21"/>
                    </w:rPr>
                  </w:pPr>
                </w:p>
              </w:tc>
              <w:tc>
                <w:tcPr>
                  <w:tcW w:w="756" w:type="dxa"/>
                  <w:vMerge w:val="continue"/>
                  <w:vAlign w:val="center"/>
                </w:tcPr>
                <w:p>
                  <w:pPr>
                    <w:jc w:val="center"/>
                    <w:rPr>
                      <w:rFonts w:ascii="Times New Roman" w:hAnsi="Times New Roman" w:eastAsia="宋体" w:cs="Times New Roman"/>
                      <w:b/>
                      <w:szCs w:val="21"/>
                    </w:rPr>
                  </w:pPr>
                </w:p>
              </w:tc>
              <w:tc>
                <w:tcPr>
                  <w:tcW w:w="1332"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昼间</w:t>
                  </w:r>
                </w:p>
              </w:tc>
              <w:tc>
                <w:tcPr>
                  <w:tcW w:w="1468" w:type="dxa"/>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exact"/>
                <w:jc w:val="center"/>
              </w:trPr>
              <w:tc>
                <w:tcPr>
                  <w:tcW w:w="2168"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厂界外1米</w:t>
                  </w:r>
                </w:p>
              </w:tc>
              <w:tc>
                <w:tcPr>
                  <w:tcW w:w="2952"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《工业企业厂界环境噪声排放标准》（GB12348－2008）</w:t>
                  </w:r>
                </w:p>
              </w:tc>
              <w:tc>
                <w:tcPr>
                  <w:tcW w:w="756"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3</w:t>
                  </w:r>
                </w:p>
              </w:tc>
              <w:tc>
                <w:tcPr>
                  <w:tcW w:w="756"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dB(A)</w:t>
                  </w:r>
                </w:p>
              </w:tc>
              <w:tc>
                <w:tcPr>
                  <w:tcW w:w="1332"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65</w:t>
                  </w:r>
                </w:p>
              </w:tc>
              <w:tc>
                <w:tcPr>
                  <w:tcW w:w="1468"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55</w:t>
                  </w:r>
                </w:p>
              </w:tc>
            </w:tr>
          </w:tbl>
          <w:p>
            <w:pPr>
              <w:spacing w:before="120"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4、固废</w:t>
            </w:r>
          </w:p>
          <w:p>
            <w:pPr>
              <w:spacing w:line="360" w:lineRule="auto"/>
              <w:ind w:firstLine="480" w:firstLineChars="200"/>
              <w:rPr>
                <w:rFonts w:ascii="Times New Roman" w:hAnsi="Times New Roman" w:eastAsia="宋体" w:cs="Times New Roman"/>
                <w:color w:val="FF0000"/>
                <w:sz w:val="24"/>
                <w:szCs w:val="24"/>
              </w:rPr>
            </w:pPr>
            <w:r>
              <w:rPr>
                <w:rFonts w:ascii="Times New Roman" w:hAnsi="Times New Roman" w:eastAsia="宋体" w:cs="Times New Roman"/>
                <w:sz w:val="24"/>
                <w:szCs w:val="24"/>
              </w:rPr>
              <w:t>固体废物执行《中华人民共和国固体废物污染环境防治法》和《江苏省固体废物污染环境防治条例》。一般工业固废贮存执行《一般工业固体废物贮存、处置物污染控制标准》（GB18599-2001）及修改单（公告2013年第36号）。危险废物执行《危险废物收集、贮存、运输技术规范》（HJ2025-2012）及2013年修改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15" w:hRule="atLeast"/>
          <w:jc w:val="center"/>
        </w:trPr>
        <w:tc>
          <w:tcPr>
            <w:tcW w:w="455" w:type="dxa"/>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总量指标</w:t>
            </w:r>
          </w:p>
        </w:tc>
        <w:tc>
          <w:tcPr>
            <w:tcW w:w="9205" w:type="dxa"/>
            <w:vAlign w:val="center"/>
          </w:tcPr>
          <w:p>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（1）总量控制因子</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本项目生产过程中固体废物全部零排放。按照国家和省总量控制的规定，确定本项目废水污染物总量控制因子为：</w:t>
            </w:r>
            <w:r>
              <w:rPr>
                <w:rFonts w:ascii="Times New Roman" w:hAnsi="Times New Roman" w:eastAsia="宋体" w:cs="Times New Roman"/>
                <w:kern w:val="0"/>
                <w:sz w:val="24"/>
                <w:szCs w:val="20"/>
              </w:rPr>
              <w:t>COD、氨氮。考核因子：TP、</w:t>
            </w:r>
            <w:r>
              <w:rPr>
                <w:rFonts w:ascii="Times New Roman" w:hAnsi="Times New Roman" w:eastAsia="宋体" w:cs="Times New Roman"/>
                <w:sz w:val="24"/>
                <w:szCs w:val="20"/>
              </w:rPr>
              <w:t>SS</w:t>
            </w:r>
            <w:r>
              <w:rPr>
                <w:rFonts w:ascii="Times New Roman" w:hAnsi="Times New Roman" w:eastAsia="宋体" w:cs="Times New Roman"/>
                <w:kern w:val="0"/>
                <w:sz w:val="24"/>
                <w:szCs w:val="20"/>
              </w:rPr>
              <w:t>。</w:t>
            </w:r>
          </w:p>
          <w:p>
            <w:pPr>
              <w:spacing w:line="360" w:lineRule="auto"/>
              <w:ind w:firstLine="482" w:firstLineChars="200"/>
              <w:rPr>
                <w:rFonts w:ascii="Times New Roman" w:hAnsi="Times New Roman" w:eastAsia="宋体" w:cs="Times New Roman"/>
                <w:b/>
                <w:sz w:val="24"/>
                <w:szCs w:val="24"/>
              </w:rPr>
            </w:pPr>
            <w:bookmarkStart w:id="1" w:name="_Toc144030402"/>
            <w:bookmarkStart w:id="2" w:name="_Toc133130051"/>
            <w:bookmarkStart w:id="3" w:name="_Toc143484167"/>
            <w:bookmarkStart w:id="4" w:name="_Toc143484019"/>
            <w:r>
              <w:rPr>
                <w:rFonts w:ascii="Times New Roman" w:hAnsi="Times New Roman" w:eastAsia="宋体" w:cs="Times New Roman"/>
                <w:b/>
                <w:sz w:val="24"/>
                <w:szCs w:val="24"/>
              </w:rPr>
              <w:t>（2）项目总量控制建议指标</w:t>
            </w:r>
            <w:bookmarkEnd w:id="1"/>
            <w:bookmarkEnd w:id="2"/>
            <w:bookmarkEnd w:id="3"/>
            <w:bookmarkEnd w:id="4"/>
          </w:p>
          <w:p>
            <w:pPr>
              <w:spacing w:line="360" w:lineRule="auto"/>
              <w:ind w:firstLine="420"/>
              <w:rPr>
                <w:rFonts w:ascii="Times New Roman" w:hAnsi="Times New Roman" w:eastAsia="宋体" w:cs="Times New Roman"/>
                <w:sz w:val="24"/>
                <w:szCs w:val="20"/>
              </w:rPr>
            </w:pPr>
            <w:r>
              <w:rPr>
                <w:rFonts w:ascii="Times New Roman" w:hAnsi="Times New Roman" w:eastAsia="宋体" w:cs="Times New Roman"/>
                <w:sz w:val="24"/>
                <w:szCs w:val="20"/>
              </w:rPr>
              <w:t>项目总量控制指标见表4-7：</w:t>
            </w:r>
          </w:p>
          <w:p>
            <w:pPr>
              <w:spacing w:line="360" w:lineRule="auto"/>
              <w:jc w:val="center"/>
              <w:rPr>
                <w:rFonts w:ascii="Times New Roman" w:hAnsi="Times New Roman" w:eastAsia="宋体" w:cs="Times New Roman"/>
                <w:b/>
                <w:szCs w:val="21"/>
              </w:rPr>
            </w:pPr>
            <w:r>
              <w:rPr>
                <w:rFonts w:ascii="Times New Roman" w:hAnsi="Times New Roman" w:eastAsia="宋体" w:cs="Times New Roman"/>
                <w:b/>
                <w:szCs w:val="21"/>
              </w:rPr>
              <w:t>表4-7  建设项目污染物排放总量指标  单位：t/a</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0"/>
              <w:gridCol w:w="860"/>
              <w:gridCol w:w="1721"/>
              <w:gridCol w:w="1721"/>
              <w:gridCol w:w="1721"/>
              <w:gridCol w:w="1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trPr>
              <w:tc>
                <w:tcPr>
                  <w:tcW w:w="999" w:type="pct"/>
                  <w:gridSpan w:val="2"/>
                  <w:shd w:val="clear" w:color="auto" w:fill="auto"/>
                  <w:vAlign w:val="center"/>
                </w:tcPr>
                <w:p>
                  <w:pPr>
                    <w:spacing w:after="120"/>
                    <w:jc w:val="center"/>
                    <w:rPr>
                      <w:rFonts w:ascii="Times New Roman" w:hAnsi="Times New Roman" w:eastAsia="Times New Roman" w:cs="Times New Roman"/>
                      <w:szCs w:val="24"/>
                    </w:rPr>
                  </w:pPr>
                  <w:r>
                    <w:rPr>
                      <w:rFonts w:ascii="Times New Roman" w:hAnsi="Times New Roman" w:eastAsia="宋体" w:cs="Times New Roman"/>
                      <w:szCs w:val="24"/>
                    </w:rPr>
                    <w:t>种类</w:t>
                  </w:r>
                </w:p>
              </w:tc>
              <w:tc>
                <w:tcPr>
                  <w:tcW w:w="1000" w:type="pct"/>
                  <w:shd w:val="clear" w:color="auto" w:fill="auto"/>
                  <w:vAlign w:val="center"/>
                </w:tcPr>
                <w:p>
                  <w:pPr>
                    <w:spacing w:after="120"/>
                    <w:jc w:val="center"/>
                    <w:rPr>
                      <w:rFonts w:ascii="Times New Roman" w:hAnsi="Times New Roman" w:eastAsia="Times New Roman" w:cs="Times New Roman"/>
                      <w:szCs w:val="24"/>
                    </w:rPr>
                  </w:pPr>
                  <w:r>
                    <w:rPr>
                      <w:rFonts w:ascii="Times New Roman" w:hAnsi="Times New Roman" w:eastAsia="宋体" w:cs="Times New Roman"/>
                      <w:szCs w:val="24"/>
                    </w:rPr>
                    <w:t>污染物名称</w:t>
                  </w:r>
                </w:p>
              </w:tc>
              <w:tc>
                <w:tcPr>
                  <w:tcW w:w="1000" w:type="pct"/>
                  <w:shd w:val="clear" w:color="auto" w:fill="auto"/>
                  <w:vAlign w:val="center"/>
                </w:tcPr>
                <w:p>
                  <w:pPr>
                    <w:spacing w:after="120"/>
                    <w:jc w:val="center"/>
                    <w:rPr>
                      <w:rFonts w:ascii="Times New Roman" w:hAnsi="Times New Roman" w:eastAsia="Times New Roman" w:cs="Times New Roman"/>
                      <w:szCs w:val="24"/>
                    </w:rPr>
                  </w:pPr>
                  <w:r>
                    <w:rPr>
                      <w:rFonts w:ascii="Times New Roman" w:hAnsi="Times New Roman" w:eastAsia="宋体" w:cs="Times New Roman"/>
                      <w:szCs w:val="24"/>
                    </w:rPr>
                    <w:t>产生量</w:t>
                  </w:r>
                </w:p>
              </w:tc>
              <w:tc>
                <w:tcPr>
                  <w:tcW w:w="1000" w:type="pct"/>
                  <w:shd w:val="clear" w:color="auto" w:fill="auto"/>
                  <w:vAlign w:val="center"/>
                </w:tcPr>
                <w:p>
                  <w:pPr>
                    <w:spacing w:after="120"/>
                    <w:jc w:val="center"/>
                    <w:rPr>
                      <w:rFonts w:ascii="Times New Roman" w:hAnsi="Times New Roman" w:eastAsia="Times New Roman" w:cs="Times New Roman"/>
                      <w:szCs w:val="24"/>
                    </w:rPr>
                  </w:pPr>
                  <w:r>
                    <w:rPr>
                      <w:rFonts w:ascii="Times New Roman" w:hAnsi="Times New Roman" w:eastAsia="宋体" w:cs="Times New Roman"/>
                      <w:szCs w:val="24"/>
                    </w:rPr>
                    <w:t>削减量</w:t>
                  </w:r>
                </w:p>
              </w:tc>
              <w:tc>
                <w:tcPr>
                  <w:tcW w:w="1000" w:type="pct"/>
                  <w:shd w:val="clear" w:color="auto" w:fill="auto"/>
                  <w:vAlign w:val="center"/>
                </w:tcPr>
                <w:p>
                  <w:pPr>
                    <w:spacing w:after="120"/>
                    <w:jc w:val="center"/>
                    <w:rPr>
                      <w:rFonts w:ascii="Times New Roman" w:hAnsi="Times New Roman" w:eastAsia="Times New Roman" w:cs="Times New Roman"/>
                      <w:szCs w:val="24"/>
                    </w:rPr>
                  </w:pPr>
                  <w:r>
                    <w:rPr>
                      <w:rFonts w:ascii="Times New Roman" w:hAnsi="Times New Roman" w:eastAsia="宋体" w:cs="Times New Roman"/>
                      <w:szCs w:val="24"/>
                    </w:rPr>
                    <w:t>排放量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500" w:type="pct"/>
                  <w:vMerge w:val="restart"/>
                  <w:shd w:val="clear" w:color="auto" w:fill="auto"/>
                  <w:vAlign w:val="center"/>
                </w:tcPr>
                <w:p>
                  <w:pPr>
                    <w:spacing w:after="120"/>
                    <w:jc w:val="center"/>
                    <w:rPr>
                      <w:rFonts w:ascii="Times New Roman" w:hAnsi="Times New Roman" w:eastAsia="宋体" w:cs="Times New Roman"/>
                      <w:szCs w:val="24"/>
                    </w:rPr>
                  </w:pPr>
                  <w:r>
                    <w:rPr>
                      <w:rFonts w:ascii="Times New Roman" w:hAnsi="Times New Roman" w:eastAsia="宋体" w:cs="Times New Roman"/>
                      <w:szCs w:val="24"/>
                    </w:rPr>
                    <w:t>废气</w:t>
                  </w:r>
                </w:p>
              </w:tc>
              <w:tc>
                <w:tcPr>
                  <w:tcW w:w="500" w:type="pct"/>
                  <w:vMerge w:val="restart"/>
                  <w:shd w:val="clear" w:color="auto" w:fill="auto"/>
                  <w:vAlign w:val="center"/>
                </w:tcPr>
                <w:p>
                  <w:pPr>
                    <w:spacing w:after="120"/>
                    <w:jc w:val="center"/>
                    <w:rPr>
                      <w:rFonts w:ascii="Times New Roman" w:hAnsi="Times New Roman" w:eastAsia="宋体" w:cs="Times New Roman"/>
                      <w:szCs w:val="24"/>
                    </w:rPr>
                  </w:pPr>
                  <w:r>
                    <w:rPr>
                      <w:rFonts w:ascii="Times New Roman" w:hAnsi="Times New Roman" w:eastAsia="宋体" w:cs="Times New Roman"/>
                      <w:szCs w:val="24"/>
                    </w:rPr>
                    <w:t>无组织</w:t>
                  </w:r>
                </w:p>
              </w:tc>
              <w:tc>
                <w:tcPr>
                  <w:tcW w:w="1000" w:type="pct"/>
                  <w:shd w:val="clear" w:color="auto" w:fill="auto"/>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非甲烷总烃</w:t>
                  </w:r>
                </w:p>
              </w:tc>
              <w:tc>
                <w:tcPr>
                  <w:tcW w:w="1000"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0.0036</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000"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0.0036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500" w:type="pct"/>
                  <w:vMerge w:val="continue"/>
                  <w:shd w:val="clear" w:color="auto" w:fill="auto"/>
                  <w:vAlign w:val="center"/>
                </w:tcPr>
                <w:p>
                  <w:pPr>
                    <w:spacing w:after="120"/>
                    <w:jc w:val="center"/>
                    <w:rPr>
                      <w:rFonts w:ascii="Times New Roman" w:hAnsi="Times New Roman" w:eastAsia="宋体" w:cs="Times New Roman"/>
                      <w:szCs w:val="24"/>
                    </w:rPr>
                  </w:pPr>
                </w:p>
              </w:tc>
              <w:tc>
                <w:tcPr>
                  <w:tcW w:w="500" w:type="pct"/>
                  <w:vMerge w:val="continue"/>
                  <w:shd w:val="clear" w:color="auto" w:fill="auto"/>
                  <w:vAlign w:val="center"/>
                </w:tcPr>
                <w:p>
                  <w:pPr>
                    <w:spacing w:after="120"/>
                    <w:jc w:val="center"/>
                    <w:rPr>
                      <w:rFonts w:ascii="Times New Roman" w:hAnsi="Times New Roman" w:eastAsia="宋体" w:cs="Times New Roman"/>
                      <w:szCs w:val="24"/>
                    </w:rPr>
                  </w:pPr>
                </w:p>
              </w:tc>
              <w:tc>
                <w:tcPr>
                  <w:tcW w:w="1000" w:type="pct"/>
                  <w:shd w:val="clear" w:color="auto" w:fill="auto"/>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颗粒物</w:t>
                  </w:r>
                </w:p>
              </w:tc>
              <w:tc>
                <w:tcPr>
                  <w:tcW w:w="1000"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0.0266</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0.0225</w:t>
                  </w:r>
                </w:p>
              </w:tc>
              <w:tc>
                <w:tcPr>
                  <w:tcW w:w="1000"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0.0041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999" w:type="pct"/>
                  <w:gridSpan w:val="2"/>
                  <w:vMerge w:val="restart"/>
                  <w:shd w:val="clear" w:color="auto" w:fill="auto"/>
                  <w:vAlign w:val="center"/>
                </w:tcPr>
                <w:p>
                  <w:pPr>
                    <w:spacing w:after="120"/>
                    <w:jc w:val="center"/>
                    <w:rPr>
                      <w:rFonts w:ascii="Times New Roman" w:hAnsi="Times New Roman" w:eastAsia="宋体" w:cs="Times New Roman"/>
                      <w:szCs w:val="24"/>
                    </w:rPr>
                  </w:pPr>
                  <w:r>
                    <w:rPr>
                      <w:rFonts w:ascii="Times New Roman" w:hAnsi="Times New Roman" w:eastAsia="宋体" w:cs="Times New Roman"/>
                      <w:szCs w:val="24"/>
                    </w:rPr>
                    <w:t>生活污水</w:t>
                  </w:r>
                </w:p>
              </w:tc>
              <w:tc>
                <w:tcPr>
                  <w:tcW w:w="1000" w:type="pct"/>
                  <w:shd w:val="clear" w:color="auto" w:fill="auto"/>
                  <w:vAlign w:val="center"/>
                </w:tcPr>
                <w:p>
                  <w:pPr>
                    <w:jc w:val="center"/>
                    <w:rPr>
                      <w:rFonts w:ascii="Times New Roman" w:hAnsi="Times New Roman" w:eastAsia="Times New Roman" w:cs="Times New Roman"/>
                      <w:szCs w:val="20"/>
                    </w:rPr>
                  </w:pPr>
                  <w:r>
                    <w:rPr>
                      <w:rFonts w:ascii="Times New Roman" w:hAnsi="Times New Roman" w:eastAsia="宋体" w:cs="Times New Roman"/>
                      <w:szCs w:val="20"/>
                    </w:rPr>
                    <w:t>水量</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640</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999" w:type="pct"/>
                  <w:gridSpan w:val="2"/>
                  <w:vMerge w:val="continue"/>
                  <w:shd w:val="clear" w:color="auto" w:fill="auto"/>
                  <w:vAlign w:val="center"/>
                </w:tcPr>
                <w:p>
                  <w:pPr>
                    <w:spacing w:after="120"/>
                    <w:jc w:val="center"/>
                    <w:rPr>
                      <w:rFonts w:ascii="Times New Roman" w:hAnsi="Times New Roman" w:eastAsia="宋体" w:cs="Times New Roman"/>
                      <w:szCs w:val="24"/>
                    </w:rPr>
                  </w:pPr>
                </w:p>
              </w:tc>
              <w:tc>
                <w:tcPr>
                  <w:tcW w:w="1000" w:type="pct"/>
                  <w:shd w:val="clear" w:color="auto" w:fill="auto"/>
                  <w:vAlign w:val="center"/>
                </w:tcPr>
                <w:p>
                  <w:pPr>
                    <w:widowControl/>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COD</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0.256</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999" w:type="pct"/>
                  <w:gridSpan w:val="2"/>
                  <w:vMerge w:val="continue"/>
                  <w:shd w:val="clear" w:color="auto" w:fill="auto"/>
                  <w:vAlign w:val="center"/>
                </w:tcPr>
                <w:p>
                  <w:pPr>
                    <w:spacing w:after="120"/>
                    <w:jc w:val="center"/>
                    <w:rPr>
                      <w:rFonts w:ascii="Times New Roman" w:hAnsi="Times New Roman" w:eastAsia="宋体" w:cs="Times New Roman"/>
                      <w:szCs w:val="24"/>
                    </w:rPr>
                  </w:pPr>
                </w:p>
              </w:tc>
              <w:tc>
                <w:tcPr>
                  <w:tcW w:w="1000" w:type="pct"/>
                  <w:shd w:val="clear" w:color="auto" w:fill="auto"/>
                  <w:vAlign w:val="center"/>
                </w:tcPr>
                <w:p>
                  <w:pPr>
                    <w:widowControl/>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SS</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0.16</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999" w:type="pct"/>
                  <w:gridSpan w:val="2"/>
                  <w:vMerge w:val="continue"/>
                  <w:shd w:val="clear" w:color="auto" w:fill="auto"/>
                  <w:vAlign w:val="center"/>
                </w:tcPr>
                <w:p>
                  <w:pPr>
                    <w:spacing w:after="120"/>
                    <w:jc w:val="center"/>
                    <w:rPr>
                      <w:rFonts w:ascii="Times New Roman" w:hAnsi="Times New Roman" w:eastAsia="宋体" w:cs="Times New Roman"/>
                      <w:szCs w:val="24"/>
                    </w:rPr>
                  </w:pPr>
                </w:p>
              </w:tc>
              <w:tc>
                <w:tcPr>
                  <w:tcW w:w="1000" w:type="pct"/>
                  <w:shd w:val="clear" w:color="auto" w:fill="auto"/>
                  <w:vAlign w:val="center"/>
                </w:tcPr>
                <w:p>
                  <w:pPr>
                    <w:widowControl/>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氨氮</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0.0192</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0.0192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999" w:type="pct"/>
                  <w:gridSpan w:val="2"/>
                  <w:vMerge w:val="continue"/>
                  <w:shd w:val="clear" w:color="auto" w:fill="auto"/>
                  <w:vAlign w:val="center"/>
                </w:tcPr>
                <w:p>
                  <w:pPr>
                    <w:spacing w:after="120"/>
                    <w:jc w:val="center"/>
                    <w:rPr>
                      <w:rFonts w:ascii="Times New Roman" w:hAnsi="Times New Roman" w:eastAsia="Times New Roman" w:cs="Times New Roman"/>
                      <w:szCs w:val="24"/>
                    </w:rPr>
                  </w:pPr>
                </w:p>
              </w:tc>
              <w:tc>
                <w:tcPr>
                  <w:tcW w:w="1000" w:type="pct"/>
                  <w:shd w:val="clear" w:color="auto" w:fill="auto"/>
                  <w:vAlign w:val="center"/>
                </w:tcPr>
                <w:p>
                  <w:pPr>
                    <w:widowControl/>
                    <w:jc w:val="center"/>
                    <w:rPr>
                      <w:rFonts w:ascii="Times New Roman" w:hAnsi="Times New Roman" w:eastAsia="Times New Roman" w:cs="Times New Roman"/>
                      <w:bCs/>
                      <w:kern w:val="0"/>
                      <w:szCs w:val="21"/>
                    </w:rPr>
                  </w:pPr>
                  <w:r>
                    <w:rPr>
                      <w:rFonts w:ascii="Times New Roman" w:hAnsi="Times New Roman" w:eastAsia="宋体" w:cs="Times New Roman"/>
                      <w:bCs/>
                      <w:kern w:val="0"/>
                      <w:szCs w:val="21"/>
                    </w:rPr>
                    <w:t>总氮</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0.0448</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0.0448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999" w:type="pct"/>
                  <w:gridSpan w:val="2"/>
                  <w:vMerge w:val="continue"/>
                  <w:shd w:val="clear" w:color="auto" w:fill="auto"/>
                  <w:vAlign w:val="center"/>
                </w:tcPr>
                <w:p>
                  <w:pPr>
                    <w:spacing w:after="120"/>
                    <w:jc w:val="center"/>
                    <w:rPr>
                      <w:rFonts w:ascii="Times New Roman" w:hAnsi="Times New Roman" w:eastAsia="宋体" w:cs="Times New Roman"/>
                      <w:szCs w:val="24"/>
                    </w:rPr>
                  </w:pPr>
                </w:p>
              </w:tc>
              <w:tc>
                <w:tcPr>
                  <w:tcW w:w="1000" w:type="pct"/>
                  <w:shd w:val="clear" w:color="auto" w:fill="auto"/>
                  <w:vAlign w:val="center"/>
                </w:tcPr>
                <w:p>
                  <w:pPr>
                    <w:widowControl/>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TP</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0.00256</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000" w:type="pct"/>
                  <w:shd w:val="clear" w:color="auto" w:fill="auto"/>
                  <w:vAlign w:val="center"/>
                </w:tcPr>
                <w:p>
                  <w:pPr>
                    <w:jc w:val="center"/>
                    <w:rPr>
                      <w:rFonts w:ascii="Times New Roman" w:hAnsi="Times New Roman" w:cs="Times New Roman"/>
                    </w:rPr>
                  </w:pPr>
                  <w:r>
                    <w:rPr>
                      <w:rFonts w:ascii="Times New Roman" w:hAnsi="Times New Roman" w:cs="Times New Roman"/>
                    </w:rPr>
                    <w:t>0.00256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999" w:type="pct"/>
                  <w:gridSpan w:val="2"/>
                  <w:vMerge w:val="restart"/>
                  <w:shd w:val="clear" w:color="auto" w:fill="auto"/>
                  <w:vAlign w:val="center"/>
                </w:tcPr>
                <w:p>
                  <w:pPr>
                    <w:spacing w:after="120"/>
                    <w:jc w:val="center"/>
                    <w:rPr>
                      <w:rFonts w:ascii="Times New Roman" w:hAnsi="Times New Roman" w:eastAsia="宋体" w:cs="Times New Roman"/>
                      <w:szCs w:val="24"/>
                    </w:rPr>
                  </w:pPr>
                  <w:r>
                    <w:rPr>
                      <w:rFonts w:ascii="Times New Roman" w:hAnsi="Times New Roman" w:eastAsia="宋体" w:cs="Times New Roman"/>
                      <w:szCs w:val="24"/>
                    </w:rPr>
                    <w:t>固废</w:t>
                  </w:r>
                </w:p>
              </w:tc>
              <w:tc>
                <w:tcPr>
                  <w:tcW w:w="1000" w:type="pct"/>
                  <w:shd w:val="clear" w:color="auto" w:fill="auto"/>
                  <w:vAlign w:val="center"/>
                </w:tcPr>
                <w:p>
                  <w:pPr>
                    <w:widowControl/>
                    <w:jc w:val="center"/>
                    <w:rPr>
                      <w:rFonts w:ascii="Times New Roman" w:hAnsi="Times New Roman" w:eastAsia="Times New Roman" w:cs="Times New Roman"/>
                      <w:bCs/>
                      <w:kern w:val="0"/>
                      <w:szCs w:val="21"/>
                    </w:rPr>
                  </w:pPr>
                  <w:r>
                    <w:rPr>
                      <w:rFonts w:ascii="Times New Roman" w:hAnsi="Times New Roman" w:eastAsia="宋体" w:cs="Times New Roman"/>
                      <w:bCs/>
                      <w:kern w:val="0"/>
                      <w:szCs w:val="21"/>
                    </w:rPr>
                    <w:t>一般工业固废</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999" w:type="pct"/>
                  <w:gridSpan w:val="2"/>
                  <w:vMerge w:val="continue"/>
                  <w:shd w:val="clear" w:color="auto" w:fill="auto"/>
                  <w:vAlign w:val="center"/>
                </w:tcPr>
                <w:p>
                  <w:pPr>
                    <w:spacing w:after="120"/>
                    <w:jc w:val="center"/>
                    <w:rPr>
                      <w:rFonts w:ascii="Times New Roman" w:hAnsi="Times New Roman" w:eastAsia="宋体" w:cs="Times New Roman"/>
                      <w:szCs w:val="24"/>
                    </w:rPr>
                  </w:pPr>
                </w:p>
              </w:tc>
              <w:tc>
                <w:tcPr>
                  <w:tcW w:w="1000" w:type="pct"/>
                  <w:shd w:val="clear" w:color="auto" w:fill="auto"/>
                  <w:vAlign w:val="center"/>
                </w:tcPr>
                <w:p>
                  <w:pPr>
                    <w:widowControl/>
                    <w:jc w:val="center"/>
                    <w:rPr>
                      <w:rFonts w:ascii="Times New Roman" w:hAnsi="Times New Roman" w:eastAsia="Times New Roman" w:cs="Times New Roman"/>
                      <w:bCs/>
                      <w:kern w:val="0"/>
                      <w:szCs w:val="21"/>
                    </w:rPr>
                  </w:pPr>
                  <w:r>
                    <w:rPr>
                      <w:rFonts w:ascii="Times New Roman" w:hAnsi="Times New Roman" w:eastAsia="宋体" w:cs="Times New Roman"/>
                      <w:bCs/>
                      <w:kern w:val="0"/>
                      <w:szCs w:val="21"/>
                    </w:rPr>
                    <w:t>危险固废</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0.115</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0.115</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999" w:type="pct"/>
                  <w:gridSpan w:val="2"/>
                  <w:vMerge w:val="continue"/>
                  <w:shd w:val="clear" w:color="auto" w:fill="auto"/>
                  <w:vAlign w:val="center"/>
                </w:tcPr>
                <w:p>
                  <w:pPr>
                    <w:spacing w:after="120"/>
                    <w:jc w:val="center"/>
                    <w:rPr>
                      <w:rFonts w:ascii="Times New Roman" w:hAnsi="Times New Roman" w:eastAsia="宋体" w:cs="Times New Roman"/>
                      <w:szCs w:val="24"/>
                    </w:rPr>
                  </w:pPr>
                </w:p>
              </w:tc>
              <w:tc>
                <w:tcPr>
                  <w:tcW w:w="1000" w:type="pct"/>
                  <w:shd w:val="clear" w:color="auto" w:fill="auto"/>
                  <w:vAlign w:val="center"/>
                </w:tcPr>
                <w:p>
                  <w:pPr>
                    <w:widowControl/>
                    <w:jc w:val="center"/>
                    <w:rPr>
                      <w:rFonts w:ascii="Times New Roman" w:hAnsi="Times New Roman" w:eastAsia="Times New Roman" w:cs="Times New Roman"/>
                      <w:bCs/>
                      <w:kern w:val="0"/>
                      <w:szCs w:val="21"/>
                    </w:rPr>
                  </w:pPr>
                  <w:r>
                    <w:rPr>
                      <w:rFonts w:ascii="Times New Roman" w:hAnsi="Times New Roman" w:eastAsia="宋体" w:cs="Times New Roman"/>
                      <w:bCs/>
                      <w:kern w:val="0"/>
                      <w:szCs w:val="21"/>
                    </w:rPr>
                    <w:t>生活垃圾</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w:t>
                  </w:r>
                </w:p>
              </w:tc>
              <w:tc>
                <w:tcPr>
                  <w:tcW w:w="1000" w:type="pct"/>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r>
          </w:tbl>
          <w:p>
            <w:pPr>
              <w:keepNext/>
              <w:keepLines/>
              <w:spacing w:before="120" w:beforeLines="50" w:line="360" w:lineRule="auto"/>
              <w:ind w:firstLine="472" w:firstLineChars="196"/>
              <w:rPr>
                <w:rFonts w:ascii="Times New Roman" w:hAnsi="Times New Roman" w:eastAsia="宋体" w:cs="Times New Roman"/>
                <w:b/>
                <w:sz w:val="24"/>
                <w:szCs w:val="24"/>
              </w:rPr>
            </w:pPr>
            <w:bookmarkStart w:id="5" w:name="_Toc143484168"/>
            <w:bookmarkStart w:id="6" w:name="_Toc144030403"/>
            <w:bookmarkStart w:id="7" w:name="_Toc143484020"/>
            <w:bookmarkStart w:id="8" w:name="_Toc133130052"/>
            <w:r>
              <w:rPr>
                <w:rFonts w:ascii="Times New Roman" w:hAnsi="Times New Roman" w:eastAsia="宋体" w:cs="Times New Roman"/>
                <w:b/>
                <w:sz w:val="24"/>
                <w:szCs w:val="24"/>
              </w:rPr>
              <w:t>（3）总量平衡途径</w:t>
            </w:r>
            <w:bookmarkEnd w:id="5"/>
            <w:bookmarkEnd w:id="6"/>
            <w:bookmarkEnd w:id="7"/>
            <w:bookmarkEnd w:id="8"/>
          </w:p>
          <w:p>
            <w:pPr>
              <w:spacing w:line="360" w:lineRule="auto"/>
              <w:ind w:firstLine="480" w:firstLineChars="200"/>
              <w:jc w:val="left"/>
              <w:rPr>
                <w:rFonts w:ascii="Times New Roman" w:hAnsi="Times New Roman" w:eastAsia="宋体" w:cs="Times New Roman"/>
                <w:kern w:val="0"/>
                <w:sz w:val="24"/>
                <w:szCs w:val="24"/>
              </w:rPr>
            </w:pPr>
            <w:r>
              <w:rPr>
                <w:rFonts w:ascii="Times New Roman" w:hAnsi="Times New Roman" w:eastAsia="宋体" w:cs="Times New Roman"/>
                <w:kern w:val="0"/>
                <w:sz w:val="24"/>
                <w:szCs w:val="24"/>
              </w:rPr>
              <w:t>本项目无生产废水产生生活污水接管至太仓市城东污水处理厂。废水污染物在污水处理厂内平衡。</w:t>
            </w:r>
          </w:p>
          <w:p>
            <w:pPr>
              <w:spacing w:line="360" w:lineRule="auto"/>
              <w:ind w:firstLine="480" w:firstLineChars="200"/>
              <w:jc w:val="left"/>
              <w:rPr>
                <w:rFonts w:ascii="Times New Roman" w:hAnsi="Times New Roman" w:eastAsia="宋体" w:cs="Times New Roman"/>
                <w:kern w:val="0"/>
                <w:sz w:val="24"/>
                <w:szCs w:val="20"/>
              </w:rPr>
            </w:pPr>
            <w:r>
              <w:rPr>
                <w:rFonts w:ascii="Times New Roman" w:hAnsi="Times New Roman" w:eastAsia="宋体" w:cs="Times New Roman"/>
                <w:kern w:val="0"/>
                <w:sz w:val="24"/>
                <w:szCs w:val="20"/>
              </w:rPr>
              <w:t>固体废弃物严格按照环保要求处理和处置，生活垃圾由环卫部门进行收集处理，一般工业固废收集后自处理，危险固废委托有资质单位回收，固体废弃物实行零排放。</w:t>
            </w:r>
          </w:p>
        </w:tc>
      </w:tr>
    </w:tbl>
    <w:p>
      <w:pPr>
        <w:rPr>
          <w:rFonts w:ascii="Times New Roman" w:hAnsi="Times New Roman" w:eastAsia="宋体" w:cs="Times New Roman"/>
          <w:sz w:val="28"/>
          <w:szCs w:val="28"/>
        </w:rPr>
        <w:sectPr>
          <w:pgSz w:w="11906" w:h="16838"/>
          <w:pgMar w:top="1440" w:right="1418" w:bottom="1440" w:left="1418" w:header="851" w:footer="992" w:gutter="0"/>
          <w:pgBorders w:offsetFrom="page">
            <w:top w:val="none" w:sz="0" w:space="0"/>
            <w:left w:val="none" w:sz="0" w:space="0"/>
            <w:bottom w:val="none" w:sz="0" w:space="0"/>
            <w:right w:val="none" w:sz="0" w:space="0"/>
          </w:pgBorders>
          <w:cols w:space="720" w:num="1"/>
          <w:docGrid w:linePitch="312" w:charSpace="0"/>
        </w:sectPr>
      </w:pPr>
    </w:p>
    <w:p>
      <w:pPr>
        <w:keepNext/>
        <w:keepLines/>
        <w:spacing w:line="240" w:lineRule="atLeast"/>
        <w:outlineLvl w:val="0"/>
        <w:rPr>
          <w:rFonts w:ascii="Times New Roman" w:hAnsi="Times New Roman" w:eastAsia="宋体" w:cs="Times New Roman"/>
          <w:b/>
          <w:bCs/>
          <w:kern w:val="44"/>
          <w:sz w:val="28"/>
          <w:szCs w:val="28"/>
        </w:rPr>
      </w:pPr>
      <w:r>
        <w:rPr>
          <w:rFonts w:ascii="Times New Roman" w:hAnsi="Times New Roman" w:eastAsia="宋体" w:cs="Times New Roman"/>
          <w:b/>
          <w:bCs/>
          <w:kern w:val="44"/>
          <w:sz w:val="28"/>
          <w:szCs w:val="28"/>
        </w:rPr>
        <w:t>五、建设项目工程分析</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1" w:hRule="atLeast"/>
          <w:jc w:val="center"/>
        </w:trPr>
        <w:tc>
          <w:tcPr>
            <w:tcW w:w="5000" w:type="pct"/>
          </w:tcPr>
          <w:p>
            <w:pPr>
              <w:spacing w:line="360" w:lineRule="auto"/>
              <w:rPr>
                <w:rFonts w:ascii="Times New Roman" w:hAnsi="Times New Roman" w:eastAsia="宋体" w:cs="Times New Roman"/>
                <w:sz w:val="24"/>
                <w:szCs w:val="20"/>
                <w:highlight w:val="yellow"/>
              </w:rPr>
            </w:pPr>
            <w:r>
              <w:rPr>
                <w:rFonts w:ascii="Times New Roman" w:hAnsi="Times New Roman" w:eastAsia="宋体" w:cs="Times New Roman"/>
                <w:b/>
                <w:sz w:val="24"/>
                <w:szCs w:val="20"/>
              </w:rPr>
              <w:t>营运期</w:t>
            </w:r>
            <w:r>
              <w:rPr>
                <w:rFonts w:ascii="Times New Roman" w:hAnsi="Times New Roman" w:eastAsia="宋体" w:cs="Times New Roman"/>
                <w:b/>
                <w:bCs/>
                <w:sz w:val="24"/>
                <w:szCs w:val="20"/>
              </w:rPr>
              <w:t>生产工艺流程：</w:t>
            </w:r>
          </w:p>
          <w:p>
            <w:pPr>
              <w:spacing w:line="480" w:lineRule="auto"/>
              <w:rPr>
                <w:rFonts w:ascii="Times New Roman" w:hAnsi="Times New Roman" w:cs="Times New Roman"/>
                <w:szCs w:val="20"/>
              </w:rPr>
            </w:pPr>
            <w:r>
              <w:rPr>
                <w:rFonts w:ascii="Times New Roman" w:hAnsi="Times New Roman" w:cs="Times New Roman"/>
                <w:szCs w:val="20"/>
              </w:rPr>
              <w:t>1、卡子及半圆片生产工艺流程</w:t>
            </w:r>
          </w:p>
          <w:p>
            <w:pPr>
              <w:spacing w:line="480" w:lineRule="auto"/>
              <w:jc w:val="center"/>
              <w:rPr>
                <w:rFonts w:ascii="Times New Roman" w:hAnsi="Times New Roman" w:cs="Times New Roman"/>
                <w:szCs w:val="20"/>
              </w:rPr>
            </w:pPr>
            <w:r>
              <w:rPr>
                <w:rFonts w:ascii="Times New Roman" w:hAnsi="Times New Roman" w:cs="Times New Roman"/>
              </w:rPr>
              <w:object>
                <v:shape id="_x0000_i1025" o:spt="75" type="#_x0000_t75" style="height:119.1pt;width:279.7pt;" o:ole="t" filled="f" o:preferrelative="t" stroked="f" coordsize="21600,21600">
                  <v:path/>
                  <v:fill on="f" focussize="0,0"/>
                  <v:stroke on="f" joinstyle="miter"/>
                  <v:imagedata r:id="rId9" o:title=""/>
                  <o:lock v:ext="edit" aspectratio="t"/>
                  <w10:wrap type="none"/>
                  <w10:anchorlock/>
                </v:shape>
                <o:OLEObject Type="Embed" ProgID="Visio.Drawing.11" ShapeID="_x0000_i1025" DrawAspect="Content" ObjectID="_1468075725" r:id="rId8">
                  <o:LockedField>false</o:LockedField>
                </o:OLEObject>
              </w:object>
            </w:r>
          </w:p>
          <w:p>
            <w:pPr>
              <w:spacing w:line="480" w:lineRule="auto"/>
              <w:ind w:firstLine="480"/>
              <w:jc w:val="center"/>
              <w:rPr>
                <w:rFonts w:ascii="Times New Roman" w:hAnsi="Times New Roman" w:eastAsia="宋体" w:cs="Times New Roman"/>
                <w:sz w:val="24"/>
                <w:szCs w:val="20"/>
              </w:rPr>
            </w:pPr>
            <w:r>
              <w:rPr>
                <w:rFonts w:ascii="Times New Roman" w:hAnsi="Times New Roman" w:eastAsia="宋体" w:cs="Times New Roman"/>
                <w:b/>
                <w:bCs/>
                <w:szCs w:val="21"/>
              </w:rPr>
              <w:t>图</w:t>
            </w:r>
            <w:r>
              <w:rPr>
                <w:rFonts w:ascii="Times New Roman" w:hAnsi="Times New Roman" w:eastAsia="宋体" w:cs="Times New Roman"/>
                <w:b/>
                <w:szCs w:val="21"/>
              </w:rPr>
              <w:t>5-1</w:t>
            </w:r>
            <w:r>
              <w:rPr>
                <w:rFonts w:ascii="Times New Roman" w:hAnsi="Times New Roman" w:eastAsia="宋体" w:cs="Times New Roman"/>
                <w:b/>
                <w:bCs/>
                <w:szCs w:val="21"/>
              </w:rPr>
              <w:t xml:space="preserve">  生产工艺流程图</w:t>
            </w:r>
          </w:p>
          <w:p>
            <w:pPr>
              <w:spacing w:line="360" w:lineRule="auto"/>
              <w:ind w:firstLine="482" w:firstLineChars="200"/>
              <w:rPr>
                <w:rFonts w:ascii="Times New Roman" w:hAnsi="Times New Roman" w:eastAsia="宋体" w:cs="Times New Roman"/>
                <w:b/>
                <w:sz w:val="24"/>
                <w:szCs w:val="20"/>
              </w:rPr>
            </w:pPr>
            <w:r>
              <w:rPr>
                <w:rFonts w:ascii="Times New Roman" w:hAnsi="Times New Roman" w:eastAsia="宋体" w:cs="Times New Roman"/>
                <w:b/>
                <w:sz w:val="24"/>
                <w:szCs w:val="20"/>
              </w:rPr>
              <w:t>工艺流程说明：</w:t>
            </w:r>
          </w:p>
          <w:p>
            <w:pPr>
              <w:spacing w:line="360" w:lineRule="auto"/>
              <w:ind w:firstLine="482" w:firstLineChars="200"/>
              <w:rPr>
                <w:rFonts w:ascii="Times New Roman" w:hAnsi="Times New Roman" w:eastAsia="宋体" w:cs="Times New Roman"/>
                <w:snapToGrid w:val="0"/>
                <w:kern w:val="0"/>
                <w:sz w:val="24"/>
                <w:szCs w:val="24"/>
              </w:rPr>
            </w:pPr>
            <w:r>
              <w:rPr>
                <w:rFonts w:ascii="Times New Roman" w:hAnsi="Times New Roman" w:eastAsia="宋体" w:cs="Times New Roman"/>
                <w:b/>
                <w:snapToGrid w:val="0"/>
                <w:kern w:val="0"/>
                <w:sz w:val="24"/>
                <w:szCs w:val="24"/>
              </w:rPr>
              <w:t>下料：</w:t>
            </w:r>
            <w:r>
              <w:rPr>
                <w:rFonts w:ascii="Times New Roman" w:hAnsi="Times New Roman" w:eastAsia="宋体" w:cs="Times New Roman"/>
                <w:snapToGrid w:val="0"/>
                <w:kern w:val="0"/>
                <w:sz w:val="24"/>
                <w:szCs w:val="24"/>
              </w:rPr>
              <w:t>根据产品设计要求，部分原料需要使用冲床、铝切机下料，锯床下料过程中，</w:t>
            </w:r>
            <w:r>
              <w:rPr>
                <w:rFonts w:ascii="Times New Roman" w:hAnsi="Times New Roman" w:eastAsia="宋体" w:cs="Times New Roman"/>
                <w:sz w:val="24"/>
                <w:szCs w:val="20"/>
              </w:rPr>
              <w:t>会产生</w:t>
            </w:r>
            <w:r>
              <w:rPr>
                <w:rFonts w:ascii="Times New Roman" w:hAnsi="Times New Roman" w:eastAsia="宋体" w:cs="Times New Roman"/>
                <w:snapToGrid w:val="0"/>
                <w:kern w:val="0"/>
                <w:sz w:val="24"/>
                <w:szCs w:val="24"/>
              </w:rPr>
              <w:t>金属边角料（S1）、噪声(N1)。</w:t>
            </w:r>
          </w:p>
          <w:p>
            <w:pPr>
              <w:spacing w:line="360" w:lineRule="auto"/>
              <w:ind w:firstLine="482" w:firstLineChars="200"/>
              <w:rPr>
                <w:rFonts w:ascii="Times New Roman" w:hAnsi="Times New Roman" w:eastAsia="宋体" w:cs="Times New Roman"/>
                <w:snapToGrid w:val="0"/>
                <w:kern w:val="0"/>
                <w:sz w:val="24"/>
                <w:szCs w:val="24"/>
              </w:rPr>
            </w:pPr>
            <w:r>
              <w:rPr>
                <w:rFonts w:ascii="Times New Roman" w:hAnsi="Times New Roman" w:eastAsia="宋体" w:cs="Times New Roman"/>
                <w:b/>
                <w:sz w:val="24"/>
                <w:szCs w:val="24"/>
              </w:rPr>
              <w:t>打孔：</w:t>
            </w:r>
            <w:r>
              <w:rPr>
                <w:rFonts w:ascii="Times New Roman" w:hAnsi="Times New Roman" w:eastAsia="宋体" w:cs="Times New Roman"/>
                <w:bCs/>
                <w:sz w:val="24"/>
                <w:szCs w:val="24"/>
              </w:rPr>
              <w:t>根据产品设计，将下料好的材料分别利用台钻等设备进行打工加工</w:t>
            </w:r>
            <w:r>
              <w:rPr>
                <w:rFonts w:ascii="Times New Roman" w:hAnsi="Times New Roman" w:eastAsia="宋体" w:cs="Times New Roman"/>
                <w:sz w:val="24"/>
                <w:szCs w:val="24"/>
              </w:rPr>
              <w:t>，作业过程中</w:t>
            </w:r>
            <w:r>
              <w:rPr>
                <w:rFonts w:ascii="Times New Roman" w:hAnsi="Times New Roman" w:eastAsia="宋体" w:cs="Times New Roman"/>
                <w:sz w:val="24"/>
                <w:szCs w:val="20"/>
              </w:rPr>
              <w:t>会产生</w:t>
            </w:r>
            <w:r>
              <w:rPr>
                <w:rFonts w:ascii="Times New Roman" w:hAnsi="Times New Roman" w:eastAsia="宋体" w:cs="Times New Roman"/>
                <w:snapToGrid w:val="0"/>
                <w:kern w:val="0"/>
                <w:sz w:val="24"/>
                <w:szCs w:val="24"/>
              </w:rPr>
              <w:t>金属边角料（S2）、噪声(N2)。</w:t>
            </w:r>
          </w:p>
          <w:p>
            <w:pPr>
              <w:spacing w:line="360" w:lineRule="auto"/>
              <w:ind w:firstLine="482" w:firstLineChars="200"/>
              <w:rPr>
                <w:rFonts w:ascii="Times New Roman" w:hAnsi="Times New Roman" w:eastAsia="宋体" w:cs="Times New Roman"/>
                <w:snapToGrid w:val="0"/>
                <w:kern w:val="0"/>
                <w:sz w:val="24"/>
                <w:szCs w:val="24"/>
              </w:rPr>
            </w:pPr>
            <w:r>
              <w:rPr>
                <w:rFonts w:ascii="Times New Roman" w:hAnsi="Times New Roman" w:eastAsia="宋体" w:cs="Times New Roman"/>
                <w:b/>
                <w:snapToGrid w:val="0"/>
                <w:kern w:val="0"/>
                <w:sz w:val="24"/>
                <w:szCs w:val="24"/>
              </w:rPr>
              <w:t>研磨：</w:t>
            </w:r>
            <w:r>
              <w:rPr>
                <w:rFonts w:ascii="Times New Roman" w:hAnsi="Times New Roman" w:eastAsia="宋体" w:cs="Times New Roman"/>
                <w:snapToGrid w:val="0"/>
                <w:kern w:val="0"/>
                <w:sz w:val="24"/>
                <w:szCs w:val="24"/>
              </w:rPr>
              <w:t>下料后的材料利用研磨进行表面处理，研磨过程中会产生一定的噪声N3</w:t>
            </w:r>
          </w:p>
          <w:p>
            <w:pPr>
              <w:spacing w:line="360" w:lineRule="auto"/>
              <w:ind w:firstLine="482" w:firstLineChars="200"/>
              <w:jc w:val="left"/>
              <w:rPr>
                <w:rFonts w:ascii="Times New Roman" w:hAnsi="Times New Roman" w:eastAsia="宋体" w:cs="Times New Roman"/>
                <w:sz w:val="24"/>
                <w:szCs w:val="20"/>
              </w:rPr>
            </w:pPr>
            <w:r>
              <w:rPr>
                <w:rFonts w:ascii="Times New Roman" w:hAnsi="Times New Roman" w:eastAsia="宋体" w:cs="Times New Roman"/>
                <w:b/>
                <w:sz w:val="24"/>
                <w:szCs w:val="20"/>
              </w:rPr>
              <w:t>激光刻字：</w:t>
            </w:r>
            <w:r>
              <w:rPr>
                <w:rFonts w:ascii="Times New Roman" w:hAnsi="Times New Roman" w:eastAsia="宋体" w:cs="Times New Roman"/>
                <w:sz w:val="24"/>
                <w:szCs w:val="20"/>
              </w:rPr>
              <w:t>少部分工件需要利用激光标刻机在工件上进行雕刻标识，激光雕刻过程中会产生少量的烟尘（G1）。</w:t>
            </w:r>
          </w:p>
          <w:p>
            <w:pPr>
              <w:spacing w:line="360" w:lineRule="auto"/>
              <w:ind w:firstLine="480" w:firstLineChars="200"/>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2、扩展机构、升降床、升顶、大扩展、抽拉机构支腿生产工艺流程</w:t>
            </w:r>
          </w:p>
          <w:p>
            <w:pPr>
              <w:spacing w:line="360" w:lineRule="auto"/>
              <w:ind w:firstLine="420" w:firstLineChars="200"/>
              <w:rPr>
                <w:rFonts w:ascii="Times New Roman" w:hAnsi="Times New Roman" w:cs="Times New Roman"/>
              </w:rPr>
            </w:pPr>
            <w:r>
              <w:rPr>
                <w:rFonts w:ascii="Times New Roman" w:hAnsi="Times New Roman" w:cs="Times New Roman"/>
              </w:rPr>
              <w:object>
                <v:shape id="_x0000_i1026" o:spt="75" type="#_x0000_t75" style="height:169.65pt;width:358.55pt;" o:ole="t" filled="f" o:preferrelative="t" stroked="f" coordsize="21600,21600">
                  <v:path/>
                  <v:fill on="f" focussize="0,0"/>
                  <v:stroke on="f" joinstyle="miter"/>
                  <v:imagedata r:id="rId11" o:title=""/>
                  <o:lock v:ext="edit" aspectratio="t"/>
                  <w10:wrap type="none"/>
                  <w10:anchorlock/>
                </v:shape>
                <o:OLEObject Type="Embed" ProgID="Visio.Drawing.11" ShapeID="_x0000_i1026" DrawAspect="Content" ObjectID="_1468075726" r:id="rId10">
                  <o:LockedField>false</o:LockedField>
                </o:OLEObject>
              </w:object>
            </w:r>
          </w:p>
          <w:p>
            <w:pPr>
              <w:spacing w:line="360" w:lineRule="auto"/>
              <w:ind w:firstLine="420" w:firstLineChars="200"/>
              <w:jc w:val="center"/>
              <w:rPr>
                <w:rFonts w:ascii="Times New Roman" w:hAnsi="Times New Roman" w:eastAsia="宋体" w:cs="Times New Roman"/>
                <w:snapToGrid w:val="0"/>
                <w:color w:val="FF0000"/>
                <w:kern w:val="0"/>
                <w:sz w:val="24"/>
                <w:szCs w:val="24"/>
              </w:rPr>
            </w:pPr>
            <w:r>
              <w:rPr>
                <w:rFonts w:ascii="Times New Roman" w:hAnsi="Times New Roman" w:cs="Times New Roman"/>
              </w:rPr>
              <w:t>图5-2  生工艺流程图</w:t>
            </w:r>
          </w:p>
          <w:p>
            <w:pPr>
              <w:spacing w:line="360" w:lineRule="auto"/>
              <w:ind w:firstLine="482" w:firstLineChars="200"/>
              <w:rPr>
                <w:rFonts w:ascii="Times New Roman" w:hAnsi="Times New Roman" w:eastAsia="宋体" w:cs="Times New Roman"/>
                <w:b/>
                <w:snapToGrid w:val="0"/>
                <w:kern w:val="0"/>
                <w:sz w:val="24"/>
                <w:szCs w:val="24"/>
              </w:rPr>
            </w:pPr>
            <w:r>
              <w:rPr>
                <w:rFonts w:ascii="Times New Roman" w:hAnsi="Times New Roman" w:eastAsia="宋体" w:cs="Times New Roman"/>
                <w:b/>
                <w:snapToGrid w:val="0"/>
                <w:kern w:val="0"/>
                <w:sz w:val="24"/>
                <w:szCs w:val="24"/>
              </w:rPr>
              <w:t>工艺流程简述：</w:t>
            </w:r>
          </w:p>
          <w:p>
            <w:pPr>
              <w:spacing w:line="360" w:lineRule="auto"/>
              <w:ind w:firstLine="482" w:firstLineChars="200"/>
              <w:rPr>
                <w:rFonts w:ascii="Times New Roman" w:hAnsi="Times New Roman" w:eastAsia="宋体" w:cs="Times New Roman"/>
                <w:snapToGrid w:val="0"/>
                <w:kern w:val="0"/>
                <w:sz w:val="24"/>
                <w:szCs w:val="24"/>
              </w:rPr>
            </w:pPr>
            <w:r>
              <w:rPr>
                <w:rFonts w:ascii="Times New Roman" w:hAnsi="Times New Roman" w:eastAsia="宋体" w:cs="Times New Roman"/>
                <w:b/>
                <w:snapToGrid w:val="0"/>
                <w:kern w:val="0"/>
                <w:sz w:val="24"/>
                <w:szCs w:val="24"/>
              </w:rPr>
              <w:t>下料：</w:t>
            </w:r>
            <w:r>
              <w:rPr>
                <w:rFonts w:ascii="Times New Roman" w:hAnsi="Times New Roman" w:eastAsia="宋体" w:cs="Times New Roman"/>
                <w:snapToGrid w:val="0"/>
                <w:kern w:val="0"/>
                <w:sz w:val="24"/>
                <w:szCs w:val="24"/>
              </w:rPr>
              <w:t>根据产品设计要求，部分原料需要使用冲床、铝切机下料，锯床下料过程中，</w:t>
            </w:r>
            <w:r>
              <w:rPr>
                <w:rFonts w:ascii="Times New Roman" w:hAnsi="Times New Roman" w:eastAsia="宋体" w:cs="Times New Roman"/>
                <w:sz w:val="24"/>
                <w:szCs w:val="20"/>
              </w:rPr>
              <w:t>会产生</w:t>
            </w:r>
            <w:r>
              <w:rPr>
                <w:rFonts w:ascii="Times New Roman" w:hAnsi="Times New Roman" w:eastAsia="宋体" w:cs="Times New Roman"/>
                <w:snapToGrid w:val="0"/>
                <w:kern w:val="0"/>
                <w:sz w:val="24"/>
                <w:szCs w:val="24"/>
              </w:rPr>
              <w:t>金属边角料（S3）。</w:t>
            </w:r>
          </w:p>
          <w:p>
            <w:pPr>
              <w:spacing w:line="360" w:lineRule="auto"/>
              <w:ind w:firstLine="482" w:firstLineChars="200"/>
              <w:rPr>
                <w:rFonts w:ascii="Times New Roman" w:hAnsi="Times New Roman" w:eastAsia="宋体" w:cs="Times New Roman"/>
                <w:snapToGrid w:val="0"/>
                <w:kern w:val="0"/>
                <w:sz w:val="24"/>
                <w:szCs w:val="24"/>
              </w:rPr>
            </w:pPr>
            <w:r>
              <w:rPr>
                <w:rFonts w:ascii="Times New Roman" w:hAnsi="Times New Roman" w:eastAsia="宋体" w:cs="Times New Roman"/>
                <w:b/>
                <w:snapToGrid w:val="0"/>
                <w:kern w:val="0"/>
                <w:sz w:val="24"/>
                <w:szCs w:val="24"/>
              </w:rPr>
              <w:t>打孔：</w:t>
            </w:r>
            <w:r>
              <w:rPr>
                <w:rFonts w:ascii="Times New Roman" w:hAnsi="Times New Roman" w:eastAsia="宋体" w:cs="Times New Roman"/>
                <w:snapToGrid w:val="0"/>
                <w:kern w:val="0"/>
                <w:sz w:val="24"/>
                <w:szCs w:val="24"/>
              </w:rPr>
              <w:t>研磨后的金属材料利用台钻等机械设备进行打孔加工，打孔过程中会产生少量的金属边角料（S4）。</w:t>
            </w:r>
          </w:p>
          <w:p>
            <w:pPr>
              <w:spacing w:line="360" w:lineRule="auto"/>
              <w:ind w:firstLine="482" w:firstLineChars="200"/>
              <w:rPr>
                <w:rFonts w:ascii="Times New Roman" w:hAnsi="Times New Roman" w:eastAsia="宋体" w:cs="Times New Roman"/>
                <w:b/>
                <w:snapToGrid w:val="0"/>
                <w:kern w:val="0"/>
                <w:sz w:val="24"/>
                <w:szCs w:val="24"/>
              </w:rPr>
            </w:pPr>
            <w:r>
              <w:rPr>
                <w:rFonts w:ascii="Times New Roman" w:hAnsi="Times New Roman" w:eastAsia="宋体" w:cs="Times New Roman"/>
                <w:b/>
                <w:snapToGrid w:val="0"/>
                <w:kern w:val="0"/>
                <w:sz w:val="24"/>
                <w:szCs w:val="24"/>
              </w:rPr>
              <w:t>机加工：</w:t>
            </w:r>
            <w:r>
              <w:rPr>
                <w:rFonts w:ascii="Times New Roman" w:hAnsi="Times New Roman" w:eastAsia="宋体" w:cs="Times New Roman"/>
                <w:snapToGrid w:val="0"/>
                <w:kern w:val="0"/>
                <w:sz w:val="24"/>
                <w:szCs w:val="24"/>
              </w:rPr>
              <w:t>打孔后的工件，利用铣床、数控机床等机械加工设备进行加工，加工过程中国会产生少量的金属边角料(S5)。</w:t>
            </w:r>
          </w:p>
          <w:p>
            <w:pPr>
              <w:spacing w:line="360" w:lineRule="auto"/>
              <w:ind w:firstLine="482" w:firstLineChars="200"/>
              <w:jc w:val="left"/>
              <w:rPr>
                <w:rFonts w:ascii="Times New Roman" w:hAnsi="Times New Roman" w:eastAsia="宋体" w:cs="Times New Roman"/>
                <w:b/>
                <w:sz w:val="24"/>
                <w:szCs w:val="20"/>
              </w:rPr>
            </w:pPr>
            <w:r>
              <w:rPr>
                <w:rFonts w:ascii="Times New Roman" w:hAnsi="Times New Roman" w:eastAsia="宋体" w:cs="Times New Roman"/>
                <w:b/>
                <w:sz w:val="24"/>
                <w:szCs w:val="20"/>
              </w:rPr>
              <w:t>CNC加工：</w:t>
            </w:r>
            <w:r>
              <w:rPr>
                <w:rFonts w:ascii="Times New Roman" w:hAnsi="Times New Roman" w:eastAsia="宋体" w:cs="Times New Roman"/>
                <w:sz w:val="24"/>
                <w:szCs w:val="20"/>
              </w:rPr>
              <w:t>部分工件需要利用CNC进行精加工，CNC加工中心加工过程中需要利用兑水切削液进行刀具冷却，在CNC加工过程中会产生一定的金属边角料（S6）、废切削液（S7）、废包装容器（S8）及切削液冷却刀具时受热挥发产生的非甲烷总烃（G2）。</w:t>
            </w:r>
          </w:p>
          <w:p>
            <w:pPr>
              <w:spacing w:line="360" w:lineRule="auto"/>
              <w:ind w:firstLine="482" w:firstLineChars="200"/>
              <w:jc w:val="left"/>
              <w:rPr>
                <w:rFonts w:ascii="Times New Roman" w:hAnsi="Times New Roman" w:eastAsia="宋体" w:cs="Times New Roman"/>
                <w:sz w:val="24"/>
                <w:szCs w:val="20"/>
              </w:rPr>
            </w:pPr>
            <w:r>
              <w:rPr>
                <w:rFonts w:ascii="Times New Roman" w:hAnsi="Times New Roman" w:eastAsia="宋体" w:cs="Times New Roman"/>
                <w:b/>
                <w:sz w:val="24"/>
                <w:szCs w:val="20"/>
              </w:rPr>
              <w:t>检验：</w:t>
            </w:r>
            <w:r>
              <w:rPr>
                <w:rFonts w:ascii="Times New Roman" w:hAnsi="Times New Roman" w:eastAsia="宋体" w:cs="Times New Roman"/>
                <w:bCs/>
                <w:sz w:val="24"/>
                <w:szCs w:val="20"/>
              </w:rPr>
              <w:t>CNC加工中心加工好的部件进行检验，利用各种检验仪器进行外观及各项物理指标的检验，检验过程中会产生少量的不合格品（S9）</w:t>
            </w:r>
            <w:r>
              <w:rPr>
                <w:rFonts w:ascii="Times New Roman" w:hAnsi="Times New Roman" w:eastAsia="宋体" w:cs="Times New Roman"/>
                <w:sz w:val="24"/>
                <w:szCs w:val="20"/>
              </w:rPr>
              <w:t>。</w:t>
            </w:r>
          </w:p>
          <w:p>
            <w:pPr>
              <w:spacing w:line="360" w:lineRule="auto"/>
              <w:ind w:firstLine="482" w:firstLineChars="200"/>
              <w:jc w:val="left"/>
              <w:rPr>
                <w:rFonts w:ascii="Times New Roman" w:hAnsi="Times New Roman" w:eastAsia="宋体" w:cs="Times New Roman"/>
                <w:sz w:val="24"/>
                <w:szCs w:val="20"/>
              </w:rPr>
            </w:pPr>
            <w:r>
              <w:rPr>
                <w:rFonts w:ascii="Times New Roman" w:hAnsi="Times New Roman" w:eastAsia="宋体" w:cs="Times New Roman"/>
                <w:b/>
                <w:sz w:val="24"/>
                <w:szCs w:val="20"/>
              </w:rPr>
              <w:t>电镀委外：</w:t>
            </w:r>
            <w:r>
              <w:rPr>
                <w:rFonts w:ascii="Times New Roman" w:hAnsi="Times New Roman" w:eastAsia="宋体" w:cs="Times New Roman"/>
                <w:sz w:val="24"/>
                <w:szCs w:val="20"/>
              </w:rPr>
              <w:t>部分需要电镀的工件，委外处理。</w:t>
            </w:r>
          </w:p>
          <w:p>
            <w:pPr>
              <w:spacing w:line="360" w:lineRule="auto"/>
              <w:ind w:firstLine="482" w:firstLineChars="200"/>
              <w:rPr>
                <w:rFonts w:ascii="Times New Roman" w:hAnsi="Times New Roman" w:eastAsia="宋体" w:cs="Times New Roman"/>
                <w:snapToGrid w:val="0"/>
                <w:kern w:val="0"/>
                <w:sz w:val="24"/>
                <w:szCs w:val="24"/>
              </w:rPr>
            </w:pPr>
            <w:r>
              <w:rPr>
                <w:rFonts w:ascii="Times New Roman" w:hAnsi="Times New Roman" w:eastAsia="宋体" w:cs="Times New Roman"/>
                <w:b/>
                <w:sz w:val="24"/>
                <w:szCs w:val="20"/>
              </w:rPr>
              <w:t>装配：</w:t>
            </w:r>
            <w:r>
              <w:rPr>
                <w:rFonts w:ascii="Times New Roman" w:hAnsi="Times New Roman" w:eastAsia="宋体" w:cs="Times New Roman"/>
                <w:sz w:val="24"/>
                <w:szCs w:val="20"/>
              </w:rPr>
              <w:t>加工完成对的零部件，及委外电镀完成的零部件，利用人工进行装配，装配完成后的机械包装出货。</w:t>
            </w:r>
            <w:r>
              <w:rPr>
                <w:rFonts w:ascii="Times New Roman" w:hAnsi="Times New Roman" w:eastAsia="宋体" w:cs="Times New Roman"/>
                <w:snapToGrid w:val="0"/>
                <w:kern w:val="0"/>
                <w:sz w:val="24"/>
                <w:szCs w:val="24"/>
              </w:rPr>
              <w:t>部分需要利用焊接机进行焊接成型，焊接过程中会产生少量的焊接烟尘(G1)。</w:t>
            </w:r>
          </w:p>
          <w:p>
            <w:pPr>
              <w:spacing w:line="360" w:lineRule="auto"/>
              <w:ind w:firstLine="482" w:firstLineChars="200"/>
              <w:jc w:val="left"/>
              <w:rPr>
                <w:rFonts w:ascii="Times New Roman" w:hAnsi="Times New Roman" w:eastAsia="宋体" w:cs="Times New Roman"/>
                <w:b/>
                <w:sz w:val="24"/>
                <w:szCs w:val="20"/>
              </w:rPr>
            </w:pPr>
            <w:r>
              <w:rPr>
                <w:rFonts w:ascii="Times New Roman" w:hAnsi="Times New Roman" w:eastAsia="宋体" w:cs="Times New Roman"/>
                <w:b/>
                <w:sz w:val="24"/>
                <w:szCs w:val="20"/>
              </w:rPr>
              <w:t>辅助工艺：</w:t>
            </w:r>
          </w:p>
          <w:p>
            <w:pPr>
              <w:spacing w:line="360" w:lineRule="auto"/>
              <w:ind w:firstLine="480" w:firstLineChars="200"/>
              <w:jc w:val="left"/>
              <w:rPr>
                <w:rFonts w:ascii="Times New Roman" w:hAnsi="Times New Roman" w:eastAsia="宋体" w:cs="Times New Roman"/>
                <w:sz w:val="24"/>
                <w:szCs w:val="20"/>
              </w:rPr>
            </w:pPr>
            <w:r>
              <w:rPr>
                <w:rFonts w:ascii="Times New Roman" w:hAnsi="Times New Roman" w:eastAsia="宋体" w:cs="Times New Roman"/>
                <w:sz w:val="24"/>
                <w:szCs w:val="20"/>
              </w:rPr>
              <w:t>刀具研磨：利用铣刀研磨机对使用后的刀具进行打磨。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1" w:hRule="atLeast"/>
          <w:jc w:val="center"/>
        </w:trPr>
        <w:tc>
          <w:tcPr>
            <w:tcW w:w="5000" w:type="pct"/>
          </w:tcPr>
          <w:p>
            <w:pPr>
              <w:spacing w:line="360" w:lineRule="auto"/>
              <w:rPr>
                <w:rFonts w:ascii="Times New Roman" w:hAnsi="Times New Roman" w:eastAsia="宋体" w:cs="Times New Roman"/>
                <w:b/>
                <w:sz w:val="24"/>
                <w:szCs w:val="20"/>
              </w:rPr>
            </w:pPr>
            <w:r>
              <w:rPr>
                <w:rFonts w:ascii="Times New Roman" w:hAnsi="Times New Roman" w:eastAsia="宋体" w:cs="Times New Roman"/>
                <w:b/>
                <w:sz w:val="24"/>
                <w:szCs w:val="20"/>
              </w:rPr>
              <w:t>主要污染工序：</w:t>
            </w:r>
          </w:p>
          <w:p>
            <w:pPr>
              <w:spacing w:line="360" w:lineRule="auto"/>
              <w:rPr>
                <w:rFonts w:ascii="Times New Roman" w:hAnsi="Times New Roman" w:eastAsia="宋体" w:cs="Times New Roman"/>
                <w:b/>
                <w:sz w:val="24"/>
                <w:szCs w:val="20"/>
              </w:rPr>
            </w:pPr>
            <w:r>
              <w:rPr>
                <w:rFonts w:ascii="Times New Roman" w:hAnsi="Times New Roman" w:eastAsia="宋体" w:cs="Times New Roman"/>
                <w:b/>
                <w:sz w:val="24"/>
                <w:szCs w:val="20"/>
              </w:rPr>
              <w:t>1、废气</w:t>
            </w:r>
          </w:p>
          <w:p>
            <w:pPr>
              <w:spacing w:line="360" w:lineRule="auto"/>
              <w:rPr>
                <w:rFonts w:ascii="Times New Roman" w:hAnsi="Times New Roman" w:eastAsia="宋体" w:cs="Times New Roman"/>
                <w:b/>
                <w:sz w:val="24"/>
                <w:szCs w:val="20"/>
              </w:rPr>
            </w:pPr>
            <w:r>
              <w:rPr>
                <w:rFonts w:ascii="Times New Roman" w:hAnsi="Times New Roman" w:eastAsia="宋体" w:cs="Times New Roman"/>
                <w:b/>
                <w:sz w:val="24"/>
                <w:szCs w:val="20"/>
              </w:rPr>
              <w:t>无组织废气：</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焊接烟尘（G1）：焊机利用焊丝进行焊接过程中产生的焊接烟尘，参照《焊接作业的劳动保护》，气体保护焊接中实心焊丝发烟量为6.5-8g/kg焊丝，本项目使用的焊丝量为0.2t/a，焊接过程中产生的焊接烟尘按8g/kg焊丝算，则焊接烟尘产生量为0.0016t/a。此部分烟尘产生量较小，车间内通风后无组织排放。</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机加工废气（G2）：</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使用切削液，使用过程中产生非甲烷总烃，类比同行业可知，非甲烷总烃产生量约为切削液使用量的:2%，本次项目切削液使用量为0.18t/a、非甲烷总烃产生量约为0.0036t/a，此部分非甲烷总烃车间内无组织排放。</w:t>
            </w:r>
          </w:p>
          <w:p>
            <w:pPr>
              <w:spacing w:line="360" w:lineRule="auto"/>
              <w:ind w:firstLine="482" w:firstLineChars="200"/>
              <w:rPr>
                <w:rFonts w:ascii="Times New Roman" w:hAnsi="Times New Roman" w:eastAsia="宋体" w:cs="Times New Roman"/>
                <w:sz w:val="24"/>
                <w:szCs w:val="20"/>
              </w:rPr>
            </w:pPr>
            <w:r>
              <w:rPr>
                <w:rFonts w:ascii="Times New Roman" w:hAnsi="Times New Roman" w:eastAsia="宋体" w:cs="Times New Roman"/>
                <w:b/>
                <w:sz w:val="24"/>
                <w:szCs w:val="20"/>
              </w:rPr>
              <w:t>激光刻字（G3）：</w:t>
            </w:r>
            <w:r>
              <w:rPr>
                <w:rFonts w:ascii="Times New Roman" w:hAnsi="Times New Roman" w:eastAsia="宋体" w:cs="Times New Roman"/>
                <w:sz w:val="24"/>
                <w:szCs w:val="20"/>
              </w:rPr>
              <w:t>根据企业设计的logo及商标面积及雕刻深度的计算，每件工件（50000件）预计需要雕刻去除0.5g表面金属，假设雕刻去除的表面金属全部成为废气污染物颗粒物，则本项目预计产生的颗粒物的量为0.025t/a，本项目激光雕刻设备均为密闭作业，作业过程中产生的颗粒物经设备内部负压风管收集，收集效率为100%，此部分颗粒物经过滤处理后车间无组织排放，处理效率为90%，颗粒物排放量为0.0025t/a。</w:t>
            </w:r>
          </w:p>
          <w:p>
            <w:pPr>
              <w:spacing w:line="360" w:lineRule="auto"/>
              <w:ind w:firstLine="480" w:firstLineChars="200"/>
              <w:rPr>
                <w:rFonts w:ascii="Times New Roman" w:hAnsi="Times New Roman" w:eastAsia="宋体" w:cs="Times New Roman"/>
                <w:b/>
                <w:bCs/>
                <w:szCs w:val="21"/>
              </w:rPr>
            </w:pPr>
            <w:r>
              <w:rPr>
                <w:rFonts w:ascii="Times New Roman" w:hAnsi="Times New Roman" w:eastAsia="宋体" w:cs="Times New Roman"/>
                <w:sz w:val="24"/>
                <w:szCs w:val="20"/>
              </w:rPr>
              <w:t>本项目废气产生及排放情况见表5-1。</w:t>
            </w:r>
          </w:p>
          <w:p>
            <w:pPr>
              <w:spacing w:line="440" w:lineRule="exact"/>
              <w:ind w:firstLine="422" w:firstLineChars="200"/>
              <w:jc w:val="center"/>
              <w:rPr>
                <w:rFonts w:ascii="Times New Roman" w:hAnsi="Times New Roman" w:cs="Times New Roman"/>
                <w:b/>
              </w:rPr>
            </w:pPr>
            <w:r>
              <w:rPr>
                <w:rFonts w:ascii="Times New Roman" w:hAnsi="Times New Roman" w:cs="Times New Roman"/>
                <w:b/>
              </w:rPr>
              <w:t>表5-1  本项目无组织废气产排情况表</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350"/>
              <w:gridCol w:w="1863"/>
              <w:gridCol w:w="1542"/>
              <w:gridCol w:w="1446"/>
              <w:gridCol w:w="1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污染源位置</w:t>
                  </w:r>
                </w:p>
              </w:tc>
              <w:tc>
                <w:tcPr>
                  <w:tcW w:w="745"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污染物名称</w:t>
                  </w:r>
                </w:p>
              </w:tc>
              <w:tc>
                <w:tcPr>
                  <w:tcW w:w="1028"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污染物排放量t/a</w:t>
                  </w:r>
                </w:p>
              </w:tc>
              <w:tc>
                <w:tcPr>
                  <w:tcW w:w="851"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面源长度，m</w:t>
                  </w:r>
                </w:p>
              </w:tc>
              <w:tc>
                <w:tcPr>
                  <w:tcW w:w="798"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面源宽度，m</w:t>
                  </w:r>
                </w:p>
              </w:tc>
              <w:tc>
                <w:tcPr>
                  <w:tcW w:w="798"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面源高度，m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pct"/>
                  <w:vMerge w:val="restar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生产车间</w:t>
                  </w:r>
                </w:p>
              </w:tc>
              <w:tc>
                <w:tcPr>
                  <w:tcW w:w="745"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非甲烷总烃</w:t>
                  </w:r>
                </w:p>
              </w:tc>
              <w:tc>
                <w:tcPr>
                  <w:tcW w:w="1028"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0.0036</w:t>
                  </w:r>
                </w:p>
              </w:tc>
              <w:tc>
                <w:tcPr>
                  <w:tcW w:w="851"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17</w:t>
                  </w:r>
                </w:p>
              </w:tc>
              <w:tc>
                <w:tcPr>
                  <w:tcW w:w="798"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60</w:t>
                  </w:r>
                </w:p>
              </w:tc>
              <w:tc>
                <w:tcPr>
                  <w:tcW w:w="798"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pct"/>
                  <w:vMerge w:val="continue"/>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p>
              </w:tc>
              <w:tc>
                <w:tcPr>
                  <w:tcW w:w="745"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颗粒物</w:t>
                  </w:r>
                </w:p>
              </w:tc>
              <w:tc>
                <w:tcPr>
                  <w:tcW w:w="1028"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0.0041</w:t>
                  </w:r>
                </w:p>
              </w:tc>
              <w:tc>
                <w:tcPr>
                  <w:tcW w:w="851"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17</w:t>
                  </w:r>
                </w:p>
              </w:tc>
              <w:tc>
                <w:tcPr>
                  <w:tcW w:w="798"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60</w:t>
                  </w:r>
                </w:p>
              </w:tc>
              <w:tc>
                <w:tcPr>
                  <w:tcW w:w="798" w:type="pct"/>
                  <w:shd w:val="clear" w:color="auto" w:fill="auto"/>
                  <w:vAlign w:val="center"/>
                </w:tcPr>
                <w:p>
                  <w:pPr>
                    <w:tabs>
                      <w:tab w:val="left" w:pos="2928"/>
                      <w:tab w:val="left" w:pos="2975"/>
                      <w:tab w:val="left" w:pos="3400"/>
                      <w:tab w:val="left" w:pos="4864"/>
                      <w:tab w:val="left" w:pos="5838"/>
                      <w:tab w:val="left" w:pos="5950"/>
                      <w:tab w:val="left" w:pos="6656"/>
                    </w:tabs>
                    <w:jc w:val="center"/>
                    <w:rPr>
                      <w:rFonts w:ascii="Times New Roman" w:hAnsi="Times New Roman" w:cs="Times New Roman"/>
                    </w:rPr>
                  </w:pPr>
                  <w:r>
                    <w:rPr>
                      <w:rFonts w:ascii="Times New Roman" w:hAnsi="Times New Roman" w:cs="Times New Roman"/>
                    </w:rPr>
                    <w:t>8</w:t>
                  </w:r>
                </w:p>
              </w:tc>
            </w:tr>
          </w:tbl>
          <w:p>
            <w:pPr>
              <w:spacing w:line="440" w:lineRule="exact"/>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2、废水</w:t>
            </w:r>
          </w:p>
          <w:p>
            <w:pPr>
              <w:spacing w:line="440" w:lineRule="exact"/>
              <w:ind w:firstLine="482" w:firstLineChars="200"/>
              <w:rPr>
                <w:rFonts w:ascii="Times New Roman" w:hAnsi="Times New Roman" w:eastAsia="宋体" w:cs="Times New Roman"/>
                <w:sz w:val="24"/>
                <w:szCs w:val="24"/>
              </w:rPr>
            </w:pPr>
            <w:r>
              <w:rPr>
                <w:rFonts w:ascii="Times New Roman" w:hAnsi="Times New Roman" w:eastAsia="宋体" w:cs="Times New Roman"/>
                <w:b/>
                <w:sz w:val="24"/>
                <w:szCs w:val="24"/>
              </w:rPr>
              <w:t>生活污水：</w:t>
            </w:r>
            <w:r>
              <w:rPr>
                <w:rFonts w:ascii="Times New Roman" w:hAnsi="Times New Roman" w:eastAsia="宋体" w:cs="Times New Roman"/>
                <w:sz w:val="24"/>
                <w:szCs w:val="24"/>
              </w:rPr>
              <w:t>本次项目预计新增员工32人，根据《建筑给水排水设计规范》（GB50015-2009），日常非食堂用水及冲厕用水量按车间工人生活用水定额30L-50L/(每人•每天)进行估算，本项目以100L/(每人•每天)计，则生活总用水量约为800t/a，排水量以总用水量80%计，产生废水量约640t/a。废水中污染物主要为COD、SS、NH3-N、TP，初始浓度分别为：COD 400mg/L、SS 250mg/L、NH3-N 30mg/L、TP 4mg/L，产生量见表5-3。</w:t>
            </w:r>
          </w:p>
          <w:p>
            <w:pPr>
              <w:spacing w:line="520" w:lineRule="exact"/>
              <w:ind w:firstLine="422" w:firstLineChars="200"/>
              <w:jc w:val="center"/>
              <w:rPr>
                <w:rFonts w:ascii="Times New Roman" w:hAnsi="Times New Roman" w:eastAsia="宋体" w:cs="Times New Roman"/>
                <w:b/>
                <w:szCs w:val="21"/>
              </w:rPr>
            </w:pPr>
            <w:r>
              <w:rPr>
                <w:rFonts w:ascii="Times New Roman" w:hAnsi="Times New Roman" w:eastAsia="宋体" w:cs="Times New Roman"/>
                <w:b/>
                <w:szCs w:val="21"/>
              </w:rPr>
              <w:t>表5-3 本项目水污染产生和排放情况</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893"/>
              <w:gridCol w:w="1102"/>
              <w:gridCol w:w="1368"/>
              <w:gridCol w:w="1096"/>
              <w:gridCol w:w="1401"/>
              <w:gridCol w:w="1343"/>
              <w:gridCol w:w="11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394" w:type="pct"/>
                  <w:vMerge w:val="restart"/>
                  <w:vAlign w:val="center"/>
                </w:tcPr>
                <w:p>
                  <w:pPr>
                    <w:jc w:val="center"/>
                    <w:rPr>
                      <w:rFonts w:ascii="Times New Roman" w:hAnsi="Times New Roman" w:cs="Times New Roman"/>
                      <w:b/>
                      <w:szCs w:val="21"/>
                    </w:rPr>
                  </w:pPr>
                  <w:r>
                    <w:rPr>
                      <w:rFonts w:ascii="Times New Roman" w:hAnsi="Times New Roman" w:cs="Times New Roman"/>
                      <w:b/>
                      <w:szCs w:val="21"/>
                    </w:rPr>
                    <w:t>污染源</w:t>
                  </w:r>
                </w:p>
              </w:tc>
              <w:tc>
                <w:tcPr>
                  <w:tcW w:w="493" w:type="pct"/>
                  <w:vMerge w:val="restart"/>
                  <w:vAlign w:val="center"/>
                </w:tcPr>
                <w:p>
                  <w:pPr>
                    <w:jc w:val="center"/>
                    <w:rPr>
                      <w:rFonts w:ascii="Times New Roman" w:hAnsi="Times New Roman" w:cs="Times New Roman"/>
                      <w:b/>
                      <w:szCs w:val="21"/>
                    </w:rPr>
                  </w:pPr>
                  <w:r>
                    <w:rPr>
                      <w:rFonts w:ascii="Times New Roman" w:hAnsi="Times New Roman" w:cs="Times New Roman"/>
                      <w:b/>
                      <w:szCs w:val="21"/>
                    </w:rPr>
                    <w:t>污水量（t/a）</w:t>
                  </w:r>
                </w:p>
              </w:tc>
              <w:tc>
                <w:tcPr>
                  <w:tcW w:w="608" w:type="pct"/>
                  <w:vMerge w:val="restart"/>
                  <w:vAlign w:val="center"/>
                </w:tcPr>
                <w:p>
                  <w:pPr>
                    <w:jc w:val="center"/>
                    <w:rPr>
                      <w:rFonts w:ascii="Times New Roman" w:hAnsi="Times New Roman" w:cs="Times New Roman"/>
                      <w:b/>
                      <w:szCs w:val="21"/>
                    </w:rPr>
                  </w:pPr>
                  <w:r>
                    <w:rPr>
                      <w:rFonts w:ascii="Times New Roman" w:hAnsi="Times New Roman" w:cs="Times New Roman"/>
                      <w:b/>
                      <w:szCs w:val="21"/>
                    </w:rPr>
                    <w:t>污染物</w:t>
                  </w:r>
                </w:p>
              </w:tc>
              <w:tc>
                <w:tcPr>
                  <w:tcW w:w="1360" w:type="pct"/>
                  <w:gridSpan w:val="2"/>
                  <w:vAlign w:val="center"/>
                </w:tcPr>
                <w:p>
                  <w:pPr>
                    <w:jc w:val="center"/>
                    <w:rPr>
                      <w:rFonts w:ascii="Times New Roman" w:hAnsi="Times New Roman" w:cs="Times New Roman"/>
                      <w:b/>
                      <w:szCs w:val="21"/>
                    </w:rPr>
                  </w:pPr>
                  <w:r>
                    <w:rPr>
                      <w:rFonts w:ascii="Times New Roman" w:hAnsi="Times New Roman" w:cs="Times New Roman"/>
                      <w:b/>
                      <w:szCs w:val="21"/>
                    </w:rPr>
                    <w:t>产生量（t/a）</w:t>
                  </w:r>
                </w:p>
              </w:tc>
              <w:tc>
                <w:tcPr>
                  <w:tcW w:w="1514" w:type="pct"/>
                  <w:gridSpan w:val="2"/>
                  <w:vAlign w:val="center"/>
                </w:tcPr>
                <w:p>
                  <w:pPr>
                    <w:jc w:val="center"/>
                    <w:rPr>
                      <w:rFonts w:ascii="Times New Roman" w:hAnsi="Times New Roman" w:cs="Times New Roman"/>
                      <w:b/>
                      <w:szCs w:val="21"/>
                    </w:rPr>
                  </w:pPr>
                  <w:r>
                    <w:rPr>
                      <w:rFonts w:ascii="Times New Roman" w:hAnsi="Times New Roman" w:cs="Times New Roman"/>
                      <w:b/>
                      <w:szCs w:val="21"/>
                    </w:rPr>
                    <w:t>排放量（t/a）</w:t>
                  </w:r>
                </w:p>
              </w:tc>
              <w:tc>
                <w:tcPr>
                  <w:tcW w:w="631" w:type="pct"/>
                  <w:vMerge w:val="restart"/>
                  <w:vAlign w:val="center"/>
                </w:tcPr>
                <w:p>
                  <w:pPr>
                    <w:jc w:val="center"/>
                    <w:rPr>
                      <w:rFonts w:ascii="Times New Roman" w:hAnsi="Times New Roman" w:cs="Times New Roman"/>
                      <w:b/>
                      <w:szCs w:val="21"/>
                    </w:rPr>
                  </w:pPr>
                  <w:r>
                    <w:rPr>
                      <w:rFonts w:ascii="Times New Roman" w:hAnsi="Times New Roman" w:cs="Times New Roman"/>
                      <w:b/>
                      <w:szCs w:val="21"/>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 w:hRule="atLeast"/>
                <w:jc w:val="center"/>
              </w:trPr>
              <w:tc>
                <w:tcPr>
                  <w:tcW w:w="394" w:type="pct"/>
                  <w:vMerge w:val="continue"/>
                  <w:vAlign w:val="center"/>
                </w:tcPr>
                <w:p>
                  <w:pPr>
                    <w:jc w:val="center"/>
                    <w:rPr>
                      <w:rFonts w:ascii="Times New Roman" w:hAnsi="Times New Roman" w:cs="Times New Roman"/>
                      <w:b/>
                      <w:szCs w:val="21"/>
                    </w:rPr>
                  </w:pPr>
                </w:p>
              </w:tc>
              <w:tc>
                <w:tcPr>
                  <w:tcW w:w="493" w:type="pct"/>
                  <w:vMerge w:val="continue"/>
                  <w:vAlign w:val="center"/>
                </w:tcPr>
                <w:p>
                  <w:pPr>
                    <w:jc w:val="center"/>
                    <w:rPr>
                      <w:rFonts w:ascii="Times New Roman" w:hAnsi="Times New Roman" w:cs="Times New Roman"/>
                      <w:b/>
                      <w:szCs w:val="21"/>
                    </w:rPr>
                  </w:pPr>
                </w:p>
              </w:tc>
              <w:tc>
                <w:tcPr>
                  <w:tcW w:w="608" w:type="pct"/>
                  <w:vMerge w:val="continue"/>
                  <w:vAlign w:val="center"/>
                </w:tcPr>
                <w:p>
                  <w:pPr>
                    <w:jc w:val="center"/>
                    <w:rPr>
                      <w:rFonts w:ascii="Times New Roman" w:hAnsi="Times New Roman" w:cs="Times New Roman"/>
                      <w:b/>
                      <w:szCs w:val="21"/>
                    </w:rPr>
                  </w:pPr>
                </w:p>
              </w:tc>
              <w:tc>
                <w:tcPr>
                  <w:tcW w:w="755" w:type="pct"/>
                  <w:vAlign w:val="center"/>
                </w:tcPr>
                <w:p>
                  <w:pPr>
                    <w:jc w:val="center"/>
                    <w:rPr>
                      <w:rFonts w:ascii="Times New Roman" w:hAnsi="Times New Roman" w:cs="Times New Roman"/>
                      <w:b/>
                      <w:szCs w:val="21"/>
                    </w:rPr>
                  </w:pPr>
                  <w:r>
                    <w:rPr>
                      <w:rFonts w:ascii="Times New Roman" w:hAnsi="Times New Roman" w:cs="Times New Roman"/>
                      <w:b/>
                      <w:szCs w:val="21"/>
                    </w:rPr>
                    <w:t>浓度（mg/L）</w:t>
                  </w:r>
                </w:p>
              </w:tc>
              <w:tc>
                <w:tcPr>
                  <w:tcW w:w="605" w:type="pct"/>
                  <w:vAlign w:val="center"/>
                </w:tcPr>
                <w:p>
                  <w:pPr>
                    <w:jc w:val="center"/>
                    <w:rPr>
                      <w:rFonts w:ascii="Times New Roman" w:hAnsi="Times New Roman" w:cs="Times New Roman"/>
                      <w:b/>
                      <w:szCs w:val="21"/>
                    </w:rPr>
                  </w:pPr>
                  <w:r>
                    <w:rPr>
                      <w:rFonts w:ascii="Times New Roman" w:hAnsi="Times New Roman" w:cs="Times New Roman"/>
                      <w:b/>
                      <w:szCs w:val="21"/>
                    </w:rPr>
                    <w:t>产生量（t/a）</w:t>
                  </w:r>
                </w:p>
              </w:tc>
              <w:tc>
                <w:tcPr>
                  <w:tcW w:w="773" w:type="pct"/>
                  <w:vAlign w:val="center"/>
                </w:tcPr>
                <w:p>
                  <w:pPr>
                    <w:jc w:val="center"/>
                    <w:rPr>
                      <w:rFonts w:ascii="Times New Roman" w:hAnsi="Times New Roman" w:cs="Times New Roman"/>
                      <w:b/>
                      <w:szCs w:val="21"/>
                    </w:rPr>
                  </w:pPr>
                  <w:r>
                    <w:rPr>
                      <w:rFonts w:ascii="Times New Roman" w:hAnsi="Times New Roman" w:cs="Times New Roman"/>
                      <w:b/>
                      <w:szCs w:val="21"/>
                    </w:rPr>
                    <w:t>浓度（mg/L）</w:t>
                  </w:r>
                </w:p>
              </w:tc>
              <w:tc>
                <w:tcPr>
                  <w:tcW w:w="741" w:type="pct"/>
                  <w:vAlign w:val="center"/>
                </w:tcPr>
                <w:p>
                  <w:pPr>
                    <w:jc w:val="center"/>
                    <w:rPr>
                      <w:rFonts w:ascii="Times New Roman" w:hAnsi="Times New Roman" w:cs="Times New Roman"/>
                      <w:b/>
                      <w:szCs w:val="21"/>
                    </w:rPr>
                  </w:pPr>
                  <w:r>
                    <w:rPr>
                      <w:rFonts w:ascii="Times New Roman" w:hAnsi="Times New Roman" w:cs="Times New Roman"/>
                      <w:b/>
                      <w:szCs w:val="21"/>
                    </w:rPr>
                    <w:t>排放量（t/a）</w:t>
                  </w:r>
                </w:p>
              </w:tc>
              <w:tc>
                <w:tcPr>
                  <w:tcW w:w="631" w:type="pct"/>
                  <w:vMerge w:val="continue"/>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394" w:type="pct"/>
                  <w:vMerge w:val="restart"/>
                  <w:vAlign w:val="center"/>
                </w:tcPr>
                <w:p>
                  <w:pPr>
                    <w:jc w:val="center"/>
                    <w:rPr>
                      <w:rFonts w:ascii="Times New Roman" w:hAnsi="Times New Roman" w:cs="Times New Roman"/>
                      <w:szCs w:val="21"/>
                    </w:rPr>
                  </w:pPr>
                  <w:r>
                    <w:rPr>
                      <w:rFonts w:ascii="Times New Roman" w:hAnsi="Times New Roman" w:cs="Times New Roman"/>
                      <w:szCs w:val="21"/>
                    </w:rPr>
                    <w:t>生活污水</w:t>
                  </w:r>
                </w:p>
              </w:tc>
              <w:tc>
                <w:tcPr>
                  <w:tcW w:w="493" w:type="pct"/>
                  <w:vMerge w:val="restart"/>
                  <w:vAlign w:val="center"/>
                </w:tcPr>
                <w:p>
                  <w:pPr>
                    <w:jc w:val="center"/>
                    <w:rPr>
                      <w:rFonts w:ascii="Times New Roman" w:hAnsi="Times New Roman" w:cs="Times New Roman"/>
                      <w:szCs w:val="21"/>
                    </w:rPr>
                  </w:pPr>
                  <w:r>
                    <w:rPr>
                      <w:rFonts w:ascii="Times New Roman" w:hAnsi="Times New Roman" w:cs="Times New Roman"/>
                      <w:szCs w:val="21"/>
                    </w:rPr>
                    <w:t>640</w:t>
                  </w:r>
                </w:p>
              </w:tc>
              <w:tc>
                <w:tcPr>
                  <w:tcW w:w="608" w:type="pct"/>
                  <w:vAlign w:val="center"/>
                </w:tcPr>
                <w:p>
                  <w:pPr>
                    <w:tabs>
                      <w:tab w:val="left" w:pos="0"/>
                    </w:tabs>
                    <w:adjustRightInd w:val="0"/>
                    <w:snapToGrid w:val="0"/>
                    <w:jc w:val="center"/>
                    <w:rPr>
                      <w:rFonts w:ascii="Times New Roman" w:hAnsi="Times New Roman" w:cs="Times New Roman"/>
                      <w:szCs w:val="21"/>
                    </w:rPr>
                  </w:pPr>
                  <w:r>
                    <w:rPr>
                      <w:rFonts w:ascii="Times New Roman" w:hAnsi="Times New Roman" w:cs="Times New Roman"/>
                      <w:szCs w:val="21"/>
                    </w:rPr>
                    <w:t>COD</w:t>
                  </w:r>
                </w:p>
              </w:tc>
              <w:tc>
                <w:tcPr>
                  <w:tcW w:w="755" w:type="pct"/>
                  <w:vAlign w:val="center"/>
                </w:tcPr>
                <w:p>
                  <w:pPr>
                    <w:jc w:val="center"/>
                    <w:rPr>
                      <w:rFonts w:ascii="Times New Roman" w:hAnsi="Times New Roman" w:cs="Times New Roman"/>
                      <w:szCs w:val="21"/>
                    </w:rPr>
                  </w:pPr>
                  <w:r>
                    <w:rPr>
                      <w:rFonts w:ascii="Times New Roman" w:hAnsi="Times New Roman" w:cs="Times New Roman"/>
                      <w:szCs w:val="21"/>
                    </w:rPr>
                    <w:t>400</w:t>
                  </w:r>
                </w:p>
              </w:tc>
              <w:tc>
                <w:tcPr>
                  <w:tcW w:w="605" w:type="pct"/>
                  <w:vAlign w:val="center"/>
                </w:tcPr>
                <w:p>
                  <w:pPr>
                    <w:jc w:val="center"/>
                    <w:rPr>
                      <w:rFonts w:ascii="Times New Roman" w:hAnsi="Times New Roman" w:cs="Times New Roman"/>
                    </w:rPr>
                  </w:pPr>
                  <w:r>
                    <w:rPr>
                      <w:rFonts w:ascii="Times New Roman" w:hAnsi="Times New Roman" w:cs="Times New Roman"/>
                    </w:rPr>
                    <w:t>0.256</w:t>
                  </w:r>
                </w:p>
              </w:tc>
              <w:tc>
                <w:tcPr>
                  <w:tcW w:w="773" w:type="pct"/>
                  <w:vAlign w:val="center"/>
                </w:tcPr>
                <w:p>
                  <w:pPr>
                    <w:jc w:val="center"/>
                    <w:rPr>
                      <w:rFonts w:ascii="Times New Roman" w:hAnsi="Times New Roman" w:cs="Times New Roman"/>
                      <w:szCs w:val="21"/>
                    </w:rPr>
                  </w:pPr>
                  <w:r>
                    <w:rPr>
                      <w:rFonts w:ascii="Times New Roman" w:hAnsi="Times New Roman" w:cs="Times New Roman"/>
                      <w:szCs w:val="21"/>
                    </w:rPr>
                    <w:t>400</w:t>
                  </w:r>
                </w:p>
              </w:tc>
              <w:tc>
                <w:tcPr>
                  <w:tcW w:w="741" w:type="pct"/>
                  <w:vAlign w:val="center"/>
                </w:tcPr>
                <w:p>
                  <w:pPr>
                    <w:jc w:val="center"/>
                    <w:rPr>
                      <w:rFonts w:ascii="Times New Roman" w:hAnsi="Times New Roman" w:cs="Times New Roman"/>
                    </w:rPr>
                  </w:pPr>
                  <w:r>
                    <w:rPr>
                      <w:rFonts w:ascii="Times New Roman" w:hAnsi="Times New Roman" w:cs="Times New Roman"/>
                    </w:rPr>
                    <w:t>0.256</w:t>
                  </w:r>
                </w:p>
              </w:tc>
              <w:tc>
                <w:tcPr>
                  <w:tcW w:w="631" w:type="pct"/>
                  <w:vMerge w:val="restart"/>
                  <w:vAlign w:val="center"/>
                </w:tcPr>
                <w:p>
                  <w:pPr>
                    <w:jc w:val="center"/>
                    <w:rPr>
                      <w:rFonts w:ascii="Times New Roman" w:hAnsi="Times New Roman" w:cs="Times New Roman"/>
                      <w:szCs w:val="21"/>
                    </w:rPr>
                  </w:pPr>
                  <w:r>
                    <w:rPr>
                      <w:rFonts w:ascii="Times New Roman" w:hAnsi="Times New Roman" w:cs="Times New Roman"/>
                      <w:szCs w:val="21"/>
                    </w:rPr>
                    <w:t>排入污水处理厂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394" w:type="pct"/>
                  <w:vMerge w:val="continue"/>
                  <w:vAlign w:val="center"/>
                </w:tcPr>
                <w:p>
                  <w:pPr>
                    <w:jc w:val="center"/>
                    <w:rPr>
                      <w:rFonts w:ascii="Times New Roman" w:hAnsi="Times New Roman" w:cs="Times New Roman"/>
                      <w:szCs w:val="21"/>
                    </w:rPr>
                  </w:pPr>
                </w:p>
              </w:tc>
              <w:tc>
                <w:tcPr>
                  <w:tcW w:w="493" w:type="pct"/>
                  <w:vMerge w:val="continue"/>
                  <w:vAlign w:val="center"/>
                </w:tcPr>
                <w:p>
                  <w:pPr>
                    <w:jc w:val="center"/>
                    <w:rPr>
                      <w:rFonts w:ascii="Times New Roman" w:hAnsi="Times New Roman" w:cs="Times New Roman"/>
                      <w:szCs w:val="21"/>
                    </w:rPr>
                  </w:pPr>
                </w:p>
              </w:tc>
              <w:tc>
                <w:tcPr>
                  <w:tcW w:w="608" w:type="pct"/>
                  <w:vAlign w:val="center"/>
                </w:tcPr>
                <w:p>
                  <w:pPr>
                    <w:tabs>
                      <w:tab w:val="left" w:pos="0"/>
                    </w:tabs>
                    <w:adjustRightInd w:val="0"/>
                    <w:snapToGrid w:val="0"/>
                    <w:jc w:val="center"/>
                    <w:rPr>
                      <w:rFonts w:ascii="Times New Roman" w:hAnsi="Times New Roman" w:cs="Times New Roman"/>
                      <w:szCs w:val="21"/>
                    </w:rPr>
                  </w:pPr>
                  <w:r>
                    <w:rPr>
                      <w:rFonts w:ascii="Times New Roman" w:hAnsi="Times New Roman" w:cs="Times New Roman"/>
                      <w:szCs w:val="21"/>
                    </w:rPr>
                    <w:t>SS</w:t>
                  </w:r>
                </w:p>
              </w:tc>
              <w:tc>
                <w:tcPr>
                  <w:tcW w:w="755" w:type="pct"/>
                  <w:vAlign w:val="center"/>
                </w:tcPr>
                <w:p>
                  <w:pPr>
                    <w:jc w:val="center"/>
                    <w:rPr>
                      <w:rFonts w:ascii="Times New Roman" w:hAnsi="Times New Roman" w:cs="Times New Roman"/>
                      <w:szCs w:val="21"/>
                    </w:rPr>
                  </w:pPr>
                  <w:r>
                    <w:rPr>
                      <w:rFonts w:ascii="Times New Roman" w:hAnsi="Times New Roman" w:cs="Times New Roman"/>
                      <w:szCs w:val="21"/>
                    </w:rPr>
                    <w:t>250</w:t>
                  </w:r>
                </w:p>
              </w:tc>
              <w:tc>
                <w:tcPr>
                  <w:tcW w:w="605" w:type="pct"/>
                  <w:vAlign w:val="center"/>
                </w:tcPr>
                <w:p>
                  <w:pPr>
                    <w:jc w:val="center"/>
                    <w:rPr>
                      <w:rFonts w:ascii="Times New Roman" w:hAnsi="Times New Roman" w:cs="Times New Roman"/>
                    </w:rPr>
                  </w:pPr>
                  <w:r>
                    <w:rPr>
                      <w:rFonts w:ascii="Times New Roman" w:hAnsi="Times New Roman" w:cs="Times New Roman"/>
                    </w:rPr>
                    <w:t>0.16</w:t>
                  </w:r>
                </w:p>
              </w:tc>
              <w:tc>
                <w:tcPr>
                  <w:tcW w:w="773" w:type="pct"/>
                  <w:vAlign w:val="center"/>
                </w:tcPr>
                <w:p>
                  <w:pPr>
                    <w:jc w:val="center"/>
                    <w:rPr>
                      <w:rFonts w:ascii="Times New Roman" w:hAnsi="Times New Roman" w:cs="Times New Roman"/>
                      <w:szCs w:val="21"/>
                    </w:rPr>
                  </w:pPr>
                  <w:r>
                    <w:rPr>
                      <w:rFonts w:ascii="Times New Roman" w:hAnsi="Times New Roman" w:cs="Times New Roman"/>
                      <w:szCs w:val="21"/>
                    </w:rPr>
                    <w:t>250</w:t>
                  </w:r>
                </w:p>
              </w:tc>
              <w:tc>
                <w:tcPr>
                  <w:tcW w:w="741" w:type="pct"/>
                  <w:vAlign w:val="center"/>
                </w:tcPr>
                <w:p>
                  <w:pPr>
                    <w:jc w:val="center"/>
                    <w:rPr>
                      <w:rFonts w:ascii="Times New Roman" w:hAnsi="Times New Roman" w:cs="Times New Roman"/>
                    </w:rPr>
                  </w:pPr>
                  <w:r>
                    <w:rPr>
                      <w:rFonts w:ascii="Times New Roman" w:hAnsi="Times New Roman" w:cs="Times New Roman"/>
                    </w:rPr>
                    <w:t>0.16</w:t>
                  </w:r>
                </w:p>
              </w:tc>
              <w:tc>
                <w:tcPr>
                  <w:tcW w:w="631" w:type="pct"/>
                  <w:vMerge w:val="continue"/>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94" w:type="pct"/>
                  <w:vMerge w:val="continue"/>
                  <w:vAlign w:val="center"/>
                </w:tcPr>
                <w:p>
                  <w:pPr>
                    <w:jc w:val="center"/>
                    <w:rPr>
                      <w:rFonts w:ascii="Times New Roman" w:hAnsi="Times New Roman" w:cs="Times New Roman"/>
                      <w:szCs w:val="21"/>
                    </w:rPr>
                  </w:pPr>
                </w:p>
              </w:tc>
              <w:tc>
                <w:tcPr>
                  <w:tcW w:w="493" w:type="pct"/>
                  <w:vMerge w:val="continue"/>
                  <w:vAlign w:val="center"/>
                </w:tcPr>
                <w:p>
                  <w:pPr>
                    <w:jc w:val="center"/>
                    <w:rPr>
                      <w:rFonts w:ascii="Times New Roman" w:hAnsi="Times New Roman" w:cs="Times New Roman"/>
                      <w:szCs w:val="21"/>
                    </w:rPr>
                  </w:pPr>
                </w:p>
              </w:tc>
              <w:tc>
                <w:tcPr>
                  <w:tcW w:w="608" w:type="pct"/>
                  <w:vAlign w:val="center"/>
                </w:tcPr>
                <w:p>
                  <w:pPr>
                    <w:tabs>
                      <w:tab w:val="left" w:pos="0"/>
                    </w:tabs>
                    <w:adjustRightInd w:val="0"/>
                    <w:snapToGrid w:val="0"/>
                    <w:jc w:val="center"/>
                    <w:rPr>
                      <w:rFonts w:ascii="Times New Roman" w:hAnsi="Times New Roman" w:cs="Times New Roman"/>
                      <w:szCs w:val="21"/>
                    </w:rPr>
                  </w:pPr>
                  <w:r>
                    <w:rPr>
                      <w:rFonts w:ascii="Times New Roman" w:hAnsi="Times New Roman" w:cs="Times New Roman"/>
                      <w:szCs w:val="21"/>
                    </w:rPr>
                    <w:t>氨氮</w:t>
                  </w:r>
                </w:p>
              </w:tc>
              <w:tc>
                <w:tcPr>
                  <w:tcW w:w="755" w:type="pct"/>
                  <w:vAlign w:val="center"/>
                </w:tcPr>
                <w:p>
                  <w:pPr>
                    <w:jc w:val="center"/>
                    <w:rPr>
                      <w:rFonts w:ascii="Times New Roman" w:hAnsi="Times New Roman" w:cs="Times New Roman"/>
                      <w:szCs w:val="21"/>
                    </w:rPr>
                  </w:pPr>
                  <w:r>
                    <w:rPr>
                      <w:rFonts w:ascii="Times New Roman" w:hAnsi="Times New Roman" w:cs="Times New Roman"/>
                      <w:szCs w:val="21"/>
                    </w:rPr>
                    <w:t>30</w:t>
                  </w:r>
                </w:p>
              </w:tc>
              <w:tc>
                <w:tcPr>
                  <w:tcW w:w="605" w:type="pct"/>
                  <w:vAlign w:val="center"/>
                </w:tcPr>
                <w:p>
                  <w:pPr>
                    <w:jc w:val="center"/>
                    <w:rPr>
                      <w:rFonts w:ascii="Times New Roman" w:hAnsi="Times New Roman" w:cs="Times New Roman"/>
                    </w:rPr>
                  </w:pPr>
                  <w:r>
                    <w:rPr>
                      <w:rFonts w:ascii="Times New Roman" w:hAnsi="Times New Roman" w:cs="Times New Roman"/>
                    </w:rPr>
                    <w:t>0.0192</w:t>
                  </w:r>
                </w:p>
              </w:tc>
              <w:tc>
                <w:tcPr>
                  <w:tcW w:w="773" w:type="pct"/>
                  <w:vAlign w:val="center"/>
                </w:tcPr>
                <w:p>
                  <w:pPr>
                    <w:jc w:val="center"/>
                    <w:rPr>
                      <w:rFonts w:ascii="Times New Roman" w:hAnsi="Times New Roman" w:cs="Times New Roman"/>
                      <w:szCs w:val="21"/>
                    </w:rPr>
                  </w:pPr>
                  <w:r>
                    <w:rPr>
                      <w:rFonts w:ascii="Times New Roman" w:hAnsi="Times New Roman" w:cs="Times New Roman"/>
                      <w:szCs w:val="21"/>
                    </w:rPr>
                    <w:t>30</w:t>
                  </w:r>
                </w:p>
              </w:tc>
              <w:tc>
                <w:tcPr>
                  <w:tcW w:w="741" w:type="pct"/>
                  <w:vAlign w:val="center"/>
                </w:tcPr>
                <w:p>
                  <w:pPr>
                    <w:jc w:val="center"/>
                    <w:rPr>
                      <w:rFonts w:ascii="Times New Roman" w:hAnsi="Times New Roman" w:cs="Times New Roman"/>
                    </w:rPr>
                  </w:pPr>
                  <w:r>
                    <w:rPr>
                      <w:rFonts w:ascii="Times New Roman" w:hAnsi="Times New Roman" w:cs="Times New Roman"/>
                    </w:rPr>
                    <w:t>0.0192</w:t>
                  </w:r>
                </w:p>
              </w:tc>
              <w:tc>
                <w:tcPr>
                  <w:tcW w:w="631" w:type="pct"/>
                  <w:vMerge w:val="continue"/>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394" w:type="pct"/>
                  <w:vMerge w:val="continue"/>
                  <w:vAlign w:val="center"/>
                </w:tcPr>
                <w:p>
                  <w:pPr>
                    <w:jc w:val="center"/>
                    <w:rPr>
                      <w:rFonts w:ascii="Times New Roman" w:hAnsi="Times New Roman" w:cs="Times New Roman"/>
                      <w:szCs w:val="21"/>
                    </w:rPr>
                  </w:pPr>
                </w:p>
              </w:tc>
              <w:tc>
                <w:tcPr>
                  <w:tcW w:w="493" w:type="pct"/>
                  <w:vMerge w:val="continue"/>
                  <w:vAlign w:val="center"/>
                </w:tcPr>
                <w:p>
                  <w:pPr>
                    <w:jc w:val="center"/>
                    <w:rPr>
                      <w:rFonts w:ascii="Times New Roman" w:hAnsi="Times New Roman" w:cs="Times New Roman"/>
                      <w:szCs w:val="21"/>
                    </w:rPr>
                  </w:pPr>
                </w:p>
              </w:tc>
              <w:tc>
                <w:tcPr>
                  <w:tcW w:w="608" w:type="pct"/>
                  <w:vAlign w:val="center"/>
                </w:tcPr>
                <w:p>
                  <w:pPr>
                    <w:tabs>
                      <w:tab w:val="left" w:pos="0"/>
                    </w:tabs>
                    <w:adjustRightInd w:val="0"/>
                    <w:snapToGrid w:val="0"/>
                    <w:jc w:val="center"/>
                    <w:rPr>
                      <w:rFonts w:ascii="Times New Roman" w:hAnsi="Times New Roman" w:cs="Times New Roman"/>
                      <w:szCs w:val="21"/>
                    </w:rPr>
                  </w:pPr>
                  <w:r>
                    <w:rPr>
                      <w:rFonts w:ascii="Times New Roman" w:hAnsi="Times New Roman" w:cs="Times New Roman"/>
                      <w:szCs w:val="21"/>
                    </w:rPr>
                    <w:t>总氮</w:t>
                  </w:r>
                </w:p>
              </w:tc>
              <w:tc>
                <w:tcPr>
                  <w:tcW w:w="755" w:type="pct"/>
                  <w:vAlign w:val="center"/>
                </w:tcPr>
                <w:p>
                  <w:pPr>
                    <w:jc w:val="center"/>
                    <w:rPr>
                      <w:rFonts w:ascii="Times New Roman" w:hAnsi="Times New Roman" w:cs="Times New Roman"/>
                      <w:szCs w:val="21"/>
                    </w:rPr>
                  </w:pPr>
                  <w:r>
                    <w:rPr>
                      <w:rFonts w:ascii="Times New Roman" w:hAnsi="Times New Roman" w:cs="Times New Roman"/>
                      <w:szCs w:val="21"/>
                    </w:rPr>
                    <w:t>70</w:t>
                  </w:r>
                </w:p>
              </w:tc>
              <w:tc>
                <w:tcPr>
                  <w:tcW w:w="605" w:type="pct"/>
                  <w:vAlign w:val="center"/>
                </w:tcPr>
                <w:p>
                  <w:pPr>
                    <w:jc w:val="center"/>
                    <w:rPr>
                      <w:rFonts w:ascii="Times New Roman" w:hAnsi="Times New Roman" w:cs="Times New Roman"/>
                    </w:rPr>
                  </w:pPr>
                  <w:r>
                    <w:rPr>
                      <w:rFonts w:ascii="Times New Roman" w:hAnsi="Times New Roman" w:cs="Times New Roman"/>
                    </w:rPr>
                    <w:t>0.0448</w:t>
                  </w:r>
                </w:p>
              </w:tc>
              <w:tc>
                <w:tcPr>
                  <w:tcW w:w="773" w:type="pct"/>
                  <w:vAlign w:val="center"/>
                </w:tcPr>
                <w:p>
                  <w:pPr>
                    <w:jc w:val="center"/>
                    <w:rPr>
                      <w:rFonts w:ascii="Times New Roman" w:hAnsi="Times New Roman" w:cs="Times New Roman"/>
                      <w:szCs w:val="21"/>
                    </w:rPr>
                  </w:pPr>
                  <w:r>
                    <w:rPr>
                      <w:rFonts w:ascii="Times New Roman" w:hAnsi="Times New Roman" w:cs="Times New Roman"/>
                      <w:szCs w:val="21"/>
                    </w:rPr>
                    <w:t>70</w:t>
                  </w:r>
                </w:p>
              </w:tc>
              <w:tc>
                <w:tcPr>
                  <w:tcW w:w="741" w:type="pct"/>
                  <w:vAlign w:val="center"/>
                </w:tcPr>
                <w:p>
                  <w:pPr>
                    <w:jc w:val="center"/>
                    <w:rPr>
                      <w:rFonts w:ascii="Times New Roman" w:hAnsi="Times New Roman" w:cs="Times New Roman"/>
                    </w:rPr>
                  </w:pPr>
                  <w:r>
                    <w:rPr>
                      <w:rFonts w:ascii="Times New Roman" w:hAnsi="Times New Roman" w:cs="Times New Roman"/>
                    </w:rPr>
                    <w:t>0.0448</w:t>
                  </w:r>
                </w:p>
              </w:tc>
              <w:tc>
                <w:tcPr>
                  <w:tcW w:w="631" w:type="pct"/>
                  <w:vMerge w:val="continue"/>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4" w:type="pct"/>
                  <w:vMerge w:val="continue"/>
                  <w:vAlign w:val="center"/>
                </w:tcPr>
                <w:p>
                  <w:pPr>
                    <w:jc w:val="center"/>
                    <w:rPr>
                      <w:rFonts w:ascii="Times New Roman" w:hAnsi="Times New Roman" w:cs="Times New Roman"/>
                      <w:szCs w:val="21"/>
                    </w:rPr>
                  </w:pPr>
                </w:p>
              </w:tc>
              <w:tc>
                <w:tcPr>
                  <w:tcW w:w="493" w:type="pct"/>
                  <w:vMerge w:val="continue"/>
                  <w:vAlign w:val="center"/>
                </w:tcPr>
                <w:p>
                  <w:pPr>
                    <w:jc w:val="center"/>
                    <w:rPr>
                      <w:rFonts w:ascii="Times New Roman" w:hAnsi="Times New Roman" w:cs="Times New Roman"/>
                      <w:szCs w:val="21"/>
                    </w:rPr>
                  </w:pPr>
                </w:p>
              </w:tc>
              <w:tc>
                <w:tcPr>
                  <w:tcW w:w="608" w:type="pct"/>
                  <w:vAlign w:val="center"/>
                </w:tcPr>
                <w:p>
                  <w:pPr>
                    <w:tabs>
                      <w:tab w:val="left" w:pos="0"/>
                    </w:tabs>
                    <w:adjustRightInd w:val="0"/>
                    <w:snapToGrid w:val="0"/>
                    <w:jc w:val="center"/>
                    <w:rPr>
                      <w:rFonts w:ascii="Times New Roman" w:hAnsi="Times New Roman" w:cs="Times New Roman"/>
                      <w:szCs w:val="21"/>
                    </w:rPr>
                  </w:pPr>
                  <w:r>
                    <w:rPr>
                      <w:rFonts w:ascii="Times New Roman" w:hAnsi="Times New Roman" w:cs="Times New Roman"/>
                      <w:szCs w:val="21"/>
                    </w:rPr>
                    <w:t>总磷</w:t>
                  </w:r>
                </w:p>
              </w:tc>
              <w:tc>
                <w:tcPr>
                  <w:tcW w:w="755" w:type="pct"/>
                  <w:vAlign w:val="center"/>
                </w:tcPr>
                <w:p>
                  <w:pPr>
                    <w:jc w:val="center"/>
                    <w:rPr>
                      <w:rFonts w:ascii="Times New Roman" w:hAnsi="Times New Roman" w:cs="Times New Roman"/>
                      <w:szCs w:val="21"/>
                    </w:rPr>
                  </w:pPr>
                  <w:r>
                    <w:rPr>
                      <w:rFonts w:ascii="Times New Roman" w:hAnsi="Times New Roman" w:cs="Times New Roman"/>
                      <w:szCs w:val="21"/>
                    </w:rPr>
                    <w:t>4</w:t>
                  </w:r>
                </w:p>
              </w:tc>
              <w:tc>
                <w:tcPr>
                  <w:tcW w:w="605" w:type="pct"/>
                  <w:vAlign w:val="center"/>
                </w:tcPr>
                <w:p>
                  <w:pPr>
                    <w:jc w:val="center"/>
                    <w:rPr>
                      <w:rFonts w:ascii="Times New Roman" w:hAnsi="Times New Roman" w:cs="Times New Roman"/>
                    </w:rPr>
                  </w:pPr>
                  <w:r>
                    <w:rPr>
                      <w:rFonts w:ascii="Times New Roman" w:hAnsi="Times New Roman" w:cs="Times New Roman"/>
                    </w:rPr>
                    <w:t>0.00256</w:t>
                  </w:r>
                </w:p>
              </w:tc>
              <w:tc>
                <w:tcPr>
                  <w:tcW w:w="773" w:type="pct"/>
                  <w:vAlign w:val="center"/>
                </w:tcPr>
                <w:p>
                  <w:pPr>
                    <w:jc w:val="center"/>
                    <w:rPr>
                      <w:rFonts w:ascii="Times New Roman" w:hAnsi="Times New Roman" w:cs="Times New Roman"/>
                      <w:szCs w:val="21"/>
                    </w:rPr>
                  </w:pPr>
                  <w:r>
                    <w:rPr>
                      <w:rFonts w:ascii="Times New Roman" w:hAnsi="Times New Roman" w:cs="Times New Roman"/>
                      <w:szCs w:val="21"/>
                    </w:rPr>
                    <w:t>4</w:t>
                  </w:r>
                </w:p>
              </w:tc>
              <w:tc>
                <w:tcPr>
                  <w:tcW w:w="741" w:type="pct"/>
                  <w:vAlign w:val="center"/>
                </w:tcPr>
                <w:p>
                  <w:pPr>
                    <w:jc w:val="center"/>
                    <w:rPr>
                      <w:rFonts w:ascii="Times New Roman" w:hAnsi="Times New Roman" w:cs="Times New Roman"/>
                    </w:rPr>
                  </w:pPr>
                  <w:r>
                    <w:rPr>
                      <w:rFonts w:ascii="Times New Roman" w:hAnsi="Times New Roman" w:cs="Times New Roman"/>
                    </w:rPr>
                    <w:t>0.00256</w:t>
                  </w:r>
                </w:p>
              </w:tc>
              <w:tc>
                <w:tcPr>
                  <w:tcW w:w="631" w:type="pct"/>
                  <w:vMerge w:val="continue"/>
                  <w:vAlign w:val="center"/>
                </w:tcPr>
                <w:p>
                  <w:pPr>
                    <w:jc w:val="center"/>
                    <w:rPr>
                      <w:rFonts w:ascii="Times New Roman" w:hAnsi="Times New Roman" w:cs="Times New Roman"/>
                      <w:szCs w:val="21"/>
                    </w:rPr>
                  </w:pPr>
                </w:p>
              </w:tc>
            </w:tr>
          </w:tbl>
          <w:p>
            <w:pPr>
              <w:spacing w:line="440" w:lineRule="exact"/>
              <w:ind w:firstLine="482" w:firstLineChars="200"/>
              <w:rPr>
                <w:rFonts w:ascii="Times New Roman" w:hAnsi="Times New Roman" w:eastAsia="宋体" w:cs="Times New Roman"/>
                <w:b/>
                <w:sz w:val="24"/>
                <w:szCs w:val="20"/>
              </w:rPr>
            </w:pPr>
            <w:r>
              <w:rPr>
                <w:rFonts w:ascii="Times New Roman" w:hAnsi="Times New Roman" w:eastAsia="宋体" w:cs="Times New Roman"/>
                <w:b/>
                <w:sz w:val="24"/>
                <w:szCs w:val="20"/>
              </w:rPr>
              <w:t>3、噪声</w:t>
            </w:r>
          </w:p>
          <w:p>
            <w:pPr>
              <w:spacing w:line="440" w:lineRule="exact"/>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本项目噪声主要为机械加工设备，噪声值在75-85dB（A）之间，经采取隔声、消声措施，噪声源经厂房建筑物衰减后，项目厂界外噪声值能达到《工业企业厂界环境噪声排放标准》（GB12348-2008）3类标准，噪声不会对当地环境产生明显影响。</w:t>
            </w:r>
          </w:p>
          <w:p>
            <w:pPr>
              <w:spacing w:line="360" w:lineRule="auto"/>
              <w:ind w:firstLine="482" w:firstLineChars="200"/>
              <w:rPr>
                <w:rFonts w:ascii="Times New Roman" w:hAnsi="Times New Roman" w:eastAsia="宋体" w:cs="Times New Roman"/>
                <w:b/>
                <w:sz w:val="24"/>
                <w:szCs w:val="20"/>
              </w:rPr>
            </w:pPr>
            <w:r>
              <w:rPr>
                <w:rFonts w:ascii="Times New Roman" w:hAnsi="Times New Roman" w:eastAsia="宋体" w:cs="Times New Roman"/>
                <w:b/>
                <w:sz w:val="24"/>
                <w:szCs w:val="20"/>
              </w:rPr>
              <w:t>4、固体废弃物</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4"/>
              </w:rPr>
              <w:t>金属边角料及不合格品（S1、S2、S3、S4、S5、S6、S9）：本</w:t>
            </w:r>
            <w:r>
              <w:rPr>
                <w:rFonts w:ascii="Times New Roman" w:hAnsi="Times New Roman" w:eastAsia="宋体" w:cs="Times New Roman"/>
                <w:sz w:val="24"/>
                <w:szCs w:val="20"/>
              </w:rPr>
              <w:t>项目产生废金属边角料20t/a，收集后外售；</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废切削液（S7）：项目CNC加工时产生废切削液约0.1/a，收集后委托有资质单位处理；</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废包装容器（S8）：项目产生废切削液桶、胶瓶等约0.015t/a，收集后委托有资质单位处理；</w:t>
            </w:r>
          </w:p>
          <w:p>
            <w:pPr>
              <w:spacing w:line="360" w:lineRule="auto"/>
              <w:ind w:firstLine="480" w:firstLineChars="200"/>
              <w:rPr>
                <w:rFonts w:ascii="Times New Roman" w:hAnsi="Times New Roman" w:eastAsia="宋体" w:cs="Times New Roman"/>
                <w:color w:val="FF0000"/>
                <w:sz w:val="24"/>
                <w:szCs w:val="20"/>
              </w:rPr>
            </w:pPr>
            <w:r>
              <w:rPr>
                <w:rFonts w:ascii="Times New Roman" w:hAnsi="Times New Roman" w:cs="Times New Roman"/>
                <w:sz w:val="24"/>
              </w:rPr>
              <w:t>生活垃圾：本次新增员工人数32人，按每人每天产生0.5kg垃圾，项目年生产250天，则生活垃圾产生量为4t/a。</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根据《固体废物鉴别标准通则》(GB 34330-2017)的规定，判断其是否属于固体废物，具体判定结果见表5-4。</w:t>
            </w:r>
          </w:p>
          <w:p>
            <w:pPr>
              <w:spacing w:line="440" w:lineRule="exact"/>
              <w:ind w:firstLine="422" w:firstLineChars="200"/>
              <w:jc w:val="center"/>
              <w:rPr>
                <w:rFonts w:ascii="Times New Roman" w:hAnsi="Times New Roman" w:eastAsia="宋体" w:cs="Times New Roman"/>
                <w:b/>
                <w:bCs/>
                <w:szCs w:val="24"/>
              </w:rPr>
            </w:pPr>
            <w:r>
              <w:rPr>
                <w:rFonts w:ascii="Times New Roman" w:hAnsi="Times New Roman" w:eastAsia="宋体" w:cs="Times New Roman"/>
                <w:b/>
                <w:bCs/>
                <w:szCs w:val="24"/>
              </w:rPr>
              <w:t>表5-4 项目营运期副产物属性判定情况一览表</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
              <w:gridCol w:w="989"/>
              <w:gridCol w:w="975"/>
              <w:gridCol w:w="571"/>
              <w:gridCol w:w="1051"/>
              <w:gridCol w:w="1015"/>
              <w:gridCol w:w="763"/>
              <w:gridCol w:w="882"/>
              <w:gridCol w:w="558"/>
              <w:gridCol w:w="1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 w:type="pct"/>
                  <w:vMerge w:val="restar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序号</w:t>
                  </w:r>
                </w:p>
              </w:tc>
              <w:tc>
                <w:tcPr>
                  <w:tcW w:w="546" w:type="pct"/>
                  <w:vMerge w:val="restar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副产物名称</w:t>
                  </w:r>
                </w:p>
              </w:tc>
              <w:tc>
                <w:tcPr>
                  <w:tcW w:w="538" w:type="pct"/>
                  <w:vMerge w:val="restar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产生位置（环节）</w:t>
                  </w:r>
                </w:p>
              </w:tc>
              <w:tc>
                <w:tcPr>
                  <w:tcW w:w="315" w:type="pct"/>
                  <w:vMerge w:val="restar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形态</w:t>
                  </w:r>
                </w:p>
              </w:tc>
              <w:tc>
                <w:tcPr>
                  <w:tcW w:w="580" w:type="pct"/>
                  <w:vMerge w:val="restar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主要成分</w:t>
                  </w:r>
                </w:p>
              </w:tc>
              <w:tc>
                <w:tcPr>
                  <w:tcW w:w="560" w:type="pct"/>
                  <w:vMerge w:val="restar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预测产生量（</w:t>
                  </w:r>
                  <w:r>
                    <w:rPr>
                      <w:rFonts w:ascii="Times New Roman" w:hAnsi="Times New Roman" w:cs="Times New Roman"/>
                      <w:kern w:val="0"/>
                      <w:szCs w:val="21"/>
                      <w:lang w:val="zh-CN"/>
                    </w:rPr>
                    <w:t>t/a</w:t>
                  </w:r>
                  <w:r>
                    <w:rPr>
                      <w:rFonts w:ascii="Times New Roman" w:hAnsi="Times New Roman" w:cs="Times New Roman"/>
                      <w:szCs w:val="21"/>
                    </w:rPr>
                    <w:t>）</w:t>
                  </w:r>
                </w:p>
              </w:tc>
              <w:tc>
                <w:tcPr>
                  <w:tcW w:w="2271" w:type="pct"/>
                  <w:gridSpan w:val="4"/>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种类判断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 w:type="pct"/>
                  <w:vMerge w:val="continue"/>
                  <w:tcMar>
                    <w:left w:w="28" w:type="dxa"/>
                    <w:right w:w="28" w:type="dxa"/>
                  </w:tcMar>
                  <w:vAlign w:val="center"/>
                </w:tcPr>
                <w:p>
                  <w:pPr>
                    <w:jc w:val="center"/>
                    <w:rPr>
                      <w:rFonts w:ascii="Times New Roman" w:hAnsi="Times New Roman" w:cs="Times New Roman"/>
                      <w:szCs w:val="21"/>
                    </w:rPr>
                  </w:pPr>
                </w:p>
              </w:tc>
              <w:tc>
                <w:tcPr>
                  <w:tcW w:w="546" w:type="pct"/>
                  <w:vMerge w:val="continue"/>
                  <w:tcMar>
                    <w:left w:w="28" w:type="dxa"/>
                    <w:right w:w="28" w:type="dxa"/>
                  </w:tcMar>
                  <w:vAlign w:val="center"/>
                </w:tcPr>
                <w:p>
                  <w:pPr>
                    <w:jc w:val="center"/>
                    <w:rPr>
                      <w:rFonts w:ascii="Times New Roman" w:hAnsi="Times New Roman" w:cs="Times New Roman"/>
                      <w:szCs w:val="21"/>
                    </w:rPr>
                  </w:pPr>
                </w:p>
              </w:tc>
              <w:tc>
                <w:tcPr>
                  <w:tcW w:w="538" w:type="pct"/>
                  <w:vMerge w:val="continue"/>
                  <w:tcMar>
                    <w:left w:w="28" w:type="dxa"/>
                    <w:right w:w="28" w:type="dxa"/>
                  </w:tcMar>
                  <w:vAlign w:val="center"/>
                </w:tcPr>
                <w:p>
                  <w:pPr>
                    <w:jc w:val="center"/>
                    <w:rPr>
                      <w:rFonts w:ascii="Times New Roman" w:hAnsi="Times New Roman" w:cs="Times New Roman"/>
                      <w:szCs w:val="21"/>
                    </w:rPr>
                  </w:pPr>
                </w:p>
              </w:tc>
              <w:tc>
                <w:tcPr>
                  <w:tcW w:w="315" w:type="pct"/>
                  <w:vMerge w:val="continue"/>
                  <w:tcMar>
                    <w:left w:w="28" w:type="dxa"/>
                    <w:right w:w="28" w:type="dxa"/>
                  </w:tcMar>
                  <w:vAlign w:val="center"/>
                </w:tcPr>
                <w:p>
                  <w:pPr>
                    <w:jc w:val="center"/>
                    <w:rPr>
                      <w:rFonts w:ascii="Times New Roman" w:hAnsi="Times New Roman" w:cs="Times New Roman"/>
                      <w:szCs w:val="21"/>
                    </w:rPr>
                  </w:pPr>
                </w:p>
              </w:tc>
              <w:tc>
                <w:tcPr>
                  <w:tcW w:w="580" w:type="pct"/>
                  <w:vMerge w:val="continue"/>
                  <w:tcMar>
                    <w:left w:w="28" w:type="dxa"/>
                    <w:right w:w="28" w:type="dxa"/>
                  </w:tcMar>
                  <w:vAlign w:val="center"/>
                </w:tcPr>
                <w:p>
                  <w:pPr>
                    <w:jc w:val="center"/>
                    <w:rPr>
                      <w:rFonts w:ascii="Times New Roman" w:hAnsi="Times New Roman" w:cs="Times New Roman"/>
                      <w:szCs w:val="21"/>
                    </w:rPr>
                  </w:pPr>
                </w:p>
              </w:tc>
              <w:tc>
                <w:tcPr>
                  <w:tcW w:w="560" w:type="pct"/>
                  <w:vMerge w:val="continue"/>
                  <w:tcMar>
                    <w:left w:w="28" w:type="dxa"/>
                    <w:right w:w="28" w:type="dxa"/>
                  </w:tcMar>
                  <w:vAlign w:val="center"/>
                </w:tcPr>
                <w:p>
                  <w:pPr>
                    <w:jc w:val="center"/>
                    <w:rPr>
                      <w:rFonts w:ascii="Times New Roman" w:hAnsi="Times New Roman" w:cs="Times New Roman"/>
                      <w:szCs w:val="21"/>
                    </w:rPr>
                  </w:pPr>
                </w:p>
              </w:tc>
              <w:tc>
                <w:tcPr>
                  <w:tcW w:w="421"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固体</w:t>
                  </w:r>
                </w:p>
                <w:p>
                  <w:pPr>
                    <w:jc w:val="center"/>
                    <w:rPr>
                      <w:rFonts w:ascii="Times New Roman" w:hAnsi="Times New Roman" w:cs="Times New Roman"/>
                      <w:szCs w:val="21"/>
                    </w:rPr>
                  </w:pPr>
                  <w:r>
                    <w:rPr>
                      <w:rFonts w:ascii="Times New Roman" w:hAnsi="Times New Roman" w:cs="Times New Roman"/>
                      <w:szCs w:val="21"/>
                    </w:rPr>
                    <w:t>废物</w:t>
                  </w:r>
                </w:p>
              </w:tc>
              <w:tc>
                <w:tcPr>
                  <w:tcW w:w="487"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副产品</w:t>
                  </w:r>
                </w:p>
              </w:tc>
              <w:tc>
                <w:tcPr>
                  <w:tcW w:w="308"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其他</w:t>
                  </w:r>
                </w:p>
              </w:tc>
              <w:tc>
                <w:tcPr>
                  <w:tcW w:w="1055" w:type="pct"/>
                  <w:vAlign w:val="center"/>
                </w:tcPr>
                <w:p>
                  <w:pPr>
                    <w:jc w:val="center"/>
                    <w:rPr>
                      <w:rFonts w:ascii="Times New Roman" w:hAnsi="Times New Roman" w:cs="Times New Roman"/>
                      <w:szCs w:val="21"/>
                    </w:rPr>
                  </w:pPr>
                  <w:r>
                    <w:rPr>
                      <w:rFonts w:ascii="Times New Roman" w:hAnsi="Times New Roman" w:cs="Times New Roman"/>
                      <w:szCs w:val="21"/>
                    </w:rPr>
                    <w:t>判定依据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90"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1</w:t>
                  </w:r>
                </w:p>
              </w:tc>
              <w:tc>
                <w:tcPr>
                  <w:tcW w:w="546" w:type="pct"/>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金属边角料及不合格品</w:t>
                  </w:r>
                </w:p>
              </w:tc>
              <w:tc>
                <w:tcPr>
                  <w:tcW w:w="538" w:type="pct"/>
                  <w:tcMar>
                    <w:left w:w="28" w:type="dxa"/>
                    <w:right w:w="28" w:type="dxa"/>
                  </w:tcMar>
                  <w:vAlign w:val="center"/>
                </w:tcPr>
                <w:p>
                  <w:pPr>
                    <w:spacing w:after="120"/>
                    <w:jc w:val="center"/>
                    <w:rPr>
                      <w:rFonts w:ascii="Times New Roman" w:hAnsi="Times New Roman" w:eastAsia="宋体" w:cs="Times New Roman"/>
                      <w:szCs w:val="21"/>
                    </w:rPr>
                  </w:pPr>
                  <w:r>
                    <w:rPr>
                      <w:rFonts w:ascii="Times New Roman" w:hAnsi="Times New Roman" w:eastAsia="宋体" w:cs="Times New Roman"/>
                      <w:szCs w:val="21"/>
                    </w:rPr>
                    <w:t>机加工、检验</w:t>
                  </w:r>
                </w:p>
              </w:tc>
              <w:tc>
                <w:tcPr>
                  <w:tcW w:w="315"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固体</w:t>
                  </w:r>
                </w:p>
              </w:tc>
              <w:tc>
                <w:tcPr>
                  <w:tcW w:w="580"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金属</w:t>
                  </w:r>
                </w:p>
              </w:tc>
              <w:tc>
                <w:tcPr>
                  <w:tcW w:w="560" w:type="pct"/>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20</w:t>
                  </w:r>
                </w:p>
              </w:tc>
              <w:tc>
                <w:tcPr>
                  <w:tcW w:w="421"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487"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308"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1055" w:type="pct"/>
                  <w:vMerge w:val="restart"/>
                  <w:vAlign w:val="center"/>
                </w:tcPr>
                <w:p>
                  <w:pPr>
                    <w:jc w:val="center"/>
                    <w:rPr>
                      <w:rFonts w:ascii="Times New Roman" w:hAnsi="Times New Roman" w:cs="Times New Roman"/>
                      <w:szCs w:val="21"/>
                    </w:rPr>
                  </w:pPr>
                  <w:r>
                    <w:rPr>
                      <w:rFonts w:ascii="Times New Roman" w:hAnsi="Times New Roman" w:cs="Times New Roman"/>
                      <w:szCs w:val="21"/>
                    </w:rPr>
                    <w:t>《固体废物鉴别导则》（环保总局公告2006年号第11）、《固体废物鉴别标准 通则》（GB 34330-2017）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2</w:t>
                  </w:r>
                </w:p>
              </w:tc>
              <w:tc>
                <w:tcPr>
                  <w:tcW w:w="546" w:type="pct"/>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废切削液</w:t>
                  </w:r>
                </w:p>
              </w:tc>
              <w:tc>
                <w:tcPr>
                  <w:tcW w:w="538" w:type="pct"/>
                  <w:tcMar>
                    <w:left w:w="28" w:type="dxa"/>
                    <w:right w:w="28" w:type="dxa"/>
                  </w:tcMar>
                  <w:vAlign w:val="center"/>
                </w:tcPr>
                <w:p>
                  <w:pPr>
                    <w:spacing w:after="120"/>
                    <w:jc w:val="center"/>
                    <w:rPr>
                      <w:rFonts w:ascii="Times New Roman" w:hAnsi="Times New Roman" w:eastAsia="宋体" w:cs="Times New Roman"/>
                      <w:szCs w:val="21"/>
                    </w:rPr>
                  </w:pPr>
                  <w:r>
                    <w:rPr>
                      <w:rFonts w:ascii="Times New Roman" w:hAnsi="Times New Roman" w:eastAsia="宋体" w:cs="Times New Roman"/>
                      <w:szCs w:val="21"/>
                    </w:rPr>
                    <w:t>CNC加工</w:t>
                  </w:r>
                </w:p>
              </w:tc>
              <w:tc>
                <w:tcPr>
                  <w:tcW w:w="315"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液体</w:t>
                  </w:r>
                </w:p>
              </w:tc>
              <w:tc>
                <w:tcPr>
                  <w:tcW w:w="580"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矿物油</w:t>
                  </w:r>
                </w:p>
              </w:tc>
              <w:tc>
                <w:tcPr>
                  <w:tcW w:w="560" w:type="pct"/>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w:t>
                  </w:r>
                </w:p>
              </w:tc>
              <w:tc>
                <w:tcPr>
                  <w:tcW w:w="421"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487"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308"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1055" w:type="pct"/>
                  <w:vMerge w:val="continue"/>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3</w:t>
                  </w:r>
                </w:p>
              </w:tc>
              <w:tc>
                <w:tcPr>
                  <w:tcW w:w="546" w:type="pct"/>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废包装容器</w:t>
                  </w:r>
                </w:p>
              </w:tc>
              <w:tc>
                <w:tcPr>
                  <w:tcW w:w="538" w:type="pct"/>
                  <w:tcMar>
                    <w:left w:w="28" w:type="dxa"/>
                    <w:right w:w="28" w:type="dxa"/>
                  </w:tcMar>
                  <w:vAlign w:val="center"/>
                </w:tcPr>
                <w:p>
                  <w:pPr>
                    <w:spacing w:after="120"/>
                    <w:jc w:val="center"/>
                    <w:rPr>
                      <w:rFonts w:ascii="Times New Roman" w:hAnsi="Times New Roman" w:eastAsia="宋体" w:cs="Times New Roman"/>
                      <w:szCs w:val="21"/>
                    </w:rPr>
                  </w:pPr>
                  <w:r>
                    <w:rPr>
                      <w:rFonts w:ascii="Times New Roman" w:hAnsi="Times New Roman" w:eastAsia="宋体" w:cs="Times New Roman"/>
                      <w:szCs w:val="21"/>
                    </w:rPr>
                    <w:t>拆包</w:t>
                  </w:r>
                </w:p>
              </w:tc>
              <w:tc>
                <w:tcPr>
                  <w:tcW w:w="315"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固体</w:t>
                  </w:r>
                </w:p>
              </w:tc>
              <w:tc>
                <w:tcPr>
                  <w:tcW w:w="580"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矿物油、有机物</w:t>
                  </w:r>
                </w:p>
              </w:tc>
              <w:tc>
                <w:tcPr>
                  <w:tcW w:w="560" w:type="pct"/>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0.015</w:t>
                  </w:r>
                </w:p>
              </w:tc>
              <w:tc>
                <w:tcPr>
                  <w:tcW w:w="421"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487"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308"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1055" w:type="pct"/>
                  <w:vMerge w:val="continue"/>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jc w:val="center"/>
              </w:trPr>
              <w:tc>
                <w:tcPr>
                  <w:tcW w:w="190"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4</w:t>
                  </w:r>
                </w:p>
              </w:tc>
              <w:tc>
                <w:tcPr>
                  <w:tcW w:w="546" w:type="pct"/>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生活垃圾</w:t>
                  </w:r>
                </w:p>
              </w:tc>
              <w:tc>
                <w:tcPr>
                  <w:tcW w:w="538" w:type="pct"/>
                  <w:tcMar>
                    <w:left w:w="28" w:type="dxa"/>
                    <w:right w:w="28" w:type="dxa"/>
                  </w:tcMar>
                  <w:vAlign w:val="center"/>
                </w:tcPr>
                <w:p>
                  <w:pPr>
                    <w:spacing w:after="120"/>
                    <w:jc w:val="center"/>
                    <w:rPr>
                      <w:rFonts w:ascii="Times New Roman" w:hAnsi="Times New Roman" w:eastAsia="宋体" w:cs="Times New Roman"/>
                      <w:szCs w:val="21"/>
                    </w:rPr>
                  </w:pPr>
                  <w:r>
                    <w:rPr>
                      <w:rFonts w:ascii="Times New Roman" w:hAnsi="Times New Roman" w:eastAsia="宋体" w:cs="Times New Roman"/>
                      <w:szCs w:val="21"/>
                    </w:rPr>
                    <w:t>员工生活</w:t>
                  </w:r>
                </w:p>
              </w:tc>
              <w:tc>
                <w:tcPr>
                  <w:tcW w:w="315"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固态</w:t>
                  </w:r>
                </w:p>
              </w:tc>
              <w:tc>
                <w:tcPr>
                  <w:tcW w:w="580" w:type="pct"/>
                  <w:tcMar>
                    <w:left w:w="28" w:type="dxa"/>
                    <w:right w:w="28" w:type="dxa"/>
                  </w:tcMar>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纸等</w:t>
                  </w:r>
                </w:p>
              </w:tc>
              <w:tc>
                <w:tcPr>
                  <w:tcW w:w="560" w:type="pct"/>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w:t>
                  </w:r>
                </w:p>
              </w:tc>
              <w:tc>
                <w:tcPr>
                  <w:tcW w:w="421"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487"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308" w:type="pct"/>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1055" w:type="pct"/>
                  <w:vMerge w:val="continue"/>
                  <w:vAlign w:val="center"/>
                </w:tcPr>
                <w:p>
                  <w:pPr>
                    <w:jc w:val="center"/>
                    <w:rPr>
                      <w:rFonts w:ascii="Times New Roman" w:hAnsi="Times New Roman" w:cs="Times New Roman"/>
                      <w:szCs w:val="21"/>
                    </w:rPr>
                  </w:pPr>
                </w:p>
              </w:tc>
            </w:tr>
          </w:tbl>
          <w:p>
            <w:pPr>
              <w:spacing w:line="360" w:lineRule="auto"/>
              <w:ind w:firstLine="480" w:firstLineChars="200"/>
              <w:rPr>
                <w:rFonts w:ascii="Times New Roman" w:hAnsi="Times New Roman" w:eastAsia="宋体" w:cs="Times New Roman"/>
                <w:b/>
                <w:sz w:val="24"/>
                <w:szCs w:val="20"/>
              </w:rPr>
            </w:pPr>
            <w:r>
              <w:rPr>
                <w:rFonts w:ascii="Times New Roman" w:hAnsi="Times New Roman" w:eastAsia="宋体" w:cs="Times New Roman"/>
                <w:sz w:val="24"/>
                <w:szCs w:val="20"/>
              </w:rPr>
              <w:t>根据《国家危险废物名录》（2016年）及《固体废物鉴别标准通则》(GB 34330-2017)，判定该固体废物是否属于危险废物，如表5-5所示。</w:t>
            </w:r>
          </w:p>
          <w:p>
            <w:pPr>
              <w:autoSpaceDE w:val="0"/>
              <w:autoSpaceDN w:val="0"/>
              <w:snapToGrid w:val="0"/>
              <w:spacing w:line="320" w:lineRule="exact"/>
              <w:jc w:val="center"/>
              <w:rPr>
                <w:rFonts w:ascii="Times New Roman" w:hAnsi="Times New Roman" w:cs="Times New Roman"/>
                <w:b/>
                <w:snapToGrid w:val="0"/>
                <w:kern w:val="0"/>
                <w:szCs w:val="21"/>
              </w:rPr>
            </w:pPr>
            <w:r>
              <w:rPr>
                <w:rFonts w:ascii="Times New Roman" w:hAnsi="Times New Roman" w:cs="Times New Roman"/>
                <w:b/>
                <w:snapToGrid w:val="0"/>
                <w:kern w:val="0"/>
                <w:szCs w:val="21"/>
              </w:rPr>
              <w:t>表5-5 项目营运期固体废物分析结果汇总表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9"/>
              <w:gridCol w:w="872"/>
              <w:gridCol w:w="1027"/>
              <w:gridCol w:w="837"/>
              <w:gridCol w:w="599"/>
              <w:gridCol w:w="1156"/>
              <w:gridCol w:w="784"/>
              <w:gridCol w:w="609"/>
              <w:gridCol w:w="682"/>
              <w:gridCol w:w="1182"/>
              <w:gridCol w:w="7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9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序号</w:t>
                  </w:r>
                </w:p>
              </w:tc>
              <w:tc>
                <w:tcPr>
                  <w:tcW w:w="872"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固废名称</w:t>
                  </w:r>
                </w:p>
              </w:tc>
              <w:tc>
                <w:tcPr>
                  <w:tcW w:w="1027"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属性（危险废物、一般工业固废或待鉴别）</w:t>
                  </w:r>
                </w:p>
              </w:tc>
              <w:tc>
                <w:tcPr>
                  <w:tcW w:w="837"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产生</w:t>
                  </w:r>
                </w:p>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位置</w:t>
                  </w:r>
                </w:p>
              </w:tc>
              <w:tc>
                <w:tcPr>
                  <w:tcW w:w="59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形态</w:t>
                  </w:r>
                </w:p>
              </w:tc>
              <w:tc>
                <w:tcPr>
                  <w:tcW w:w="1156"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主要成分</w:t>
                  </w:r>
                </w:p>
              </w:tc>
              <w:tc>
                <w:tcPr>
                  <w:tcW w:w="784"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危险特性鉴别方法</w:t>
                  </w:r>
                </w:p>
              </w:tc>
              <w:tc>
                <w:tcPr>
                  <w:tcW w:w="60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危险</w:t>
                  </w:r>
                </w:p>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特性</w:t>
                  </w:r>
                </w:p>
              </w:tc>
              <w:tc>
                <w:tcPr>
                  <w:tcW w:w="682"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废物</w:t>
                  </w:r>
                </w:p>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类别</w:t>
                  </w:r>
                </w:p>
              </w:tc>
              <w:tc>
                <w:tcPr>
                  <w:tcW w:w="1182"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废物代码</w:t>
                  </w:r>
                </w:p>
              </w:tc>
              <w:tc>
                <w:tcPr>
                  <w:tcW w:w="787"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估算产生量（</w:t>
                  </w:r>
                  <w:r>
                    <w:rPr>
                      <w:rFonts w:ascii="Times New Roman" w:hAnsi="Times New Roman" w:cs="Times New Roman"/>
                      <w:kern w:val="0"/>
                      <w:szCs w:val="21"/>
                      <w:lang w:val="zh-CN"/>
                    </w:rPr>
                    <w:t>t/a</w:t>
                  </w:r>
                  <w:r>
                    <w:rPr>
                      <w:rFonts w:ascii="Times New Roman" w:hAnsi="Times New Roman" w:cs="Times New Roman"/>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9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1</w:t>
                  </w:r>
                </w:p>
              </w:tc>
              <w:tc>
                <w:tcPr>
                  <w:tcW w:w="872" w:type="dxa"/>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金属边角料及不合格品</w:t>
                  </w:r>
                </w:p>
              </w:tc>
              <w:tc>
                <w:tcPr>
                  <w:tcW w:w="1027"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一般工业固废</w:t>
                  </w:r>
                </w:p>
              </w:tc>
              <w:tc>
                <w:tcPr>
                  <w:tcW w:w="837" w:type="dxa"/>
                  <w:tcMar>
                    <w:left w:w="28" w:type="dxa"/>
                    <w:right w:w="28" w:type="dxa"/>
                  </w:tcMar>
                  <w:vAlign w:val="center"/>
                </w:tcPr>
                <w:p>
                  <w:pPr>
                    <w:spacing w:after="120"/>
                    <w:jc w:val="center"/>
                    <w:rPr>
                      <w:rFonts w:ascii="Times New Roman" w:hAnsi="Times New Roman" w:eastAsia="宋体" w:cs="Times New Roman"/>
                      <w:szCs w:val="21"/>
                    </w:rPr>
                  </w:pPr>
                  <w:r>
                    <w:rPr>
                      <w:rFonts w:ascii="Times New Roman" w:hAnsi="Times New Roman" w:eastAsia="宋体" w:cs="Times New Roman"/>
                      <w:szCs w:val="21"/>
                    </w:rPr>
                    <w:t>机加工、检验</w:t>
                  </w:r>
                </w:p>
              </w:tc>
              <w:tc>
                <w:tcPr>
                  <w:tcW w:w="599" w:type="dxa"/>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固废</w:t>
                  </w:r>
                </w:p>
              </w:tc>
              <w:tc>
                <w:tcPr>
                  <w:tcW w:w="1156" w:type="dxa"/>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金属</w:t>
                  </w:r>
                </w:p>
              </w:tc>
              <w:tc>
                <w:tcPr>
                  <w:tcW w:w="784" w:type="dxa"/>
                  <w:vMerge w:val="restart"/>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《国家危险废物名录》2016</w:t>
                  </w:r>
                </w:p>
              </w:tc>
              <w:tc>
                <w:tcPr>
                  <w:tcW w:w="60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w:t>
                  </w:r>
                </w:p>
              </w:tc>
              <w:tc>
                <w:tcPr>
                  <w:tcW w:w="682" w:type="dxa"/>
                  <w:tcMar>
                    <w:left w:w="28" w:type="dxa"/>
                    <w:right w:w="28" w:type="dxa"/>
                  </w:tcMar>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w:t>
                  </w:r>
                </w:p>
              </w:tc>
              <w:tc>
                <w:tcPr>
                  <w:tcW w:w="1182" w:type="dxa"/>
                  <w:tcMar>
                    <w:left w:w="28" w:type="dxa"/>
                    <w:right w:w="28" w:type="dxa"/>
                  </w:tcMar>
                  <w:vAlign w:val="center"/>
                </w:tcPr>
                <w:p>
                  <w:pPr>
                    <w:widowControl/>
                    <w:spacing w:line="240" w:lineRule="exact"/>
                    <w:jc w:val="center"/>
                    <w:rPr>
                      <w:rFonts w:ascii="Times New Roman" w:hAnsi="Times New Roman" w:cs="Times New Roman"/>
                      <w:szCs w:val="21"/>
                    </w:rPr>
                  </w:pPr>
                  <w:r>
                    <w:rPr>
                      <w:rFonts w:ascii="Times New Roman" w:hAnsi="Times New Roman" w:cs="Times New Roman"/>
                      <w:szCs w:val="21"/>
                    </w:rPr>
                    <w:t>/</w:t>
                  </w:r>
                </w:p>
              </w:tc>
              <w:tc>
                <w:tcPr>
                  <w:tcW w:w="787" w:type="dxa"/>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9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2</w:t>
                  </w:r>
                </w:p>
              </w:tc>
              <w:tc>
                <w:tcPr>
                  <w:tcW w:w="872" w:type="dxa"/>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废切削液</w:t>
                  </w:r>
                </w:p>
              </w:tc>
              <w:tc>
                <w:tcPr>
                  <w:tcW w:w="1027" w:type="dxa"/>
                  <w:tcMar>
                    <w:left w:w="28" w:type="dxa"/>
                    <w:right w:w="28" w:type="dxa"/>
                  </w:tcMar>
                  <w:vAlign w:val="center"/>
                </w:tcPr>
                <w:p>
                  <w:pPr>
                    <w:widowControl/>
                    <w:spacing w:line="240" w:lineRule="exact"/>
                    <w:rPr>
                      <w:rFonts w:ascii="Times New Roman" w:hAnsi="Times New Roman" w:cs="Times New Roman"/>
                      <w:kern w:val="0"/>
                      <w:szCs w:val="21"/>
                    </w:rPr>
                  </w:pPr>
                  <w:r>
                    <w:rPr>
                      <w:rFonts w:ascii="Times New Roman" w:hAnsi="Times New Roman" w:cs="Times New Roman"/>
                      <w:kern w:val="0"/>
                      <w:szCs w:val="21"/>
                    </w:rPr>
                    <w:t>危险固废</w:t>
                  </w:r>
                </w:p>
              </w:tc>
              <w:tc>
                <w:tcPr>
                  <w:tcW w:w="837" w:type="dxa"/>
                  <w:tcMar>
                    <w:left w:w="28" w:type="dxa"/>
                    <w:right w:w="28" w:type="dxa"/>
                  </w:tcMar>
                  <w:vAlign w:val="center"/>
                </w:tcPr>
                <w:p>
                  <w:pPr>
                    <w:spacing w:after="120"/>
                    <w:jc w:val="center"/>
                    <w:rPr>
                      <w:rFonts w:ascii="Times New Roman" w:hAnsi="Times New Roman" w:eastAsia="宋体" w:cs="Times New Roman"/>
                      <w:szCs w:val="21"/>
                    </w:rPr>
                  </w:pPr>
                  <w:r>
                    <w:rPr>
                      <w:rFonts w:ascii="Times New Roman" w:hAnsi="Times New Roman" w:eastAsia="宋体" w:cs="Times New Roman"/>
                      <w:szCs w:val="21"/>
                    </w:rPr>
                    <w:t>CNC加工</w:t>
                  </w:r>
                </w:p>
              </w:tc>
              <w:tc>
                <w:tcPr>
                  <w:tcW w:w="599" w:type="dxa"/>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固废</w:t>
                  </w:r>
                </w:p>
              </w:tc>
              <w:tc>
                <w:tcPr>
                  <w:tcW w:w="1156" w:type="dxa"/>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矿物油</w:t>
                  </w:r>
                </w:p>
              </w:tc>
              <w:tc>
                <w:tcPr>
                  <w:tcW w:w="784" w:type="dxa"/>
                  <w:vMerge w:val="continue"/>
                  <w:tcMar>
                    <w:left w:w="28" w:type="dxa"/>
                    <w:right w:w="28" w:type="dxa"/>
                  </w:tcMar>
                  <w:vAlign w:val="center"/>
                </w:tcPr>
                <w:p>
                  <w:pPr>
                    <w:widowControl/>
                    <w:spacing w:line="240" w:lineRule="exact"/>
                    <w:jc w:val="center"/>
                    <w:rPr>
                      <w:rFonts w:ascii="Times New Roman" w:hAnsi="Times New Roman" w:cs="Times New Roman"/>
                      <w:kern w:val="0"/>
                      <w:szCs w:val="21"/>
                    </w:rPr>
                  </w:pPr>
                </w:p>
              </w:tc>
              <w:tc>
                <w:tcPr>
                  <w:tcW w:w="60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T、In</w:t>
                  </w:r>
                </w:p>
              </w:tc>
              <w:tc>
                <w:tcPr>
                  <w:tcW w:w="682" w:type="dxa"/>
                  <w:tcMar>
                    <w:left w:w="28" w:type="dxa"/>
                    <w:right w:w="28" w:type="dxa"/>
                  </w:tcMar>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HW09</w:t>
                  </w:r>
                </w:p>
              </w:tc>
              <w:tc>
                <w:tcPr>
                  <w:tcW w:w="1182" w:type="dxa"/>
                  <w:tcMar>
                    <w:left w:w="28" w:type="dxa"/>
                    <w:right w:w="28" w:type="dxa"/>
                  </w:tcMar>
                  <w:vAlign w:val="center"/>
                </w:tcPr>
                <w:p>
                  <w:pPr>
                    <w:widowControl/>
                    <w:spacing w:line="240" w:lineRule="exact"/>
                    <w:jc w:val="center"/>
                    <w:rPr>
                      <w:rFonts w:ascii="Times New Roman" w:hAnsi="Times New Roman" w:cs="Times New Roman"/>
                      <w:szCs w:val="21"/>
                    </w:rPr>
                  </w:pPr>
                  <w:r>
                    <w:rPr>
                      <w:rFonts w:ascii="Times New Roman" w:hAnsi="Times New Roman" w:cs="Times New Roman"/>
                      <w:szCs w:val="21"/>
                    </w:rPr>
                    <w:t>900-006-09</w:t>
                  </w:r>
                </w:p>
              </w:tc>
              <w:tc>
                <w:tcPr>
                  <w:tcW w:w="787" w:type="dxa"/>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9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3</w:t>
                  </w:r>
                </w:p>
              </w:tc>
              <w:tc>
                <w:tcPr>
                  <w:tcW w:w="872" w:type="dxa"/>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废包装容器</w:t>
                  </w:r>
                </w:p>
              </w:tc>
              <w:tc>
                <w:tcPr>
                  <w:tcW w:w="1027" w:type="dxa"/>
                  <w:tcMar>
                    <w:left w:w="28" w:type="dxa"/>
                    <w:right w:w="28" w:type="dxa"/>
                  </w:tcMar>
                </w:tcPr>
                <w:p>
                  <w:pPr>
                    <w:rPr>
                      <w:rFonts w:ascii="Times New Roman" w:hAnsi="Times New Roman" w:cs="Times New Roman"/>
                    </w:rPr>
                  </w:pPr>
                  <w:r>
                    <w:rPr>
                      <w:rFonts w:ascii="Times New Roman" w:hAnsi="Times New Roman" w:cs="Times New Roman"/>
                      <w:kern w:val="0"/>
                      <w:szCs w:val="21"/>
                    </w:rPr>
                    <w:t>危险固废</w:t>
                  </w:r>
                </w:p>
              </w:tc>
              <w:tc>
                <w:tcPr>
                  <w:tcW w:w="837" w:type="dxa"/>
                  <w:tcMar>
                    <w:left w:w="28" w:type="dxa"/>
                    <w:right w:w="28" w:type="dxa"/>
                  </w:tcMar>
                  <w:vAlign w:val="center"/>
                </w:tcPr>
                <w:p>
                  <w:pPr>
                    <w:spacing w:after="120"/>
                    <w:jc w:val="center"/>
                    <w:rPr>
                      <w:rFonts w:ascii="Times New Roman" w:hAnsi="Times New Roman" w:eastAsia="宋体" w:cs="Times New Roman"/>
                      <w:szCs w:val="21"/>
                    </w:rPr>
                  </w:pPr>
                  <w:r>
                    <w:rPr>
                      <w:rFonts w:ascii="Times New Roman" w:hAnsi="Times New Roman" w:eastAsia="宋体" w:cs="Times New Roman"/>
                      <w:szCs w:val="21"/>
                    </w:rPr>
                    <w:t>拆包</w:t>
                  </w:r>
                </w:p>
              </w:tc>
              <w:tc>
                <w:tcPr>
                  <w:tcW w:w="599" w:type="dxa"/>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固废</w:t>
                  </w:r>
                </w:p>
              </w:tc>
              <w:tc>
                <w:tcPr>
                  <w:tcW w:w="1156" w:type="dxa"/>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矿物油、有机物</w:t>
                  </w:r>
                </w:p>
              </w:tc>
              <w:tc>
                <w:tcPr>
                  <w:tcW w:w="784" w:type="dxa"/>
                  <w:vMerge w:val="continue"/>
                  <w:tcMar>
                    <w:left w:w="28" w:type="dxa"/>
                    <w:right w:w="28" w:type="dxa"/>
                  </w:tcMar>
                  <w:vAlign w:val="center"/>
                </w:tcPr>
                <w:p>
                  <w:pPr>
                    <w:widowControl/>
                    <w:spacing w:line="240" w:lineRule="exact"/>
                    <w:jc w:val="center"/>
                    <w:rPr>
                      <w:rFonts w:ascii="Times New Roman" w:hAnsi="Times New Roman" w:cs="Times New Roman"/>
                      <w:kern w:val="0"/>
                      <w:szCs w:val="21"/>
                    </w:rPr>
                  </w:pPr>
                </w:p>
              </w:tc>
              <w:tc>
                <w:tcPr>
                  <w:tcW w:w="60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T、In</w:t>
                  </w:r>
                </w:p>
              </w:tc>
              <w:tc>
                <w:tcPr>
                  <w:tcW w:w="682" w:type="dxa"/>
                  <w:tcMar>
                    <w:left w:w="28" w:type="dxa"/>
                    <w:right w:w="28" w:type="dxa"/>
                  </w:tcMar>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HW49</w:t>
                  </w:r>
                </w:p>
              </w:tc>
              <w:tc>
                <w:tcPr>
                  <w:tcW w:w="1182" w:type="dxa"/>
                  <w:tcMar>
                    <w:left w:w="28" w:type="dxa"/>
                    <w:right w:w="28" w:type="dxa"/>
                  </w:tcMar>
                  <w:vAlign w:val="center"/>
                </w:tcPr>
                <w:p>
                  <w:pPr>
                    <w:widowControl/>
                    <w:spacing w:line="240" w:lineRule="exact"/>
                    <w:jc w:val="center"/>
                    <w:rPr>
                      <w:rFonts w:ascii="Times New Roman" w:hAnsi="Times New Roman" w:cs="Times New Roman"/>
                      <w:szCs w:val="21"/>
                    </w:rPr>
                  </w:pPr>
                  <w:r>
                    <w:rPr>
                      <w:rFonts w:ascii="Times New Roman" w:hAnsi="Times New Roman" w:cs="Times New Roman"/>
                      <w:szCs w:val="21"/>
                    </w:rPr>
                    <w:t>900-041-49</w:t>
                  </w:r>
                </w:p>
              </w:tc>
              <w:tc>
                <w:tcPr>
                  <w:tcW w:w="787" w:type="dxa"/>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9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4</w:t>
                  </w:r>
                </w:p>
              </w:tc>
              <w:tc>
                <w:tcPr>
                  <w:tcW w:w="872" w:type="dxa"/>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生活垃圾</w:t>
                  </w:r>
                </w:p>
              </w:tc>
              <w:tc>
                <w:tcPr>
                  <w:tcW w:w="1027"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生活垃圾</w:t>
                  </w:r>
                </w:p>
              </w:tc>
              <w:tc>
                <w:tcPr>
                  <w:tcW w:w="837" w:type="dxa"/>
                  <w:tcMar>
                    <w:left w:w="28" w:type="dxa"/>
                    <w:right w:w="28" w:type="dxa"/>
                  </w:tcMar>
                  <w:vAlign w:val="center"/>
                </w:tcPr>
                <w:p>
                  <w:pPr>
                    <w:spacing w:after="120"/>
                    <w:jc w:val="center"/>
                    <w:rPr>
                      <w:rFonts w:ascii="Times New Roman" w:hAnsi="Times New Roman" w:eastAsia="宋体" w:cs="Times New Roman"/>
                      <w:szCs w:val="21"/>
                    </w:rPr>
                  </w:pPr>
                  <w:r>
                    <w:rPr>
                      <w:rFonts w:ascii="Times New Roman" w:hAnsi="Times New Roman" w:eastAsia="宋体" w:cs="Times New Roman"/>
                      <w:szCs w:val="21"/>
                    </w:rPr>
                    <w:t>员工生活</w:t>
                  </w:r>
                </w:p>
              </w:tc>
              <w:tc>
                <w:tcPr>
                  <w:tcW w:w="599" w:type="dxa"/>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固废</w:t>
                  </w:r>
                </w:p>
              </w:tc>
              <w:tc>
                <w:tcPr>
                  <w:tcW w:w="1156" w:type="dxa"/>
                  <w:tcMar>
                    <w:left w:w="28" w:type="dxa"/>
                    <w:right w:w="28" w:type="dxa"/>
                  </w:tcMar>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纸等</w:t>
                  </w:r>
                </w:p>
              </w:tc>
              <w:tc>
                <w:tcPr>
                  <w:tcW w:w="784" w:type="dxa"/>
                  <w:vMerge w:val="continue"/>
                  <w:tcMar>
                    <w:left w:w="28" w:type="dxa"/>
                    <w:right w:w="28" w:type="dxa"/>
                  </w:tcMar>
                  <w:vAlign w:val="center"/>
                </w:tcPr>
                <w:p>
                  <w:pPr>
                    <w:widowControl/>
                    <w:spacing w:line="240" w:lineRule="exact"/>
                    <w:jc w:val="center"/>
                    <w:rPr>
                      <w:rFonts w:ascii="Times New Roman" w:hAnsi="Times New Roman" w:cs="Times New Roman"/>
                      <w:kern w:val="0"/>
                      <w:szCs w:val="21"/>
                    </w:rPr>
                  </w:pPr>
                </w:p>
              </w:tc>
              <w:tc>
                <w:tcPr>
                  <w:tcW w:w="609" w:type="dxa"/>
                  <w:tcMar>
                    <w:left w:w="28" w:type="dxa"/>
                    <w:right w:w="28" w:type="dxa"/>
                  </w:tcMar>
                  <w:vAlign w:val="center"/>
                </w:tcPr>
                <w:p>
                  <w:pPr>
                    <w:widowControl/>
                    <w:spacing w:line="240" w:lineRule="exact"/>
                    <w:jc w:val="center"/>
                    <w:rPr>
                      <w:rFonts w:ascii="Times New Roman" w:hAnsi="Times New Roman" w:cs="Times New Roman"/>
                      <w:kern w:val="0"/>
                      <w:szCs w:val="21"/>
                    </w:rPr>
                  </w:pPr>
                  <w:r>
                    <w:rPr>
                      <w:rFonts w:ascii="Times New Roman" w:hAnsi="Times New Roman" w:cs="Times New Roman"/>
                      <w:kern w:val="0"/>
                      <w:szCs w:val="21"/>
                    </w:rPr>
                    <w:t>/</w:t>
                  </w:r>
                </w:p>
              </w:tc>
              <w:tc>
                <w:tcPr>
                  <w:tcW w:w="682" w:type="dxa"/>
                  <w:tcMar>
                    <w:left w:w="28" w:type="dxa"/>
                    <w:right w:w="28" w:type="dxa"/>
                  </w:tcMar>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w:t>
                  </w:r>
                </w:p>
              </w:tc>
              <w:tc>
                <w:tcPr>
                  <w:tcW w:w="1182" w:type="dxa"/>
                  <w:tcMar>
                    <w:left w:w="28" w:type="dxa"/>
                    <w:right w:w="28" w:type="dxa"/>
                  </w:tcMar>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w:t>
                  </w:r>
                </w:p>
              </w:tc>
              <w:tc>
                <w:tcPr>
                  <w:tcW w:w="787" w:type="dxa"/>
                  <w:tcMar>
                    <w:left w:w="28" w:type="dxa"/>
                    <w:right w:w="28" w:type="dxa"/>
                  </w:tcMar>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w:t>
                  </w:r>
                </w:p>
              </w:tc>
            </w:tr>
          </w:tbl>
          <w:p>
            <w:pPr>
              <w:spacing w:line="500" w:lineRule="exact"/>
              <w:ind w:firstLine="480" w:firstLineChars="200"/>
              <w:rPr>
                <w:rFonts w:ascii="Times New Roman" w:hAnsi="Times New Roman" w:cs="Times New Roman"/>
                <w:sz w:val="24"/>
              </w:rPr>
            </w:pPr>
            <w:r>
              <w:rPr>
                <w:rFonts w:ascii="Times New Roman" w:hAnsi="Times New Roman" w:cs="Times New Roman"/>
                <w:sz w:val="24"/>
              </w:rPr>
              <w:t>危废产生情况具体见表5-6所示。</w:t>
            </w:r>
          </w:p>
          <w:p>
            <w:pPr>
              <w:autoSpaceDE w:val="0"/>
              <w:autoSpaceDN w:val="0"/>
              <w:snapToGrid w:val="0"/>
              <w:spacing w:line="320" w:lineRule="exact"/>
              <w:jc w:val="center"/>
              <w:rPr>
                <w:rFonts w:ascii="Times New Roman" w:hAnsi="Times New Roman" w:cs="Times New Roman"/>
                <w:b/>
                <w:snapToGrid w:val="0"/>
                <w:kern w:val="0"/>
                <w:szCs w:val="21"/>
              </w:rPr>
            </w:pPr>
            <w:r>
              <w:rPr>
                <w:rFonts w:ascii="Times New Roman" w:hAnsi="Times New Roman" w:cs="Times New Roman"/>
                <w:b/>
                <w:snapToGrid w:val="0"/>
                <w:kern w:val="0"/>
                <w:szCs w:val="21"/>
              </w:rPr>
              <w:t>表5 -6  项目营运期危险废物产生情况汇总表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7"/>
              <w:gridCol w:w="820"/>
              <w:gridCol w:w="798"/>
              <w:gridCol w:w="1323"/>
              <w:gridCol w:w="730"/>
              <w:gridCol w:w="753"/>
              <w:gridCol w:w="467"/>
              <w:gridCol w:w="782"/>
              <w:gridCol w:w="698"/>
              <w:gridCol w:w="647"/>
              <w:gridCol w:w="695"/>
              <w:gridCol w:w="6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67"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序号</w:t>
                  </w:r>
                </w:p>
              </w:tc>
              <w:tc>
                <w:tcPr>
                  <w:tcW w:w="820"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危废名称</w:t>
                  </w:r>
                </w:p>
              </w:tc>
              <w:tc>
                <w:tcPr>
                  <w:tcW w:w="798"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危废类别</w:t>
                  </w:r>
                </w:p>
              </w:tc>
              <w:tc>
                <w:tcPr>
                  <w:tcW w:w="1323"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危废代码</w:t>
                  </w:r>
                </w:p>
              </w:tc>
              <w:tc>
                <w:tcPr>
                  <w:tcW w:w="730"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产生量（吨/年）</w:t>
                  </w:r>
                </w:p>
              </w:tc>
              <w:tc>
                <w:tcPr>
                  <w:tcW w:w="753"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产生工序</w:t>
                  </w:r>
                </w:p>
              </w:tc>
              <w:tc>
                <w:tcPr>
                  <w:tcW w:w="467"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形态</w:t>
                  </w:r>
                </w:p>
              </w:tc>
              <w:tc>
                <w:tcPr>
                  <w:tcW w:w="782"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主要成分</w:t>
                  </w:r>
                </w:p>
              </w:tc>
              <w:tc>
                <w:tcPr>
                  <w:tcW w:w="698"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有害成分</w:t>
                  </w:r>
                </w:p>
              </w:tc>
              <w:tc>
                <w:tcPr>
                  <w:tcW w:w="647"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产废周期</w:t>
                  </w:r>
                </w:p>
              </w:tc>
              <w:tc>
                <w:tcPr>
                  <w:tcW w:w="695"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危险</w:t>
                  </w:r>
                </w:p>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特性</w:t>
                  </w:r>
                </w:p>
              </w:tc>
              <w:tc>
                <w:tcPr>
                  <w:tcW w:w="654"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污染防治措施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67"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1</w:t>
                  </w:r>
                </w:p>
              </w:tc>
              <w:tc>
                <w:tcPr>
                  <w:tcW w:w="820"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szCs w:val="21"/>
                    </w:rPr>
                    <w:t>废切削液</w:t>
                  </w:r>
                </w:p>
              </w:tc>
              <w:tc>
                <w:tcPr>
                  <w:tcW w:w="798"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HW09</w:t>
                  </w:r>
                </w:p>
              </w:tc>
              <w:tc>
                <w:tcPr>
                  <w:tcW w:w="1323"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900-006-09</w:t>
                  </w:r>
                </w:p>
              </w:tc>
              <w:tc>
                <w:tcPr>
                  <w:tcW w:w="730"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0.1</w:t>
                  </w:r>
                </w:p>
              </w:tc>
              <w:tc>
                <w:tcPr>
                  <w:tcW w:w="753"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CNC加工</w:t>
                  </w:r>
                </w:p>
              </w:tc>
              <w:tc>
                <w:tcPr>
                  <w:tcW w:w="467"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液</w:t>
                  </w:r>
                </w:p>
              </w:tc>
              <w:tc>
                <w:tcPr>
                  <w:tcW w:w="782"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矿物油、水</w:t>
                  </w:r>
                </w:p>
              </w:tc>
              <w:tc>
                <w:tcPr>
                  <w:tcW w:w="698"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矿物油</w:t>
                  </w:r>
                </w:p>
              </w:tc>
              <w:tc>
                <w:tcPr>
                  <w:tcW w:w="647"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3个月</w:t>
                  </w:r>
                </w:p>
              </w:tc>
              <w:tc>
                <w:tcPr>
                  <w:tcW w:w="695"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T、I</w:t>
                  </w:r>
                </w:p>
              </w:tc>
              <w:tc>
                <w:tcPr>
                  <w:tcW w:w="654" w:type="dxa"/>
                  <w:vMerge w:val="restart"/>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交由资质单位处理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67"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2</w:t>
                  </w:r>
                </w:p>
              </w:tc>
              <w:tc>
                <w:tcPr>
                  <w:tcW w:w="820"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废包装容器</w:t>
                  </w:r>
                </w:p>
              </w:tc>
              <w:tc>
                <w:tcPr>
                  <w:tcW w:w="798"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HW49</w:t>
                  </w:r>
                </w:p>
              </w:tc>
              <w:tc>
                <w:tcPr>
                  <w:tcW w:w="1323" w:type="dxa"/>
                  <w:vAlign w:val="center"/>
                </w:tcPr>
                <w:p>
                  <w:pPr>
                    <w:widowControl/>
                    <w:spacing w:line="240" w:lineRule="exact"/>
                    <w:jc w:val="center"/>
                    <w:rPr>
                      <w:rFonts w:ascii="Times New Roman" w:hAnsi="Times New Roman" w:cs="Times New Roman"/>
                      <w:szCs w:val="21"/>
                    </w:rPr>
                  </w:pPr>
                  <w:r>
                    <w:rPr>
                      <w:rFonts w:ascii="Times New Roman" w:hAnsi="Times New Roman" w:cs="Times New Roman"/>
                      <w:szCs w:val="21"/>
                    </w:rPr>
                    <w:t>900-041-49</w:t>
                  </w:r>
                </w:p>
              </w:tc>
              <w:tc>
                <w:tcPr>
                  <w:tcW w:w="730"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0.015</w:t>
                  </w:r>
                </w:p>
              </w:tc>
              <w:tc>
                <w:tcPr>
                  <w:tcW w:w="753" w:type="dxa"/>
                  <w:vAlign w:val="center"/>
                </w:tcPr>
                <w:p>
                  <w:pPr>
                    <w:spacing w:after="120"/>
                    <w:jc w:val="center"/>
                    <w:rPr>
                      <w:rFonts w:ascii="Times New Roman" w:hAnsi="Times New Roman" w:eastAsia="宋体" w:cs="Times New Roman"/>
                      <w:szCs w:val="21"/>
                    </w:rPr>
                  </w:pPr>
                  <w:r>
                    <w:rPr>
                      <w:rFonts w:ascii="Times New Roman" w:hAnsi="Times New Roman" w:eastAsia="宋体" w:cs="Times New Roman"/>
                      <w:szCs w:val="21"/>
                    </w:rPr>
                    <w:t>拆包</w:t>
                  </w:r>
                </w:p>
              </w:tc>
              <w:tc>
                <w:tcPr>
                  <w:tcW w:w="467" w:type="dxa"/>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固体</w:t>
                  </w:r>
                </w:p>
              </w:tc>
              <w:tc>
                <w:tcPr>
                  <w:tcW w:w="782"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塑料、胶</w:t>
                  </w:r>
                </w:p>
              </w:tc>
              <w:tc>
                <w:tcPr>
                  <w:tcW w:w="698" w:type="dxa"/>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胶</w:t>
                  </w:r>
                </w:p>
              </w:tc>
              <w:tc>
                <w:tcPr>
                  <w:tcW w:w="647" w:type="dxa"/>
                  <w:vAlign w:val="center"/>
                </w:tcPr>
                <w:p>
                  <w:pPr>
                    <w:topLinePunct/>
                    <w:adjustRightInd w:val="0"/>
                    <w:snapToGrid w:val="0"/>
                    <w:jc w:val="center"/>
                    <w:rPr>
                      <w:rFonts w:ascii="Times New Roman" w:hAnsi="Times New Roman" w:cs="Times New Roman"/>
                      <w:kern w:val="0"/>
                      <w:szCs w:val="21"/>
                    </w:rPr>
                  </w:pPr>
                  <w:r>
                    <w:rPr>
                      <w:rFonts w:ascii="Times New Roman" w:hAnsi="Times New Roman" w:cs="Times New Roman"/>
                      <w:kern w:val="0"/>
                      <w:szCs w:val="21"/>
                    </w:rPr>
                    <w:t>1天</w:t>
                  </w:r>
                </w:p>
              </w:tc>
              <w:tc>
                <w:tcPr>
                  <w:tcW w:w="695" w:type="dxa"/>
                  <w:vAlign w:val="center"/>
                </w:tcPr>
                <w:p>
                  <w:pPr>
                    <w:adjustRightInd w:val="0"/>
                    <w:snapToGrid w:val="0"/>
                    <w:jc w:val="center"/>
                    <w:rPr>
                      <w:rFonts w:ascii="Times New Roman" w:hAnsi="Times New Roman" w:cs="Times New Roman"/>
                      <w:kern w:val="0"/>
                      <w:szCs w:val="21"/>
                    </w:rPr>
                  </w:pPr>
                  <w:r>
                    <w:rPr>
                      <w:rFonts w:ascii="Times New Roman" w:hAnsi="Times New Roman" w:cs="Times New Roman"/>
                      <w:kern w:val="0"/>
                      <w:szCs w:val="21"/>
                    </w:rPr>
                    <w:t>T、In</w:t>
                  </w:r>
                </w:p>
              </w:tc>
              <w:tc>
                <w:tcPr>
                  <w:tcW w:w="654" w:type="dxa"/>
                  <w:vMerge w:val="continue"/>
                  <w:vAlign w:val="center"/>
                </w:tcPr>
                <w:p>
                  <w:pPr>
                    <w:topLinePunct/>
                    <w:adjustRightInd w:val="0"/>
                    <w:snapToGrid w:val="0"/>
                    <w:jc w:val="center"/>
                    <w:rPr>
                      <w:rFonts w:ascii="Times New Roman" w:hAnsi="Times New Roman" w:cs="Times New Roman"/>
                      <w:kern w:val="0"/>
                      <w:szCs w:val="21"/>
                    </w:rPr>
                  </w:pPr>
                </w:p>
              </w:tc>
            </w:tr>
          </w:tbl>
          <w:p>
            <w:pPr>
              <w:spacing w:line="360" w:lineRule="auto"/>
              <w:rPr>
                <w:rFonts w:ascii="Times New Roman" w:hAnsi="Times New Roman" w:eastAsia="宋体" w:cs="Times New Roman"/>
                <w:b/>
                <w:sz w:val="24"/>
                <w:szCs w:val="20"/>
              </w:rPr>
            </w:pPr>
          </w:p>
        </w:tc>
      </w:tr>
    </w:tbl>
    <w:p>
      <w:pPr>
        <w:spacing w:after="120"/>
        <w:rPr>
          <w:rFonts w:ascii="Times New Roman" w:hAnsi="Times New Roman" w:eastAsia="宋体" w:cs="Times New Roman"/>
          <w:color w:val="FF0000"/>
          <w:sz w:val="24"/>
          <w:szCs w:val="24"/>
        </w:rPr>
      </w:pPr>
    </w:p>
    <w:p>
      <w:pPr>
        <w:spacing w:after="120"/>
        <w:rPr>
          <w:rFonts w:ascii="Times New Roman" w:hAnsi="Times New Roman" w:eastAsia="宋体" w:cs="Times New Roman"/>
          <w:color w:val="FF0000"/>
          <w:sz w:val="24"/>
          <w:szCs w:val="24"/>
        </w:rPr>
        <w:sectPr>
          <w:pgSz w:w="11906" w:h="16838"/>
          <w:pgMar w:top="1440" w:right="1418" w:bottom="1440" w:left="1418" w:header="851" w:footer="992" w:gutter="0"/>
          <w:pgBorders w:offsetFrom="page">
            <w:top w:val="none" w:sz="0" w:space="0"/>
            <w:left w:val="none" w:sz="0" w:space="0"/>
            <w:bottom w:val="none" w:sz="0" w:space="0"/>
            <w:right w:val="none" w:sz="0" w:space="0"/>
          </w:pgBorders>
          <w:cols w:space="720" w:num="1"/>
          <w:docGrid w:linePitch="312" w:charSpace="0"/>
        </w:sectPr>
      </w:pPr>
    </w:p>
    <w:p>
      <w:pPr>
        <w:keepNext/>
        <w:keepLines/>
        <w:spacing w:line="240" w:lineRule="atLeast"/>
        <w:outlineLvl w:val="0"/>
        <w:rPr>
          <w:rFonts w:ascii="Times New Roman" w:hAnsi="Times New Roman" w:eastAsia="宋体" w:cs="Times New Roman"/>
          <w:b/>
          <w:bCs/>
          <w:kern w:val="44"/>
          <w:sz w:val="28"/>
          <w:szCs w:val="28"/>
        </w:rPr>
      </w:pPr>
      <w:r>
        <w:rPr>
          <w:rFonts w:ascii="Times New Roman" w:hAnsi="Times New Roman" w:eastAsia="宋体" w:cs="Times New Roman"/>
          <w:b/>
          <w:bCs/>
          <w:kern w:val="44"/>
          <w:sz w:val="28"/>
          <w:szCs w:val="28"/>
        </w:rPr>
        <w:t>六、项目主要污染物产生及预计排放情况</w:t>
      </w:r>
    </w:p>
    <w:tbl>
      <w:tblPr>
        <w:tblStyle w:val="36"/>
        <w:tblW w:w="99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0"/>
        <w:gridCol w:w="660"/>
        <w:gridCol w:w="1222"/>
        <w:gridCol w:w="1153"/>
        <w:gridCol w:w="190"/>
        <w:gridCol w:w="285"/>
        <w:gridCol w:w="475"/>
        <w:gridCol w:w="380"/>
        <w:gridCol w:w="570"/>
        <w:gridCol w:w="570"/>
        <w:gridCol w:w="380"/>
        <w:gridCol w:w="475"/>
        <w:gridCol w:w="285"/>
        <w:gridCol w:w="190"/>
        <w:gridCol w:w="1010"/>
        <w:gridCol w:w="1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70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种类</w:t>
            </w:r>
          </w:p>
        </w:tc>
        <w:tc>
          <w:tcPr>
            <w:tcW w:w="1882"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排放源（编号）</w:t>
            </w:r>
          </w:p>
        </w:tc>
        <w:tc>
          <w:tcPr>
            <w:tcW w:w="1153"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污染物</w:t>
            </w:r>
          </w:p>
          <w:p>
            <w:pPr>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950"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pacing w:val="-18"/>
                <w:szCs w:val="21"/>
              </w:rPr>
              <w:t>产生浓度</w:t>
            </w:r>
            <w:r>
              <w:rPr>
                <w:rFonts w:ascii="Times New Roman" w:hAnsi="Times New Roman" w:eastAsia="宋体" w:cs="Times New Roman"/>
                <w:szCs w:val="21"/>
              </w:rPr>
              <w:t>mg/m</w:t>
            </w:r>
            <w:r>
              <w:rPr>
                <w:rFonts w:ascii="Times New Roman" w:hAnsi="Times New Roman" w:eastAsia="宋体" w:cs="Times New Roman"/>
                <w:szCs w:val="21"/>
                <w:vertAlign w:val="superscript"/>
              </w:rPr>
              <w:t>3</w:t>
            </w:r>
          </w:p>
        </w:tc>
        <w:tc>
          <w:tcPr>
            <w:tcW w:w="950"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产生量t/a</w:t>
            </w:r>
          </w:p>
        </w:tc>
        <w:tc>
          <w:tcPr>
            <w:tcW w:w="950"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pacing w:val="-18"/>
                <w:szCs w:val="21"/>
              </w:rPr>
              <w:t>排放浓度</w:t>
            </w:r>
            <w:r>
              <w:rPr>
                <w:rFonts w:ascii="Times New Roman" w:hAnsi="Times New Roman" w:eastAsia="宋体" w:cs="Times New Roman"/>
                <w:szCs w:val="21"/>
              </w:rPr>
              <w:t>mg/m</w:t>
            </w:r>
            <w:r>
              <w:rPr>
                <w:rFonts w:ascii="Times New Roman" w:hAnsi="Times New Roman" w:eastAsia="宋体" w:cs="Times New Roman"/>
                <w:szCs w:val="21"/>
                <w:vertAlign w:val="superscript"/>
              </w:rPr>
              <w:t>3</w:t>
            </w:r>
          </w:p>
        </w:tc>
        <w:tc>
          <w:tcPr>
            <w:tcW w:w="950"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排放速率kg/h</w:t>
            </w:r>
          </w:p>
        </w:tc>
        <w:tc>
          <w:tcPr>
            <w:tcW w:w="101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排放量t/a</w:t>
            </w:r>
          </w:p>
        </w:tc>
        <w:tc>
          <w:tcPr>
            <w:tcW w:w="143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00"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废气</w:t>
            </w:r>
          </w:p>
        </w:tc>
        <w:tc>
          <w:tcPr>
            <w:tcW w:w="660"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无组织</w:t>
            </w:r>
          </w:p>
        </w:tc>
        <w:tc>
          <w:tcPr>
            <w:tcW w:w="1222"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生产车间</w:t>
            </w:r>
          </w:p>
        </w:tc>
        <w:tc>
          <w:tcPr>
            <w:tcW w:w="1153" w:type="dxa"/>
            <w:vAlign w:val="center"/>
          </w:tcPr>
          <w:p>
            <w:pPr>
              <w:jc w:val="center"/>
              <w:rPr>
                <w:rFonts w:ascii="Times New Roman" w:hAnsi="Times New Roman" w:eastAsia="宋体" w:cs="Times New Roman"/>
                <w:szCs w:val="21"/>
              </w:rPr>
            </w:pPr>
            <w:r>
              <w:rPr>
                <w:rFonts w:ascii="Times New Roman" w:hAnsi="Times New Roman" w:eastAsia="宋体" w:cs="Times New Roman"/>
                <w:bCs/>
                <w:szCs w:val="21"/>
              </w:rPr>
              <w:t>非甲烷总烃</w:t>
            </w:r>
          </w:p>
        </w:tc>
        <w:tc>
          <w:tcPr>
            <w:tcW w:w="950"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950" w:type="dxa"/>
            <w:gridSpan w:val="2"/>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0.0036</w:t>
            </w:r>
          </w:p>
        </w:tc>
        <w:tc>
          <w:tcPr>
            <w:tcW w:w="950"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950" w:type="dxa"/>
            <w:gridSpan w:val="3"/>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w:t>
            </w:r>
          </w:p>
        </w:tc>
        <w:tc>
          <w:tcPr>
            <w:tcW w:w="1010" w:type="dxa"/>
            <w:vAlign w:val="center"/>
          </w:tcPr>
          <w:p>
            <w:pPr>
              <w:jc w:val="center"/>
              <w:rPr>
                <w:rFonts w:ascii="Times New Roman" w:hAnsi="Times New Roman" w:eastAsia="Times New Roman" w:cs="Times New Roman"/>
                <w:szCs w:val="20"/>
              </w:rPr>
            </w:pPr>
            <w:r>
              <w:rPr>
                <w:rFonts w:ascii="Times New Roman" w:hAnsi="Times New Roman" w:eastAsia="Times New Roman" w:cs="Times New Roman"/>
                <w:szCs w:val="20"/>
              </w:rPr>
              <w:t>0.0036</w:t>
            </w:r>
          </w:p>
        </w:tc>
        <w:tc>
          <w:tcPr>
            <w:tcW w:w="1435"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周围大气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Merge w:val="continue"/>
            <w:vAlign w:val="center"/>
          </w:tcPr>
          <w:p>
            <w:pPr>
              <w:jc w:val="center"/>
              <w:rPr>
                <w:rFonts w:ascii="Times New Roman" w:hAnsi="Times New Roman" w:eastAsia="宋体" w:cs="Times New Roman"/>
                <w:szCs w:val="21"/>
              </w:rPr>
            </w:pPr>
          </w:p>
        </w:tc>
        <w:tc>
          <w:tcPr>
            <w:tcW w:w="1222" w:type="dxa"/>
            <w:vMerge w:val="continue"/>
            <w:vAlign w:val="center"/>
          </w:tcPr>
          <w:p>
            <w:pPr>
              <w:jc w:val="center"/>
              <w:rPr>
                <w:rFonts w:ascii="Times New Roman" w:hAnsi="Times New Roman" w:eastAsia="宋体" w:cs="Times New Roman"/>
                <w:szCs w:val="21"/>
              </w:rPr>
            </w:pPr>
          </w:p>
        </w:tc>
        <w:tc>
          <w:tcPr>
            <w:tcW w:w="1153" w:type="dxa"/>
            <w:vAlign w:val="center"/>
          </w:tcPr>
          <w:p>
            <w:pPr>
              <w:jc w:val="center"/>
              <w:rPr>
                <w:rFonts w:ascii="Times New Roman" w:hAnsi="Times New Roman" w:eastAsia="宋体" w:cs="Times New Roman"/>
                <w:bCs/>
                <w:szCs w:val="21"/>
              </w:rPr>
            </w:pPr>
            <w:r>
              <w:rPr>
                <w:rFonts w:ascii="Times New Roman" w:hAnsi="Times New Roman" w:eastAsia="宋体" w:cs="Times New Roman"/>
                <w:bCs/>
                <w:szCs w:val="21"/>
              </w:rPr>
              <w:t>颗粒物</w:t>
            </w:r>
          </w:p>
        </w:tc>
        <w:tc>
          <w:tcPr>
            <w:tcW w:w="950"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950" w:type="dxa"/>
            <w:gridSpan w:val="2"/>
            <w:vAlign w:val="center"/>
          </w:tcPr>
          <w:p>
            <w:pPr>
              <w:jc w:val="center"/>
              <w:rPr>
                <w:rFonts w:ascii="Times New Roman" w:hAnsi="Times New Roman" w:cs="Times New Roman"/>
                <w:szCs w:val="20"/>
              </w:rPr>
            </w:pPr>
            <w:r>
              <w:rPr>
                <w:rFonts w:ascii="Times New Roman" w:hAnsi="Times New Roman" w:cs="Times New Roman"/>
                <w:szCs w:val="20"/>
              </w:rPr>
              <w:t>0.0266</w:t>
            </w:r>
          </w:p>
        </w:tc>
        <w:tc>
          <w:tcPr>
            <w:tcW w:w="950"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950" w:type="dxa"/>
            <w:gridSpan w:val="3"/>
            <w:vAlign w:val="center"/>
          </w:tcPr>
          <w:p>
            <w:pPr>
              <w:jc w:val="center"/>
              <w:rPr>
                <w:rFonts w:ascii="Times New Roman" w:hAnsi="Times New Roman" w:cs="Times New Roman"/>
                <w:szCs w:val="20"/>
              </w:rPr>
            </w:pPr>
            <w:r>
              <w:rPr>
                <w:rFonts w:ascii="Times New Roman" w:hAnsi="Times New Roman" w:cs="Times New Roman"/>
                <w:szCs w:val="20"/>
              </w:rPr>
              <w:t>--</w:t>
            </w:r>
          </w:p>
        </w:tc>
        <w:tc>
          <w:tcPr>
            <w:tcW w:w="1010" w:type="dxa"/>
            <w:vAlign w:val="center"/>
          </w:tcPr>
          <w:p>
            <w:pPr>
              <w:jc w:val="center"/>
              <w:rPr>
                <w:rFonts w:ascii="Times New Roman" w:hAnsi="Times New Roman" w:cs="Times New Roman"/>
                <w:szCs w:val="20"/>
              </w:rPr>
            </w:pPr>
            <w:r>
              <w:rPr>
                <w:rFonts w:ascii="Times New Roman" w:hAnsi="Times New Roman" w:cs="Times New Roman"/>
                <w:szCs w:val="20"/>
              </w:rPr>
              <w:t>0.0041</w:t>
            </w:r>
          </w:p>
        </w:tc>
        <w:tc>
          <w:tcPr>
            <w:tcW w:w="1435"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700"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废水</w:t>
            </w:r>
          </w:p>
        </w:tc>
        <w:tc>
          <w:tcPr>
            <w:tcW w:w="66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类别</w:t>
            </w:r>
          </w:p>
        </w:tc>
        <w:tc>
          <w:tcPr>
            <w:tcW w:w="1222"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水量t/a</w:t>
            </w:r>
          </w:p>
        </w:tc>
        <w:tc>
          <w:tcPr>
            <w:tcW w:w="1343"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污染物</w:t>
            </w:r>
          </w:p>
          <w:p>
            <w:pPr>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1140"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产生浓度</w:t>
            </w:r>
          </w:p>
          <w:p>
            <w:pPr>
              <w:jc w:val="center"/>
              <w:rPr>
                <w:rFonts w:ascii="Times New Roman" w:hAnsi="Times New Roman" w:eastAsia="宋体" w:cs="Times New Roman"/>
                <w:szCs w:val="21"/>
              </w:rPr>
            </w:pPr>
            <w:r>
              <w:rPr>
                <w:rFonts w:ascii="Times New Roman" w:hAnsi="Times New Roman" w:eastAsia="宋体" w:cs="Times New Roman"/>
                <w:szCs w:val="21"/>
              </w:rPr>
              <w:t>mg/L</w:t>
            </w:r>
          </w:p>
        </w:tc>
        <w:tc>
          <w:tcPr>
            <w:tcW w:w="1140"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产生量t/a</w:t>
            </w:r>
          </w:p>
        </w:tc>
        <w:tc>
          <w:tcPr>
            <w:tcW w:w="1140"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排放浓度mg/L</w:t>
            </w:r>
          </w:p>
        </w:tc>
        <w:tc>
          <w:tcPr>
            <w:tcW w:w="1200"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排放量t/a</w:t>
            </w:r>
          </w:p>
        </w:tc>
        <w:tc>
          <w:tcPr>
            <w:tcW w:w="143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生活污水</w:t>
            </w:r>
          </w:p>
        </w:tc>
        <w:tc>
          <w:tcPr>
            <w:tcW w:w="1222"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640</w:t>
            </w:r>
          </w:p>
        </w:tc>
        <w:tc>
          <w:tcPr>
            <w:tcW w:w="1343" w:type="dxa"/>
            <w:gridSpan w:val="2"/>
            <w:vAlign w:val="center"/>
          </w:tcPr>
          <w:p>
            <w:pPr>
              <w:tabs>
                <w:tab w:val="left" w:pos="0"/>
              </w:tabs>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COD</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400</w:t>
            </w:r>
          </w:p>
        </w:tc>
        <w:tc>
          <w:tcPr>
            <w:tcW w:w="1140" w:type="dxa"/>
            <w:gridSpan w:val="2"/>
            <w:vAlign w:val="center"/>
          </w:tcPr>
          <w:p>
            <w:pPr>
              <w:jc w:val="center"/>
              <w:rPr>
                <w:rFonts w:ascii="Times New Roman" w:hAnsi="Times New Roman" w:cs="Times New Roman"/>
              </w:rPr>
            </w:pPr>
            <w:r>
              <w:rPr>
                <w:rFonts w:ascii="Times New Roman" w:hAnsi="Times New Roman" w:cs="Times New Roman"/>
              </w:rPr>
              <w:t>0.256</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400</w:t>
            </w:r>
          </w:p>
        </w:tc>
        <w:tc>
          <w:tcPr>
            <w:tcW w:w="1200" w:type="dxa"/>
            <w:gridSpan w:val="2"/>
            <w:vAlign w:val="center"/>
          </w:tcPr>
          <w:p>
            <w:pPr>
              <w:jc w:val="center"/>
              <w:rPr>
                <w:rFonts w:ascii="Times New Roman" w:hAnsi="Times New Roman" w:cs="Times New Roman"/>
              </w:rPr>
            </w:pPr>
            <w:r>
              <w:rPr>
                <w:rFonts w:ascii="Times New Roman" w:hAnsi="Times New Roman" w:cs="Times New Roman"/>
              </w:rPr>
              <w:t>0.256</w:t>
            </w:r>
          </w:p>
        </w:tc>
        <w:tc>
          <w:tcPr>
            <w:tcW w:w="1435"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市政污水管网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Merge w:val="continue"/>
            <w:vAlign w:val="center"/>
          </w:tcPr>
          <w:p>
            <w:pPr>
              <w:jc w:val="center"/>
              <w:rPr>
                <w:rFonts w:ascii="Times New Roman" w:hAnsi="Times New Roman" w:eastAsia="宋体" w:cs="Times New Roman"/>
                <w:szCs w:val="21"/>
              </w:rPr>
            </w:pPr>
          </w:p>
        </w:tc>
        <w:tc>
          <w:tcPr>
            <w:tcW w:w="1222" w:type="dxa"/>
            <w:vMerge w:val="continue"/>
            <w:vAlign w:val="center"/>
          </w:tcPr>
          <w:p>
            <w:pPr>
              <w:jc w:val="center"/>
              <w:rPr>
                <w:rFonts w:ascii="Times New Roman" w:hAnsi="Times New Roman" w:eastAsia="宋体" w:cs="Times New Roman"/>
                <w:szCs w:val="21"/>
              </w:rPr>
            </w:pPr>
          </w:p>
        </w:tc>
        <w:tc>
          <w:tcPr>
            <w:tcW w:w="1343" w:type="dxa"/>
            <w:gridSpan w:val="2"/>
            <w:vAlign w:val="center"/>
          </w:tcPr>
          <w:p>
            <w:pPr>
              <w:tabs>
                <w:tab w:val="left" w:pos="0"/>
              </w:tabs>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SS</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250</w:t>
            </w:r>
          </w:p>
        </w:tc>
        <w:tc>
          <w:tcPr>
            <w:tcW w:w="1140" w:type="dxa"/>
            <w:gridSpan w:val="2"/>
            <w:vAlign w:val="center"/>
          </w:tcPr>
          <w:p>
            <w:pPr>
              <w:jc w:val="center"/>
              <w:rPr>
                <w:rFonts w:ascii="Times New Roman" w:hAnsi="Times New Roman" w:cs="Times New Roman"/>
              </w:rPr>
            </w:pPr>
            <w:r>
              <w:rPr>
                <w:rFonts w:ascii="Times New Roman" w:hAnsi="Times New Roman" w:cs="Times New Roman"/>
              </w:rPr>
              <w:t>0.16</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250</w:t>
            </w:r>
          </w:p>
        </w:tc>
        <w:tc>
          <w:tcPr>
            <w:tcW w:w="1200" w:type="dxa"/>
            <w:gridSpan w:val="2"/>
            <w:vAlign w:val="center"/>
          </w:tcPr>
          <w:p>
            <w:pPr>
              <w:jc w:val="center"/>
              <w:rPr>
                <w:rFonts w:ascii="Times New Roman" w:hAnsi="Times New Roman" w:cs="Times New Roman"/>
              </w:rPr>
            </w:pPr>
            <w:r>
              <w:rPr>
                <w:rFonts w:ascii="Times New Roman" w:hAnsi="Times New Roman" w:cs="Times New Roman"/>
              </w:rPr>
              <w:t>0.16</w:t>
            </w:r>
          </w:p>
        </w:tc>
        <w:tc>
          <w:tcPr>
            <w:tcW w:w="1435"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Merge w:val="continue"/>
            <w:vAlign w:val="center"/>
          </w:tcPr>
          <w:p>
            <w:pPr>
              <w:jc w:val="center"/>
              <w:rPr>
                <w:rFonts w:ascii="Times New Roman" w:hAnsi="Times New Roman" w:eastAsia="宋体" w:cs="Times New Roman"/>
                <w:szCs w:val="21"/>
              </w:rPr>
            </w:pPr>
          </w:p>
        </w:tc>
        <w:tc>
          <w:tcPr>
            <w:tcW w:w="1222" w:type="dxa"/>
            <w:vMerge w:val="continue"/>
            <w:vAlign w:val="center"/>
          </w:tcPr>
          <w:p>
            <w:pPr>
              <w:jc w:val="center"/>
              <w:rPr>
                <w:rFonts w:ascii="Times New Roman" w:hAnsi="Times New Roman" w:eastAsia="宋体" w:cs="Times New Roman"/>
                <w:szCs w:val="21"/>
              </w:rPr>
            </w:pPr>
          </w:p>
        </w:tc>
        <w:tc>
          <w:tcPr>
            <w:tcW w:w="1343" w:type="dxa"/>
            <w:gridSpan w:val="2"/>
            <w:vAlign w:val="center"/>
          </w:tcPr>
          <w:p>
            <w:pPr>
              <w:tabs>
                <w:tab w:val="left" w:pos="0"/>
              </w:tabs>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氨氮</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30</w:t>
            </w:r>
          </w:p>
        </w:tc>
        <w:tc>
          <w:tcPr>
            <w:tcW w:w="1140" w:type="dxa"/>
            <w:gridSpan w:val="2"/>
            <w:vAlign w:val="center"/>
          </w:tcPr>
          <w:p>
            <w:pPr>
              <w:jc w:val="center"/>
              <w:rPr>
                <w:rFonts w:ascii="Times New Roman" w:hAnsi="Times New Roman" w:cs="Times New Roman"/>
              </w:rPr>
            </w:pPr>
            <w:r>
              <w:rPr>
                <w:rFonts w:ascii="Times New Roman" w:hAnsi="Times New Roman" w:cs="Times New Roman"/>
              </w:rPr>
              <w:t>0.0192</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30</w:t>
            </w:r>
          </w:p>
        </w:tc>
        <w:tc>
          <w:tcPr>
            <w:tcW w:w="1200" w:type="dxa"/>
            <w:gridSpan w:val="2"/>
            <w:vAlign w:val="center"/>
          </w:tcPr>
          <w:p>
            <w:pPr>
              <w:jc w:val="center"/>
              <w:rPr>
                <w:rFonts w:ascii="Times New Roman" w:hAnsi="Times New Roman" w:cs="Times New Roman"/>
              </w:rPr>
            </w:pPr>
            <w:r>
              <w:rPr>
                <w:rFonts w:ascii="Times New Roman" w:hAnsi="Times New Roman" w:cs="Times New Roman"/>
              </w:rPr>
              <w:t>0.0192</w:t>
            </w:r>
          </w:p>
        </w:tc>
        <w:tc>
          <w:tcPr>
            <w:tcW w:w="1435"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Merge w:val="continue"/>
            <w:vAlign w:val="center"/>
          </w:tcPr>
          <w:p>
            <w:pPr>
              <w:jc w:val="center"/>
              <w:rPr>
                <w:rFonts w:ascii="Times New Roman" w:hAnsi="Times New Roman" w:eastAsia="宋体" w:cs="Times New Roman"/>
                <w:szCs w:val="21"/>
              </w:rPr>
            </w:pPr>
          </w:p>
        </w:tc>
        <w:tc>
          <w:tcPr>
            <w:tcW w:w="1222" w:type="dxa"/>
            <w:vMerge w:val="continue"/>
            <w:vAlign w:val="center"/>
          </w:tcPr>
          <w:p>
            <w:pPr>
              <w:jc w:val="center"/>
              <w:rPr>
                <w:rFonts w:ascii="Times New Roman" w:hAnsi="Times New Roman" w:eastAsia="宋体" w:cs="Times New Roman"/>
                <w:szCs w:val="21"/>
              </w:rPr>
            </w:pPr>
          </w:p>
        </w:tc>
        <w:tc>
          <w:tcPr>
            <w:tcW w:w="1343" w:type="dxa"/>
            <w:gridSpan w:val="2"/>
            <w:vAlign w:val="center"/>
          </w:tcPr>
          <w:p>
            <w:pPr>
              <w:tabs>
                <w:tab w:val="left" w:pos="0"/>
              </w:tabs>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总氮</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70</w:t>
            </w:r>
          </w:p>
        </w:tc>
        <w:tc>
          <w:tcPr>
            <w:tcW w:w="1140" w:type="dxa"/>
            <w:gridSpan w:val="2"/>
            <w:vAlign w:val="center"/>
          </w:tcPr>
          <w:p>
            <w:pPr>
              <w:jc w:val="center"/>
              <w:rPr>
                <w:rFonts w:ascii="Times New Roman" w:hAnsi="Times New Roman" w:cs="Times New Roman"/>
              </w:rPr>
            </w:pPr>
            <w:r>
              <w:rPr>
                <w:rFonts w:ascii="Times New Roman" w:hAnsi="Times New Roman" w:cs="Times New Roman"/>
              </w:rPr>
              <w:t>0.0448</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70</w:t>
            </w:r>
          </w:p>
        </w:tc>
        <w:tc>
          <w:tcPr>
            <w:tcW w:w="1200" w:type="dxa"/>
            <w:gridSpan w:val="2"/>
            <w:vAlign w:val="center"/>
          </w:tcPr>
          <w:p>
            <w:pPr>
              <w:jc w:val="center"/>
              <w:rPr>
                <w:rFonts w:ascii="Times New Roman" w:hAnsi="Times New Roman" w:cs="Times New Roman"/>
              </w:rPr>
            </w:pPr>
            <w:r>
              <w:rPr>
                <w:rFonts w:ascii="Times New Roman" w:hAnsi="Times New Roman" w:cs="Times New Roman"/>
              </w:rPr>
              <w:t>0.0448</w:t>
            </w:r>
          </w:p>
        </w:tc>
        <w:tc>
          <w:tcPr>
            <w:tcW w:w="1435"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Merge w:val="continue"/>
            <w:vAlign w:val="center"/>
          </w:tcPr>
          <w:p>
            <w:pPr>
              <w:jc w:val="center"/>
              <w:rPr>
                <w:rFonts w:ascii="Times New Roman" w:hAnsi="Times New Roman" w:eastAsia="宋体" w:cs="Times New Roman"/>
                <w:szCs w:val="21"/>
              </w:rPr>
            </w:pPr>
          </w:p>
        </w:tc>
        <w:tc>
          <w:tcPr>
            <w:tcW w:w="1222" w:type="dxa"/>
            <w:vMerge w:val="continue"/>
            <w:vAlign w:val="center"/>
          </w:tcPr>
          <w:p>
            <w:pPr>
              <w:jc w:val="center"/>
              <w:rPr>
                <w:rFonts w:ascii="Times New Roman" w:hAnsi="Times New Roman" w:eastAsia="宋体" w:cs="Times New Roman"/>
                <w:szCs w:val="21"/>
              </w:rPr>
            </w:pPr>
          </w:p>
        </w:tc>
        <w:tc>
          <w:tcPr>
            <w:tcW w:w="1343" w:type="dxa"/>
            <w:gridSpan w:val="2"/>
            <w:vAlign w:val="center"/>
          </w:tcPr>
          <w:p>
            <w:pPr>
              <w:tabs>
                <w:tab w:val="left" w:pos="0"/>
              </w:tabs>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总磷</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4</w:t>
            </w:r>
          </w:p>
        </w:tc>
        <w:tc>
          <w:tcPr>
            <w:tcW w:w="1140" w:type="dxa"/>
            <w:gridSpan w:val="2"/>
            <w:vAlign w:val="center"/>
          </w:tcPr>
          <w:p>
            <w:pPr>
              <w:jc w:val="center"/>
              <w:rPr>
                <w:rFonts w:ascii="Times New Roman" w:hAnsi="Times New Roman" w:cs="Times New Roman"/>
              </w:rPr>
            </w:pPr>
            <w:r>
              <w:rPr>
                <w:rFonts w:ascii="Times New Roman" w:hAnsi="Times New Roman" w:cs="Times New Roman"/>
              </w:rPr>
              <w:t>0.00256</w:t>
            </w:r>
          </w:p>
        </w:tc>
        <w:tc>
          <w:tcPr>
            <w:tcW w:w="1140" w:type="dxa"/>
            <w:gridSpan w:val="3"/>
            <w:vAlign w:val="center"/>
          </w:tcPr>
          <w:p>
            <w:pPr>
              <w:jc w:val="center"/>
              <w:rPr>
                <w:rFonts w:ascii="Times New Roman" w:hAnsi="Times New Roman" w:cs="Times New Roman"/>
                <w:szCs w:val="21"/>
              </w:rPr>
            </w:pPr>
            <w:r>
              <w:rPr>
                <w:rFonts w:ascii="Times New Roman" w:hAnsi="Times New Roman" w:cs="Times New Roman"/>
                <w:szCs w:val="21"/>
              </w:rPr>
              <w:t>4</w:t>
            </w:r>
          </w:p>
        </w:tc>
        <w:tc>
          <w:tcPr>
            <w:tcW w:w="1200" w:type="dxa"/>
            <w:gridSpan w:val="2"/>
            <w:vAlign w:val="center"/>
          </w:tcPr>
          <w:p>
            <w:pPr>
              <w:jc w:val="center"/>
              <w:rPr>
                <w:rFonts w:ascii="Times New Roman" w:hAnsi="Times New Roman" w:cs="Times New Roman"/>
              </w:rPr>
            </w:pPr>
            <w:r>
              <w:rPr>
                <w:rFonts w:ascii="Times New Roman" w:hAnsi="Times New Roman" w:cs="Times New Roman"/>
              </w:rPr>
              <w:t>0.00256</w:t>
            </w:r>
          </w:p>
        </w:tc>
        <w:tc>
          <w:tcPr>
            <w:tcW w:w="1435"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700"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固体废物</w:t>
            </w:r>
          </w:p>
        </w:tc>
        <w:tc>
          <w:tcPr>
            <w:tcW w:w="66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类别</w:t>
            </w:r>
          </w:p>
        </w:tc>
        <w:tc>
          <w:tcPr>
            <w:tcW w:w="1222"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1628"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产生量t/a</w:t>
            </w:r>
          </w:p>
        </w:tc>
        <w:tc>
          <w:tcPr>
            <w:tcW w:w="142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处理处置量t/a</w:t>
            </w:r>
          </w:p>
        </w:tc>
        <w:tc>
          <w:tcPr>
            <w:tcW w:w="142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综合利用量t/a</w:t>
            </w:r>
          </w:p>
        </w:tc>
        <w:tc>
          <w:tcPr>
            <w:tcW w:w="148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外排量t/a</w:t>
            </w:r>
          </w:p>
        </w:tc>
        <w:tc>
          <w:tcPr>
            <w:tcW w:w="143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一般工业固废</w:t>
            </w:r>
          </w:p>
        </w:tc>
        <w:tc>
          <w:tcPr>
            <w:tcW w:w="1222"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金属边角料及不合格品</w:t>
            </w:r>
          </w:p>
        </w:tc>
        <w:tc>
          <w:tcPr>
            <w:tcW w:w="1628" w:type="dxa"/>
            <w:gridSpan w:val="3"/>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20</w:t>
            </w:r>
          </w:p>
        </w:tc>
        <w:tc>
          <w:tcPr>
            <w:tcW w:w="1425" w:type="dxa"/>
            <w:gridSpan w:val="3"/>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20</w:t>
            </w:r>
          </w:p>
        </w:tc>
        <w:tc>
          <w:tcPr>
            <w:tcW w:w="142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48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43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收集后外售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Merge w:val="restar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危险固体废物</w:t>
            </w:r>
          </w:p>
        </w:tc>
        <w:tc>
          <w:tcPr>
            <w:tcW w:w="1222"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废切削液</w:t>
            </w:r>
          </w:p>
        </w:tc>
        <w:tc>
          <w:tcPr>
            <w:tcW w:w="1628" w:type="dxa"/>
            <w:gridSpan w:val="3"/>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w:t>
            </w:r>
          </w:p>
        </w:tc>
        <w:tc>
          <w:tcPr>
            <w:tcW w:w="1425" w:type="dxa"/>
            <w:gridSpan w:val="3"/>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w:t>
            </w:r>
          </w:p>
        </w:tc>
        <w:tc>
          <w:tcPr>
            <w:tcW w:w="142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48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435"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委托有资质单位回收处理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Merge w:val="continue"/>
            <w:vAlign w:val="center"/>
          </w:tcPr>
          <w:p>
            <w:pPr>
              <w:adjustRightInd w:val="0"/>
              <w:snapToGrid w:val="0"/>
              <w:jc w:val="center"/>
              <w:rPr>
                <w:rFonts w:ascii="Times New Roman" w:hAnsi="Times New Roman" w:eastAsia="宋体" w:cs="Times New Roman"/>
                <w:szCs w:val="21"/>
              </w:rPr>
            </w:pPr>
          </w:p>
        </w:tc>
        <w:tc>
          <w:tcPr>
            <w:tcW w:w="1222"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废包装容器</w:t>
            </w:r>
          </w:p>
        </w:tc>
        <w:tc>
          <w:tcPr>
            <w:tcW w:w="1628" w:type="dxa"/>
            <w:gridSpan w:val="3"/>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0.015</w:t>
            </w:r>
          </w:p>
        </w:tc>
        <w:tc>
          <w:tcPr>
            <w:tcW w:w="1425" w:type="dxa"/>
            <w:gridSpan w:val="3"/>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0.015</w:t>
            </w:r>
          </w:p>
        </w:tc>
        <w:tc>
          <w:tcPr>
            <w:tcW w:w="142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48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435"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700" w:type="dxa"/>
            <w:vMerge w:val="continue"/>
            <w:vAlign w:val="center"/>
          </w:tcPr>
          <w:p>
            <w:pPr>
              <w:jc w:val="center"/>
              <w:rPr>
                <w:rFonts w:ascii="Times New Roman" w:hAnsi="Times New Roman" w:eastAsia="宋体" w:cs="Times New Roman"/>
                <w:szCs w:val="21"/>
              </w:rPr>
            </w:pPr>
          </w:p>
        </w:tc>
        <w:tc>
          <w:tcPr>
            <w:tcW w:w="660"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生活垃圾</w:t>
            </w:r>
          </w:p>
        </w:tc>
        <w:tc>
          <w:tcPr>
            <w:tcW w:w="1222"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生活垃圾</w:t>
            </w:r>
          </w:p>
        </w:tc>
        <w:tc>
          <w:tcPr>
            <w:tcW w:w="1628" w:type="dxa"/>
            <w:gridSpan w:val="3"/>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w:t>
            </w:r>
          </w:p>
        </w:tc>
        <w:tc>
          <w:tcPr>
            <w:tcW w:w="1425" w:type="dxa"/>
            <w:gridSpan w:val="3"/>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w:t>
            </w:r>
          </w:p>
        </w:tc>
        <w:tc>
          <w:tcPr>
            <w:tcW w:w="142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485"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w:t>
            </w:r>
          </w:p>
        </w:tc>
        <w:tc>
          <w:tcPr>
            <w:tcW w:w="143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环卫部门收集处理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1360" w:type="dxa"/>
            <w:gridSpan w:val="2"/>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8620" w:type="dxa"/>
            <w:gridSpan w:val="14"/>
            <w:vAlign w:val="center"/>
          </w:tcPr>
          <w:p>
            <w:pPr>
              <w:jc w:val="center"/>
              <w:rPr>
                <w:rFonts w:ascii="Times New Roman" w:hAnsi="Times New Roman" w:eastAsia="宋体" w:cs="Times New Roman"/>
                <w:szCs w:val="21"/>
              </w:rPr>
            </w:pPr>
            <w:r>
              <w:rPr>
                <w:rFonts w:ascii="Times New Roman" w:hAnsi="Times New Roman" w:cs="Times New Roman"/>
              </w:rPr>
              <w:t>本项目高噪声设备主要有涂布机、激光蚀刻机等，单台设备噪声源强为75-85dB(A)，设备运行噪声通过相应的降噪措施、厂房隔声、距离衰减后，各厂界噪声满足《工业企业厂界环境噪声排放标准》（GB12348-2008）3类标准要求，即：昼间噪声值≤65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jc w:val="center"/>
        </w:trPr>
        <w:tc>
          <w:tcPr>
            <w:tcW w:w="700"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电离辐射和电磁辐射</w:t>
            </w:r>
          </w:p>
        </w:tc>
        <w:tc>
          <w:tcPr>
            <w:tcW w:w="9280" w:type="dxa"/>
            <w:gridSpan w:val="15"/>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0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其它</w:t>
            </w:r>
          </w:p>
        </w:tc>
        <w:tc>
          <w:tcPr>
            <w:tcW w:w="9280" w:type="dxa"/>
            <w:gridSpan w:val="15"/>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3" w:hRule="atLeast"/>
          <w:jc w:val="center"/>
        </w:trPr>
        <w:tc>
          <w:tcPr>
            <w:tcW w:w="9980" w:type="dxa"/>
            <w:gridSpan w:val="16"/>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主要生态影响（不够时可另附页）</w:t>
            </w:r>
          </w:p>
          <w:p>
            <w:pPr>
              <w:spacing w:line="360" w:lineRule="auto"/>
              <w:ind w:firstLine="435"/>
              <w:jc w:val="center"/>
              <w:rPr>
                <w:rFonts w:ascii="Times New Roman" w:hAnsi="Times New Roman" w:eastAsia="宋体" w:cs="Times New Roman"/>
                <w:szCs w:val="21"/>
              </w:rPr>
            </w:pPr>
            <w:r>
              <w:rPr>
                <w:rFonts w:ascii="Times New Roman" w:hAnsi="Times New Roman" w:eastAsia="宋体" w:cs="Times New Roman"/>
                <w:szCs w:val="21"/>
              </w:rPr>
              <w:t>本项目利用已建好的车间进行生产，并不进行土建，故本项目建设不会改变厂区土地功能和结构，对生态环境基本不产生影响。</w:t>
            </w:r>
          </w:p>
          <w:p>
            <w:pPr>
              <w:spacing w:line="360" w:lineRule="auto"/>
              <w:ind w:firstLine="435"/>
              <w:jc w:val="center"/>
              <w:rPr>
                <w:rFonts w:ascii="Times New Roman" w:hAnsi="Times New Roman" w:eastAsia="宋体" w:cs="Times New Roman"/>
                <w:szCs w:val="21"/>
              </w:rPr>
            </w:pPr>
          </w:p>
          <w:p>
            <w:pPr>
              <w:spacing w:after="120"/>
              <w:jc w:val="center"/>
              <w:rPr>
                <w:rFonts w:ascii="Times New Roman" w:hAnsi="Times New Roman" w:eastAsia="宋体" w:cs="Times New Roman"/>
                <w:szCs w:val="21"/>
              </w:rPr>
            </w:pPr>
          </w:p>
          <w:p>
            <w:pPr>
              <w:spacing w:after="120"/>
              <w:jc w:val="center"/>
              <w:rPr>
                <w:rFonts w:ascii="Times New Roman" w:hAnsi="Times New Roman" w:eastAsia="宋体" w:cs="Times New Roman"/>
                <w:szCs w:val="21"/>
              </w:rPr>
            </w:pPr>
          </w:p>
          <w:p>
            <w:pPr>
              <w:spacing w:after="120"/>
              <w:jc w:val="center"/>
              <w:rPr>
                <w:rFonts w:ascii="Times New Roman" w:hAnsi="Times New Roman" w:eastAsia="宋体" w:cs="Times New Roman"/>
                <w:szCs w:val="21"/>
              </w:rPr>
            </w:pPr>
          </w:p>
          <w:p>
            <w:pPr>
              <w:spacing w:after="120"/>
              <w:rPr>
                <w:rFonts w:ascii="Times New Roman" w:hAnsi="Times New Roman" w:eastAsia="宋体" w:cs="Times New Roman"/>
                <w:szCs w:val="21"/>
              </w:rPr>
            </w:pPr>
          </w:p>
        </w:tc>
      </w:tr>
    </w:tbl>
    <w:p>
      <w:pPr>
        <w:rPr>
          <w:rFonts w:ascii="Times New Roman" w:hAnsi="Times New Roman" w:eastAsia="宋体" w:cs="Times New Roman"/>
          <w:color w:val="FF0000"/>
          <w:sz w:val="28"/>
          <w:szCs w:val="28"/>
        </w:rPr>
        <w:sectPr>
          <w:pgSz w:w="11906" w:h="16838"/>
          <w:pgMar w:top="1440" w:right="1418" w:bottom="1440" w:left="1418" w:header="851" w:footer="992" w:gutter="0"/>
          <w:pgBorders w:offsetFrom="page">
            <w:top w:val="none" w:sz="0" w:space="0"/>
            <w:left w:val="none" w:sz="0" w:space="0"/>
            <w:bottom w:val="none" w:sz="0" w:space="0"/>
            <w:right w:val="none" w:sz="0" w:space="0"/>
          </w:pgBorders>
          <w:cols w:space="720" w:num="1"/>
          <w:docGrid w:linePitch="312" w:charSpace="0"/>
        </w:sectPr>
      </w:pPr>
    </w:p>
    <w:p>
      <w:pPr>
        <w:keepNext/>
        <w:keepLines/>
        <w:spacing w:line="240" w:lineRule="atLeast"/>
        <w:outlineLvl w:val="0"/>
        <w:rPr>
          <w:rFonts w:ascii="Times New Roman" w:hAnsi="Times New Roman" w:eastAsia="宋体" w:cs="Times New Roman"/>
          <w:b/>
          <w:bCs/>
          <w:kern w:val="44"/>
          <w:sz w:val="28"/>
          <w:szCs w:val="28"/>
        </w:rPr>
      </w:pPr>
      <w:r>
        <w:rPr>
          <w:rFonts w:ascii="Times New Roman" w:hAnsi="Times New Roman" w:eastAsia="宋体" w:cs="Times New Roman"/>
          <w:b/>
          <w:bCs/>
          <w:kern w:val="44"/>
          <w:sz w:val="28"/>
          <w:szCs w:val="28"/>
        </w:rPr>
        <w:t>七、环境影响分析</w:t>
      </w:r>
    </w:p>
    <w:tbl>
      <w:tblPr>
        <w:tblStyle w:val="3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Layout w:type="autofit"/>
        <w:tblCellMar>
          <w:top w:w="0" w:type="dxa"/>
          <w:left w:w="108" w:type="dxa"/>
          <w:bottom w:w="0" w:type="dxa"/>
          <w:right w:w="108" w:type="dxa"/>
        </w:tblCellMar>
      </w:tblPr>
      <w:tblGrid>
        <w:gridCol w:w="928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12524" w:hRule="atLeast"/>
          <w:jc w:val="center"/>
        </w:trPr>
        <w:tc>
          <w:tcPr>
            <w:tcW w:w="9287" w:type="dxa"/>
          </w:tcPr>
          <w:p>
            <w:pPr>
              <w:snapToGrid w:val="0"/>
              <w:spacing w:line="360" w:lineRule="auto"/>
              <w:rPr>
                <w:rFonts w:ascii="Times New Roman" w:hAnsi="Times New Roman" w:cs="Times New Roman"/>
                <w:b/>
                <w:sz w:val="24"/>
              </w:rPr>
            </w:pPr>
            <w:r>
              <w:rPr>
                <w:rFonts w:ascii="Times New Roman" w:hAnsi="Times New Roman" w:cs="Times New Roman"/>
                <w:b/>
                <w:sz w:val="24"/>
              </w:rPr>
              <w:t>施工期环境影响简要分析：</w:t>
            </w:r>
          </w:p>
          <w:p>
            <w:pPr>
              <w:adjustRightInd w:val="0"/>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本项目利用已建成的厂房进行相关生产，不需进行土木建筑施工，所使用的设备不需要进行安装，不会对周围环境产生噪声影响，因此在项目建设期间对周围环境不会造成影响。</w:t>
            </w: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360" w:firstLineChars="150"/>
              <w:rPr>
                <w:rFonts w:ascii="Times New Roman" w:hAnsi="Times New Roman" w:cs="Times New Roman"/>
                <w:sz w:val="24"/>
              </w:rPr>
            </w:pPr>
          </w:p>
          <w:p>
            <w:pPr>
              <w:spacing w:line="360" w:lineRule="auto"/>
              <w:ind w:firstLine="562" w:firstLineChars="200"/>
              <w:rPr>
                <w:rFonts w:ascii="Times New Roman" w:hAnsi="Times New Roman" w:cs="Times New Roman"/>
                <w:b/>
                <w:sz w:val="2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12882" w:hRule="atLeast"/>
          <w:jc w:val="center"/>
        </w:trPr>
        <w:tc>
          <w:tcPr>
            <w:tcW w:w="9287" w:type="dxa"/>
          </w:tcPr>
          <w:p>
            <w:pPr>
              <w:spacing w:line="360" w:lineRule="auto"/>
              <w:rPr>
                <w:rFonts w:ascii="Times New Roman" w:hAnsi="Times New Roman" w:cs="Times New Roman"/>
                <w:b/>
                <w:sz w:val="24"/>
              </w:rPr>
            </w:pPr>
            <w:r>
              <w:rPr>
                <w:rFonts w:ascii="Times New Roman" w:hAnsi="Times New Roman" w:cs="Times New Roman"/>
                <w:b/>
                <w:sz w:val="24"/>
              </w:rPr>
              <w:t>营运期环境影响分析：</w:t>
            </w:r>
          </w:p>
          <w:p>
            <w:pPr>
              <w:spacing w:line="360" w:lineRule="auto"/>
              <w:ind w:firstLine="482" w:firstLineChars="200"/>
              <w:rPr>
                <w:rFonts w:ascii="Times New Roman" w:hAnsi="Times New Roman" w:cs="Times New Roman"/>
                <w:b/>
                <w:sz w:val="24"/>
              </w:rPr>
            </w:pPr>
            <w:r>
              <w:rPr>
                <w:rFonts w:ascii="Times New Roman" w:hAnsi="Times New Roman" w:cs="Times New Roman"/>
                <w:b/>
                <w:sz w:val="24"/>
              </w:rPr>
              <w:t>1、地表水环境影响分析</w:t>
            </w:r>
          </w:p>
          <w:p>
            <w:pPr>
              <w:spacing w:line="360" w:lineRule="auto"/>
              <w:ind w:firstLine="480" w:firstLineChars="200"/>
              <w:rPr>
                <w:rFonts w:ascii="Times New Roman" w:hAnsi="Times New Roman" w:cs="Times New Roman"/>
                <w:bCs/>
                <w:sz w:val="24"/>
              </w:rPr>
            </w:pPr>
            <w:r>
              <w:rPr>
                <w:rFonts w:ascii="Times New Roman" w:hAnsi="Times New Roman" w:cs="Times New Roman"/>
                <w:bCs/>
                <w:sz w:val="24"/>
              </w:rPr>
              <w:t>本项目生活污水经市政污水管网进入</w:t>
            </w:r>
            <w:r>
              <w:rPr>
                <w:rFonts w:ascii="Times New Roman" w:hAnsi="Times New Roman" w:cs="Times New Roman"/>
                <w:sz w:val="24"/>
              </w:rPr>
              <w:t>太仓城东污水处理厂</w:t>
            </w:r>
            <w:r>
              <w:rPr>
                <w:rFonts w:ascii="Times New Roman" w:hAnsi="Times New Roman" w:cs="Times New Roman"/>
                <w:bCs/>
                <w:sz w:val="24"/>
              </w:rPr>
              <w:t>处理，根据《环境影响评价技术导则―地表水环境》（HJ2.3-2018），本项目水环境影响评价等级为三级B，不需进行水环境影响预测。</w:t>
            </w:r>
          </w:p>
          <w:p>
            <w:pPr>
              <w:spacing w:line="360" w:lineRule="auto"/>
              <w:ind w:firstLine="480" w:firstLineChars="200"/>
              <w:rPr>
                <w:rFonts w:ascii="Times New Roman" w:hAnsi="Times New Roman" w:cs="Times New Roman"/>
                <w:bCs/>
                <w:sz w:val="24"/>
              </w:rPr>
            </w:pPr>
            <w:r>
              <w:rPr>
                <w:rFonts w:ascii="Times New Roman" w:hAnsi="Times New Roman" w:cs="Times New Roman"/>
                <w:bCs/>
                <w:sz w:val="24"/>
              </w:rPr>
              <w:t>本项目的水环境影响评价主要为：a) 水污染控制和水环境影响减缓措施有效性评价；b) 依托污水处理设施的环境可行性评价。</w:t>
            </w:r>
          </w:p>
          <w:p>
            <w:pPr>
              <w:spacing w:line="360" w:lineRule="auto"/>
              <w:ind w:firstLine="480" w:firstLineChars="200"/>
              <w:rPr>
                <w:rFonts w:ascii="Times New Roman" w:hAnsi="Times New Roman" w:cs="Times New Roman"/>
                <w:bCs/>
                <w:sz w:val="24"/>
              </w:rPr>
            </w:pPr>
            <w:r>
              <w:rPr>
                <w:rFonts w:ascii="Times New Roman" w:hAnsi="Times New Roman" w:cs="Times New Roman"/>
                <w:bCs/>
                <w:sz w:val="24"/>
              </w:rPr>
              <w:t>（1）水污染控制和水环境影响减缓措施有效性评价</w:t>
            </w:r>
          </w:p>
          <w:p>
            <w:pPr>
              <w:spacing w:line="360" w:lineRule="auto"/>
              <w:ind w:firstLine="480" w:firstLineChars="200"/>
              <w:rPr>
                <w:rFonts w:ascii="Times New Roman" w:hAnsi="Times New Roman" w:cs="Times New Roman"/>
                <w:bCs/>
                <w:sz w:val="24"/>
              </w:rPr>
            </w:pPr>
            <w:r>
              <w:rPr>
                <w:rFonts w:ascii="Times New Roman" w:hAnsi="Times New Roman" w:cs="Times New Roman"/>
                <w:bCs/>
                <w:sz w:val="24"/>
              </w:rPr>
              <w:t>本项目运营期生活污水经市政污水管网进</w:t>
            </w:r>
            <w:r>
              <w:rPr>
                <w:rFonts w:ascii="Times New Roman" w:hAnsi="Times New Roman" w:cs="Times New Roman"/>
                <w:bCs/>
                <w:color w:val="000000"/>
                <w:sz w:val="24"/>
              </w:rPr>
              <w:t>入太仓城东污水处理厂处</w:t>
            </w:r>
            <w:r>
              <w:rPr>
                <w:rFonts w:ascii="Times New Roman" w:hAnsi="Times New Roman" w:cs="Times New Roman"/>
                <w:bCs/>
                <w:sz w:val="24"/>
              </w:rPr>
              <w:t>理，且最终排入夏驾河总量：废水量≤640t/a，尾水排放量较小，对纳污水体水环境影响较小。</w:t>
            </w:r>
          </w:p>
          <w:p>
            <w:pPr>
              <w:spacing w:line="360" w:lineRule="auto"/>
              <w:ind w:firstLine="480" w:firstLineChars="200"/>
              <w:rPr>
                <w:rFonts w:ascii="Times New Roman" w:hAnsi="Times New Roman" w:cs="Times New Roman"/>
                <w:bCs/>
                <w:sz w:val="24"/>
              </w:rPr>
            </w:pPr>
            <w:r>
              <w:rPr>
                <w:rFonts w:ascii="Times New Roman" w:hAnsi="Times New Roman" w:cs="Times New Roman"/>
                <w:bCs/>
                <w:sz w:val="24"/>
              </w:rPr>
              <w:t>（2）依托污水处理设施的环境可行性评价。</w:t>
            </w:r>
          </w:p>
          <w:p>
            <w:pPr>
              <w:spacing w:line="360" w:lineRule="auto"/>
              <w:ind w:firstLine="480" w:firstLineChars="200"/>
              <w:rPr>
                <w:rFonts w:ascii="Times New Roman" w:hAnsi="Times New Roman" w:cs="Times New Roman"/>
                <w:bCs/>
                <w:sz w:val="24"/>
              </w:rPr>
            </w:pPr>
            <w:r>
              <w:rPr>
                <w:rFonts w:ascii="Times New Roman" w:hAnsi="Times New Roman" w:cs="Times New Roman"/>
                <w:bCs/>
                <w:sz w:val="24"/>
              </w:rPr>
              <w:t>本项目所在地属于</w:t>
            </w:r>
            <w:r>
              <w:rPr>
                <w:rFonts w:ascii="Times New Roman" w:hAnsi="Times New Roman" w:cs="Times New Roman"/>
                <w:sz w:val="24"/>
              </w:rPr>
              <w:t>太仓城东污水处理厂</w:t>
            </w:r>
            <w:r>
              <w:rPr>
                <w:rFonts w:ascii="Times New Roman" w:hAnsi="Times New Roman" w:cs="Times New Roman"/>
                <w:bCs/>
                <w:sz w:val="24"/>
              </w:rPr>
              <w:t>服务范围，且市政污水管道已铺设到位。因此，项目生活污水接入</w:t>
            </w:r>
            <w:r>
              <w:rPr>
                <w:rFonts w:ascii="Times New Roman" w:hAnsi="Times New Roman" w:cs="Times New Roman"/>
                <w:sz w:val="24"/>
              </w:rPr>
              <w:t>太仓城东污水处理厂</w:t>
            </w:r>
            <w:r>
              <w:rPr>
                <w:rFonts w:ascii="Times New Roman" w:hAnsi="Times New Roman" w:cs="Times New Roman"/>
                <w:bCs/>
                <w:sz w:val="24"/>
              </w:rPr>
              <w:t>从纳管可行性上分析，是可行的。</w:t>
            </w:r>
          </w:p>
          <w:p>
            <w:pPr>
              <w:pStyle w:val="16"/>
              <w:spacing w:after="0"/>
              <w:ind w:firstLine="482" w:firstLineChars="200"/>
              <w:jc w:val="center"/>
              <w:rPr>
                <w:b/>
                <w:bCs/>
                <w:sz w:val="24"/>
              </w:rPr>
            </w:pPr>
            <w:r>
              <w:rPr>
                <w:b/>
                <w:bCs/>
                <w:sz w:val="24"/>
              </w:rPr>
              <w:t>表7-1 废水类别、污染物及治理设施信息表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7"/>
              <w:gridCol w:w="669"/>
              <w:gridCol w:w="841"/>
              <w:gridCol w:w="683"/>
              <w:gridCol w:w="607"/>
              <w:gridCol w:w="784"/>
              <w:gridCol w:w="898"/>
              <w:gridCol w:w="810"/>
              <w:gridCol w:w="908"/>
              <w:gridCol w:w="864"/>
              <w:gridCol w:w="15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2" w:hRule="atLeast"/>
                <w:jc w:val="center"/>
              </w:trPr>
              <w:tc>
                <w:tcPr>
                  <w:tcW w:w="396"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序号</w:t>
                  </w:r>
                </w:p>
              </w:tc>
              <w:tc>
                <w:tcPr>
                  <w:tcW w:w="677"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废水类别</w:t>
                  </w:r>
                </w:p>
              </w:tc>
              <w:tc>
                <w:tcPr>
                  <w:tcW w:w="843"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污染物种类</w:t>
                  </w:r>
                </w:p>
              </w:tc>
              <w:tc>
                <w:tcPr>
                  <w:tcW w:w="691"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排放去向</w:t>
                  </w:r>
                </w:p>
              </w:tc>
              <w:tc>
                <w:tcPr>
                  <w:tcW w:w="613"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排放规律</w:t>
                  </w:r>
                </w:p>
              </w:tc>
              <w:tc>
                <w:tcPr>
                  <w:tcW w:w="2529" w:type="dxa"/>
                  <w:gridSpan w:val="3"/>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污染治理设施</w:t>
                  </w:r>
                </w:p>
              </w:tc>
              <w:tc>
                <w:tcPr>
                  <w:tcW w:w="911"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排放口编号</w:t>
                  </w:r>
                </w:p>
              </w:tc>
              <w:tc>
                <w:tcPr>
                  <w:tcW w:w="873"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排放口设置是否符合要求</w:t>
                  </w:r>
                </w:p>
              </w:tc>
              <w:tc>
                <w:tcPr>
                  <w:tcW w:w="1627"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排放口类型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96" w:type="dxa"/>
                  <w:vMerge w:val="continue"/>
                  <w:vAlign w:val="center"/>
                </w:tcPr>
                <w:p>
                  <w:pPr>
                    <w:autoSpaceDE w:val="0"/>
                    <w:autoSpaceDN w:val="0"/>
                    <w:adjustRightInd w:val="0"/>
                    <w:jc w:val="center"/>
                    <w:rPr>
                      <w:rFonts w:ascii="Times New Roman" w:hAnsi="Times New Roman" w:cs="Times New Roman"/>
                      <w:sz w:val="18"/>
                      <w:szCs w:val="18"/>
                    </w:rPr>
                  </w:pPr>
                </w:p>
              </w:tc>
              <w:tc>
                <w:tcPr>
                  <w:tcW w:w="677" w:type="dxa"/>
                  <w:vMerge w:val="continue"/>
                  <w:vAlign w:val="center"/>
                </w:tcPr>
                <w:p>
                  <w:pPr>
                    <w:autoSpaceDE w:val="0"/>
                    <w:autoSpaceDN w:val="0"/>
                    <w:adjustRightInd w:val="0"/>
                    <w:jc w:val="center"/>
                    <w:rPr>
                      <w:rFonts w:ascii="Times New Roman" w:hAnsi="Times New Roman" w:cs="Times New Roman"/>
                      <w:sz w:val="18"/>
                      <w:szCs w:val="18"/>
                    </w:rPr>
                  </w:pPr>
                </w:p>
              </w:tc>
              <w:tc>
                <w:tcPr>
                  <w:tcW w:w="843" w:type="dxa"/>
                  <w:vMerge w:val="continue"/>
                  <w:vAlign w:val="center"/>
                </w:tcPr>
                <w:p>
                  <w:pPr>
                    <w:autoSpaceDE w:val="0"/>
                    <w:autoSpaceDN w:val="0"/>
                    <w:adjustRightInd w:val="0"/>
                    <w:jc w:val="center"/>
                    <w:rPr>
                      <w:rFonts w:ascii="Times New Roman" w:hAnsi="Times New Roman" w:cs="Times New Roman"/>
                      <w:sz w:val="18"/>
                      <w:szCs w:val="18"/>
                    </w:rPr>
                  </w:pPr>
                </w:p>
              </w:tc>
              <w:tc>
                <w:tcPr>
                  <w:tcW w:w="691" w:type="dxa"/>
                  <w:vMerge w:val="continue"/>
                  <w:vAlign w:val="center"/>
                </w:tcPr>
                <w:p>
                  <w:pPr>
                    <w:autoSpaceDE w:val="0"/>
                    <w:autoSpaceDN w:val="0"/>
                    <w:adjustRightInd w:val="0"/>
                    <w:jc w:val="center"/>
                    <w:rPr>
                      <w:rFonts w:ascii="Times New Roman" w:hAnsi="Times New Roman" w:cs="Times New Roman"/>
                      <w:sz w:val="18"/>
                      <w:szCs w:val="18"/>
                    </w:rPr>
                  </w:pPr>
                </w:p>
              </w:tc>
              <w:tc>
                <w:tcPr>
                  <w:tcW w:w="613" w:type="dxa"/>
                  <w:vMerge w:val="continue"/>
                  <w:vAlign w:val="center"/>
                </w:tcPr>
                <w:p>
                  <w:pPr>
                    <w:autoSpaceDE w:val="0"/>
                    <w:autoSpaceDN w:val="0"/>
                    <w:adjustRightInd w:val="0"/>
                    <w:jc w:val="center"/>
                    <w:rPr>
                      <w:rFonts w:ascii="Times New Roman" w:hAnsi="Times New Roman" w:cs="Times New Roman"/>
                      <w:sz w:val="18"/>
                      <w:szCs w:val="18"/>
                    </w:rPr>
                  </w:pPr>
                </w:p>
              </w:tc>
              <w:tc>
                <w:tcPr>
                  <w:tcW w:w="795"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污染治理设施编号</w:t>
                  </w:r>
                </w:p>
              </w:tc>
              <w:tc>
                <w:tcPr>
                  <w:tcW w:w="912"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污染治理设施名称</w:t>
                  </w:r>
                </w:p>
              </w:tc>
              <w:tc>
                <w:tcPr>
                  <w:tcW w:w="822"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污染治理设施工艺</w:t>
                  </w:r>
                </w:p>
              </w:tc>
              <w:tc>
                <w:tcPr>
                  <w:tcW w:w="911" w:type="dxa"/>
                  <w:vMerge w:val="continue"/>
                  <w:vAlign w:val="center"/>
                </w:tcPr>
                <w:p>
                  <w:pPr>
                    <w:autoSpaceDE w:val="0"/>
                    <w:autoSpaceDN w:val="0"/>
                    <w:adjustRightInd w:val="0"/>
                    <w:jc w:val="center"/>
                    <w:rPr>
                      <w:rFonts w:ascii="Times New Roman" w:hAnsi="Times New Roman" w:cs="Times New Roman"/>
                      <w:sz w:val="18"/>
                      <w:szCs w:val="18"/>
                    </w:rPr>
                  </w:pPr>
                </w:p>
              </w:tc>
              <w:tc>
                <w:tcPr>
                  <w:tcW w:w="873" w:type="dxa"/>
                  <w:vMerge w:val="continue"/>
                  <w:vAlign w:val="center"/>
                </w:tcPr>
                <w:p>
                  <w:pPr>
                    <w:autoSpaceDE w:val="0"/>
                    <w:autoSpaceDN w:val="0"/>
                    <w:adjustRightInd w:val="0"/>
                    <w:jc w:val="center"/>
                    <w:rPr>
                      <w:rFonts w:ascii="Times New Roman" w:hAnsi="Times New Roman" w:cs="Times New Roman"/>
                      <w:sz w:val="18"/>
                      <w:szCs w:val="18"/>
                    </w:rPr>
                  </w:pPr>
                </w:p>
              </w:tc>
              <w:tc>
                <w:tcPr>
                  <w:tcW w:w="1627" w:type="dxa"/>
                  <w:vMerge w:val="continue"/>
                  <w:vAlign w:val="center"/>
                </w:tcPr>
                <w:p>
                  <w:pPr>
                    <w:autoSpaceDE w:val="0"/>
                    <w:autoSpaceDN w:val="0"/>
                    <w:adjustRightInd w:val="0"/>
                    <w:jc w:val="center"/>
                    <w:rPr>
                      <w:rFonts w:ascii="Times New Roman" w:hAnsi="Times New Roman" w:cs="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396"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1</w:t>
                  </w:r>
                </w:p>
              </w:tc>
              <w:tc>
                <w:tcPr>
                  <w:tcW w:w="677"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生活污水</w:t>
                  </w:r>
                </w:p>
              </w:tc>
              <w:tc>
                <w:tcPr>
                  <w:tcW w:w="843"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COD、SS、氨氮、TN、TP</w:t>
                  </w:r>
                </w:p>
              </w:tc>
              <w:tc>
                <w:tcPr>
                  <w:tcW w:w="691"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太仓城东污水处理厂</w:t>
                  </w:r>
                </w:p>
              </w:tc>
              <w:tc>
                <w:tcPr>
                  <w:tcW w:w="613"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间断</w:t>
                  </w:r>
                </w:p>
              </w:tc>
              <w:tc>
                <w:tcPr>
                  <w:tcW w:w="795"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w:t>
                  </w:r>
                </w:p>
              </w:tc>
              <w:tc>
                <w:tcPr>
                  <w:tcW w:w="912"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w:t>
                  </w:r>
                </w:p>
              </w:tc>
              <w:tc>
                <w:tcPr>
                  <w:tcW w:w="822"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w:t>
                  </w:r>
                </w:p>
              </w:tc>
              <w:tc>
                <w:tcPr>
                  <w:tcW w:w="911"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DW001</w:t>
                  </w:r>
                </w:p>
              </w:tc>
              <w:tc>
                <w:tcPr>
                  <w:tcW w:w="873"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sym w:font="Wingdings" w:char="00FE"/>
                  </w:r>
                  <w:r>
                    <w:rPr>
                      <w:rFonts w:ascii="Times New Roman" w:hAnsi="Times New Roman" w:cs="Times New Roman"/>
                      <w:sz w:val="18"/>
                      <w:szCs w:val="18"/>
                    </w:rPr>
                    <w:t>是</w:t>
                  </w:r>
                </w:p>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sym w:font="Wingdings" w:char="00A8"/>
                  </w:r>
                  <w:r>
                    <w:rPr>
                      <w:rFonts w:ascii="Times New Roman" w:hAnsi="Times New Roman" w:cs="Times New Roman"/>
                      <w:sz w:val="18"/>
                      <w:szCs w:val="18"/>
                    </w:rPr>
                    <w:t>否</w:t>
                  </w:r>
                </w:p>
              </w:tc>
              <w:tc>
                <w:tcPr>
                  <w:tcW w:w="1627" w:type="dxa"/>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sym w:font="Wingdings 2" w:char="0052"/>
                  </w:r>
                  <w:r>
                    <w:rPr>
                      <w:rFonts w:ascii="Times New Roman" w:hAnsi="Times New Roman" w:cs="Times New Roman"/>
                      <w:sz w:val="18"/>
                      <w:szCs w:val="18"/>
                    </w:rPr>
                    <w:t>企业排口</w:t>
                  </w:r>
                </w:p>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□雨水排放</w:t>
                  </w:r>
                </w:p>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□清净下水排放</w:t>
                  </w:r>
                </w:p>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□温排水排放</w:t>
                  </w:r>
                </w:p>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□车间或车间处理设施排放口</w:t>
                  </w:r>
                </w:p>
              </w:tc>
            </w:tr>
          </w:tbl>
          <w:p>
            <w:pPr>
              <w:pStyle w:val="16"/>
              <w:spacing w:after="0"/>
              <w:ind w:firstLine="482" w:firstLineChars="200"/>
              <w:jc w:val="center"/>
              <w:rPr>
                <w:b/>
                <w:bCs/>
                <w:sz w:val="24"/>
              </w:rPr>
            </w:pPr>
            <w:r>
              <w:rPr>
                <w:b/>
                <w:bCs/>
                <w:sz w:val="24"/>
              </w:rPr>
              <w:t>表7-2 废水间接排放口基本情况表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7"/>
              <w:gridCol w:w="805"/>
              <w:gridCol w:w="1278"/>
              <w:gridCol w:w="1298"/>
              <w:gridCol w:w="836"/>
              <w:gridCol w:w="497"/>
              <w:gridCol w:w="553"/>
              <w:gridCol w:w="1006"/>
              <w:gridCol w:w="553"/>
              <w:gridCol w:w="706"/>
              <w:gridCol w:w="1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378"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序号</w:t>
                  </w:r>
                </w:p>
              </w:tc>
              <w:tc>
                <w:tcPr>
                  <w:tcW w:w="835"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排放口编号</w:t>
                  </w:r>
                </w:p>
              </w:tc>
              <w:tc>
                <w:tcPr>
                  <w:tcW w:w="1707" w:type="dxa"/>
                  <w:gridSpan w:val="2"/>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排放口地理坐标</w:t>
                  </w:r>
                </w:p>
              </w:tc>
              <w:tc>
                <w:tcPr>
                  <w:tcW w:w="848"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废水排放量（/t/a）</w:t>
                  </w:r>
                </w:p>
              </w:tc>
              <w:tc>
                <w:tcPr>
                  <w:tcW w:w="651"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排放去向</w:t>
                  </w:r>
                </w:p>
              </w:tc>
              <w:tc>
                <w:tcPr>
                  <w:tcW w:w="795"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排放规律</w:t>
                  </w:r>
                </w:p>
              </w:tc>
              <w:tc>
                <w:tcPr>
                  <w:tcW w:w="925"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间隙排放时间段</w:t>
                  </w:r>
                </w:p>
              </w:tc>
              <w:tc>
                <w:tcPr>
                  <w:tcW w:w="3020" w:type="dxa"/>
                  <w:gridSpan w:val="3"/>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受纳污水处理厂信息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378" w:type="dxa"/>
                  <w:vMerge w:val="continue"/>
                  <w:vAlign w:val="center"/>
                </w:tcPr>
                <w:p>
                  <w:pPr>
                    <w:autoSpaceDE w:val="0"/>
                    <w:autoSpaceDN w:val="0"/>
                    <w:adjustRightInd w:val="0"/>
                    <w:jc w:val="center"/>
                    <w:rPr>
                      <w:rFonts w:ascii="Times New Roman" w:hAnsi="Times New Roman" w:cs="Times New Roman"/>
                      <w:b/>
                      <w:bCs/>
                      <w:sz w:val="18"/>
                      <w:szCs w:val="18"/>
                    </w:rPr>
                  </w:pPr>
                </w:p>
              </w:tc>
              <w:tc>
                <w:tcPr>
                  <w:tcW w:w="835" w:type="dxa"/>
                  <w:vMerge w:val="continue"/>
                  <w:vAlign w:val="center"/>
                </w:tcPr>
                <w:p>
                  <w:pPr>
                    <w:autoSpaceDE w:val="0"/>
                    <w:autoSpaceDN w:val="0"/>
                    <w:adjustRightInd w:val="0"/>
                    <w:jc w:val="center"/>
                    <w:rPr>
                      <w:rFonts w:ascii="Times New Roman" w:hAnsi="Times New Roman" w:cs="Times New Roman"/>
                      <w:b/>
                      <w:bCs/>
                      <w:sz w:val="18"/>
                      <w:szCs w:val="18"/>
                    </w:rPr>
                  </w:pPr>
                </w:p>
              </w:tc>
              <w:tc>
                <w:tcPr>
                  <w:tcW w:w="886"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经度</w:t>
                  </w:r>
                </w:p>
              </w:tc>
              <w:tc>
                <w:tcPr>
                  <w:tcW w:w="821"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纬度</w:t>
                  </w:r>
                </w:p>
              </w:tc>
              <w:tc>
                <w:tcPr>
                  <w:tcW w:w="848" w:type="dxa"/>
                  <w:vMerge w:val="continue"/>
                  <w:vAlign w:val="center"/>
                </w:tcPr>
                <w:p>
                  <w:pPr>
                    <w:autoSpaceDE w:val="0"/>
                    <w:autoSpaceDN w:val="0"/>
                    <w:adjustRightInd w:val="0"/>
                    <w:jc w:val="center"/>
                    <w:rPr>
                      <w:rFonts w:ascii="Times New Roman" w:hAnsi="Times New Roman" w:cs="Times New Roman"/>
                      <w:b/>
                      <w:bCs/>
                      <w:sz w:val="18"/>
                      <w:szCs w:val="18"/>
                    </w:rPr>
                  </w:pPr>
                </w:p>
              </w:tc>
              <w:tc>
                <w:tcPr>
                  <w:tcW w:w="651" w:type="dxa"/>
                  <w:vMerge w:val="continue"/>
                  <w:vAlign w:val="center"/>
                </w:tcPr>
                <w:p>
                  <w:pPr>
                    <w:autoSpaceDE w:val="0"/>
                    <w:autoSpaceDN w:val="0"/>
                    <w:adjustRightInd w:val="0"/>
                    <w:jc w:val="center"/>
                    <w:rPr>
                      <w:rFonts w:ascii="Times New Roman" w:hAnsi="Times New Roman" w:cs="Times New Roman"/>
                      <w:b/>
                      <w:bCs/>
                      <w:sz w:val="18"/>
                      <w:szCs w:val="18"/>
                    </w:rPr>
                  </w:pPr>
                </w:p>
              </w:tc>
              <w:tc>
                <w:tcPr>
                  <w:tcW w:w="795" w:type="dxa"/>
                  <w:vMerge w:val="continue"/>
                  <w:vAlign w:val="center"/>
                </w:tcPr>
                <w:p>
                  <w:pPr>
                    <w:autoSpaceDE w:val="0"/>
                    <w:autoSpaceDN w:val="0"/>
                    <w:adjustRightInd w:val="0"/>
                    <w:jc w:val="center"/>
                    <w:rPr>
                      <w:rFonts w:ascii="Times New Roman" w:hAnsi="Times New Roman" w:cs="Times New Roman"/>
                      <w:b/>
                      <w:bCs/>
                      <w:sz w:val="18"/>
                      <w:szCs w:val="18"/>
                    </w:rPr>
                  </w:pPr>
                </w:p>
              </w:tc>
              <w:tc>
                <w:tcPr>
                  <w:tcW w:w="925" w:type="dxa"/>
                  <w:vMerge w:val="continue"/>
                  <w:vAlign w:val="center"/>
                </w:tcPr>
                <w:p>
                  <w:pPr>
                    <w:autoSpaceDE w:val="0"/>
                    <w:autoSpaceDN w:val="0"/>
                    <w:adjustRightInd w:val="0"/>
                    <w:jc w:val="center"/>
                    <w:rPr>
                      <w:rFonts w:ascii="Times New Roman" w:hAnsi="Times New Roman" w:cs="Times New Roman"/>
                      <w:b/>
                      <w:bCs/>
                      <w:sz w:val="18"/>
                      <w:szCs w:val="18"/>
                    </w:rPr>
                  </w:pPr>
                </w:p>
              </w:tc>
              <w:tc>
                <w:tcPr>
                  <w:tcW w:w="795"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名称</w:t>
                  </w:r>
                </w:p>
              </w:tc>
              <w:tc>
                <w:tcPr>
                  <w:tcW w:w="874"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污染物种类</w:t>
                  </w:r>
                </w:p>
              </w:tc>
              <w:tc>
                <w:tcPr>
                  <w:tcW w:w="1351"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国家或地方污染物排放标准浓度（mg/L）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378"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1</w:t>
                  </w:r>
                </w:p>
              </w:tc>
              <w:tc>
                <w:tcPr>
                  <w:tcW w:w="835"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DW001</w:t>
                  </w:r>
                </w:p>
              </w:tc>
              <w:tc>
                <w:tcPr>
                  <w:tcW w:w="886"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E121°08′08.2″</w:t>
                  </w:r>
                </w:p>
              </w:tc>
              <w:tc>
                <w:tcPr>
                  <w:tcW w:w="821"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N31°36′40.67″</w:t>
                  </w:r>
                </w:p>
              </w:tc>
              <w:tc>
                <w:tcPr>
                  <w:tcW w:w="848"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720</w:t>
                  </w:r>
                </w:p>
              </w:tc>
              <w:tc>
                <w:tcPr>
                  <w:tcW w:w="651"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市政污水管网</w:t>
                  </w:r>
                </w:p>
              </w:tc>
              <w:tc>
                <w:tcPr>
                  <w:tcW w:w="795"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间断</w:t>
                  </w:r>
                </w:p>
              </w:tc>
              <w:tc>
                <w:tcPr>
                  <w:tcW w:w="925"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9:00-17:00</w:t>
                  </w:r>
                </w:p>
              </w:tc>
              <w:tc>
                <w:tcPr>
                  <w:tcW w:w="795"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太仓城东污水处理厂</w:t>
                  </w:r>
                </w:p>
              </w:tc>
              <w:tc>
                <w:tcPr>
                  <w:tcW w:w="874" w:type="dxa"/>
                  <w:vAlign w:val="center"/>
                </w:tcPr>
                <w:p>
                  <w:pPr>
                    <w:jc w:val="center"/>
                    <w:rPr>
                      <w:rFonts w:ascii="Times New Roman" w:hAnsi="Times New Roman" w:cs="Times New Roman"/>
                      <w:sz w:val="18"/>
                      <w:szCs w:val="18"/>
                    </w:rPr>
                  </w:pPr>
                  <w:r>
                    <w:rPr>
                      <w:rFonts w:ascii="Times New Roman" w:hAnsi="Times New Roman" w:cs="Times New Roman"/>
                      <w:sz w:val="18"/>
                      <w:szCs w:val="18"/>
                    </w:rPr>
                    <w:t>COD</w:t>
                  </w:r>
                </w:p>
              </w:tc>
              <w:tc>
                <w:tcPr>
                  <w:tcW w:w="13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378" w:type="dxa"/>
                  <w:vMerge w:val="continue"/>
                  <w:vAlign w:val="center"/>
                </w:tcPr>
                <w:p>
                  <w:pPr>
                    <w:autoSpaceDE w:val="0"/>
                    <w:autoSpaceDN w:val="0"/>
                    <w:adjustRightInd w:val="0"/>
                    <w:jc w:val="center"/>
                    <w:rPr>
                      <w:rFonts w:ascii="Times New Roman" w:hAnsi="Times New Roman" w:cs="Times New Roman"/>
                      <w:sz w:val="18"/>
                      <w:szCs w:val="18"/>
                    </w:rPr>
                  </w:pPr>
                </w:p>
              </w:tc>
              <w:tc>
                <w:tcPr>
                  <w:tcW w:w="835" w:type="dxa"/>
                  <w:vMerge w:val="continue"/>
                  <w:vAlign w:val="center"/>
                </w:tcPr>
                <w:p>
                  <w:pPr>
                    <w:autoSpaceDE w:val="0"/>
                    <w:autoSpaceDN w:val="0"/>
                    <w:adjustRightInd w:val="0"/>
                    <w:jc w:val="center"/>
                    <w:rPr>
                      <w:rFonts w:ascii="Times New Roman" w:hAnsi="Times New Roman" w:cs="Times New Roman"/>
                      <w:sz w:val="18"/>
                      <w:szCs w:val="18"/>
                    </w:rPr>
                  </w:pPr>
                </w:p>
              </w:tc>
              <w:tc>
                <w:tcPr>
                  <w:tcW w:w="886" w:type="dxa"/>
                  <w:vMerge w:val="continue"/>
                  <w:vAlign w:val="center"/>
                </w:tcPr>
                <w:p>
                  <w:pPr>
                    <w:autoSpaceDE w:val="0"/>
                    <w:autoSpaceDN w:val="0"/>
                    <w:adjustRightInd w:val="0"/>
                    <w:jc w:val="center"/>
                    <w:rPr>
                      <w:rFonts w:ascii="Times New Roman" w:hAnsi="Times New Roman" w:cs="Times New Roman"/>
                      <w:sz w:val="18"/>
                      <w:szCs w:val="18"/>
                    </w:rPr>
                  </w:pPr>
                </w:p>
              </w:tc>
              <w:tc>
                <w:tcPr>
                  <w:tcW w:w="821" w:type="dxa"/>
                  <w:vMerge w:val="continue"/>
                  <w:vAlign w:val="center"/>
                </w:tcPr>
                <w:p>
                  <w:pPr>
                    <w:autoSpaceDE w:val="0"/>
                    <w:autoSpaceDN w:val="0"/>
                    <w:adjustRightInd w:val="0"/>
                    <w:jc w:val="center"/>
                    <w:rPr>
                      <w:rFonts w:ascii="Times New Roman" w:hAnsi="Times New Roman" w:cs="Times New Roman"/>
                      <w:sz w:val="18"/>
                      <w:szCs w:val="18"/>
                    </w:rPr>
                  </w:pPr>
                </w:p>
              </w:tc>
              <w:tc>
                <w:tcPr>
                  <w:tcW w:w="848" w:type="dxa"/>
                  <w:vMerge w:val="continue"/>
                  <w:vAlign w:val="center"/>
                </w:tcPr>
                <w:p>
                  <w:pPr>
                    <w:autoSpaceDE w:val="0"/>
                    <w:autoSpaceDN w:val="0"/>
                    <w:adjustRightInd w:val="0"/>
                    <w:jc w:val="center"/>
                    <w:rPr>
                      <w:rFonts w:ascii="Times New Roman" w:hAnsi="Times New Roman" w:cs="Times New Roman"/>
                      <w:sz w:val="18"/>
                      <w:szCs w:val="18"/>
                    </w:rPr>
                  </w:pPr>
                </w:p>
              </w:tc>
              <w:tc>
                <w:tcPr>
                  <w:tcW w:w="651" w:type="dxa"/>
                  <w:vMerge w:val="continue"/>
                  <w:vAlign w:val="center"/>
                </w:tcPr>
                <w:p>
                  <w:pPr>
                    <w:autoSpaceDE w:val="0"/>
                    <w:autoSpaceDN w:val="0"/>
                    <w:adjustRightInd w:val="0"/>
                    <w:jc w:val="center"/>
                    <w:rPr>
                      <w:rFonts w:ascii="Times New Roman" w:hAnsi="Times New Roman" w:cs="Times New Roman"/>
                      <w:sz w:val="18"/>
                      <w:szCs w:val="18"/>
                    </w:rPr>
                  </w:pPr>
                </w:p>
              </w:tc>
              <w:tc>
                <w:tcPr>
                  <w:tcW w:w="795" w:type="dxa"/>
                  <w:vMerge w:val="continue"/>
                  <w:vAlign w:val="center"/>
                </w:tcPr>
                <w:p>
                  <w:pPr>
                    <w:autoSpaceDE w:val="0"/>
                    <w:autoSpaceDN w:val="0"/>
                    <w:adjustRightInd w:val="0"/>
                    <w:jc w:val="center"/>
                    <w:rPr>
                      <w:rFonts w:ascii="Times New Roman" w:hAnsi="Times New Roman" w:cs="Times New Roman"/>
                      <w:sz w:val="18"/>
                      <w:szCs w:val="18"/>
                    </w:rPr>
                  </w:pPr>
                </w:p>
              </w:tc>
              <w:tc>
                <w:tcPr>
                  <w:tcW w:w="925" w:type="dxa"/>
                  <w:vMerge w:val="continue"/>
                  <w:vAlign w:val="center"/>
                </w:tcPr>
                <w:p>
                  <w:pPr>
                    <w:autoSpaceDE w:val="0"/>
                    <w:autoSpaceDN w:val="0"/>
                    <w:adjustRightInd w:val="0"/>
                    <w:jc w:val="center"/>
                    <w:rPr>
                      <w:rFonts w:ascii="Times New Roman" w:hAnsi="Times New Roman" w:cs="Times New Roman"/>
                      <w:sz w:val="18"/>
                      <w:szCs w:val="18"/>
                    </w:rPr>
                  </w:pPr>
                </w:p>
              </w:tc>
              <w:tc>
                <w:tcPr>
                  <w:tcW w:w="795" w:type="dxa"/>
                  <w:vMerge w:val="continue"/>
                  <w:vAlign w:val="center"/>
                </w:tcPr>
                <w:p>
                  <w:pPr>
                    <w:autoSpaceDE w:val="0"/>
                    <w:autoSpaceDN w:val="0"/>
                    <w:adjustRightInd w:val="0"/>
                    <w:jc w:val="center"/>
                    <w:rPr>
                      <w:rFonts w:ascii="Times New Roman" w:hAnsi="Times New Roman" w:cs="Times New Roman"/>
                      <w:sz w:val="18"/>
                      <w:szCs w:val="18"/>
                    </w:rPr>
                  </w:pPr>
                </w:p>
              </w:tc>
              <w:tc>
                <w:tcPr>
                  <w:tcW w:w="874" w:type="dxa"/>
                  <w:vAlign w:val="center"/>
                </w:tcPr>
                <w:p>
                  <w:pPr>
                    <w:jc w:val="center"/>
                    <w:rPr>
                      <w:rFonts w:ascii="Times New Roman" w:hAnsi="Times New Roman" w:cs="Times New Roman"/>
                      <w:sz w:val="18"/>
                      <w:szCs w:val="18"/>
                    </w:rPr>
                  </w:pPr>
                  <w:r>
                    <w:rPr>
                      <w:rFonts w:ascii="Times New Roman" w:hAnsi="Times New Roman" w:cs="Times New Roman"/>
                      <w:sz w:val="18"/>
                      <w:szCs w:val="18"/>
                    </w:rPr>
                    <w:t>SS</w:t>
                  </w:r>
                </w:p>
              </w:tc>
              <w:tc>
                <w:tcPr>
                  <w:tcW w:w="13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378" w:type="dxa"/>
                  <w:vMerge w:val="continue"/>
                  <w:vAlign w:val="center"/>
                </w:tcPr>
                <w:p>
                  <w:pPr>
                    <w:autoSpaceDE w:val="0"/>
                    <w:autoSpaceDN w:val="0"/>
                    <w:adjustRightInd w:val="0"/>
                    <w:jc w:val="center"/>
                    <w:rPr>
                      <w:rFonts w:ascii="Times New Roman" w:hAnsi="Times New Roman" w:cs="Times New Roman"/>
                      <w:sz w:val="18"/>
                      <w:szCs w:val="18"/>
                    </w:rPr>
                  </w:pPr>
                </w:p>
              </w:tc>
              <w:tc>
                <w:tcPr>
                  <w:tcW w:w="835" w:type="dxa"/>
                  <w:vMerge w:val="continue"/>
                  <w:vAlign w:val="center"/>
                </w:tcPr>
                <w:p>
                  <w:pPr>
                    <w:autoSpaceDE w:val="0"/>
                    <w:autoSpaceDN w:val="0"/>
                    <w:adjustRightInd w:val="0"/>
                    <w:jc w:val="center"/>
                    <w:rPr>
                      <w:rFonts w:ascii="Times New Roman" w:hAnsi="Times New Roman" w:cs="Times New Roman"/>
                      <w:sz w:val="18"/>
                      <w:szCs w:val="18"/>
                    </w:rPr>
                  </w:pPr>
                </w:p>
              </w:tc>
              <w:tc>
                <w:tcPr>
                  <w:tcW w:w="886" w:type="dxa"/>
                  <w:vMerge w:val="continue"/>
                  <w:vAlign w:val="center"/>
                </w:tcPr>
                <w:p>
                  <w:pPr>
                    <w:autoSpaceDE w:val="0"/>
                    <w:autoSpaceDN w:val="0"/>
                    <w:adjustRightInd w:val="0"/>
                    <w:jc w:val="center"/>
                    <w:rPr>
                      <w:rFonts w:ascii="Times New Roman" w:hAnsi="Times New Roman" w:cs="Times New Roman"/>
                      <w:sz w:val="18"/>
                      <w:szCs w:val="18"/>
                    </w:rPr>
                  </w:pPr>
                </w:p>
              </w:tc>
              <w:tc>
                <w:tcPr>
                  <w:tcW w:w="821" w:type="dxa"/>
                  <w:vMerge w:val="continue"/>
                  <w:vAlign w:val="center"/>
                </w:tcPr>
                <w:p>
                  <w:pPr>
                    <w:autoSpaceDE w:val="0"/>
                    <w:autoSpaceDN w:val="0"/>
                    <w:adjustRightInd w:val="0"/>
                    <w:jc w:val="center"/>
                    <w:rPr>
                      <w:rFonts w:ascii="Times New Roman" w:hAnsi="Times New Roman" w:cs="Times New Roman"/>
                      <w:sz w:val="18"/>
                      <w:szCs w:val="18"/>
                    </w:rPr>
                  </w:pPr>
                </w:p>
              </w:tc>
              <w:tc>
                <w:tcPr>
                  <w:tcW w:w="848" w:type="dxa"/>
                  <w:vMerge w:val="continue"/>
                  <w:vAlign w:val="center"/>
                </w:tcPr>
                <w:p>
                  <w:pPr>
                    <w:autoSpaceDE w:val="0"/>
                    <w:autoSpaceDN w:val="0"/>
                    <w:adjustRightInd w:val="0"/>
                    <w:jc w:val="center"/>
                    <w:rPr>
                      <w:rFonts w:ascii="Times New Roman" w:hAnsi="Times New Roman" w:cs="Times New Roman"/>
                      <w:sz w:val="18"/>
                      <w:szCs w:val="18"/>
                    </w:rPr>
                  </w:pPr>
                </w:p>
              </w:tc>
              <w:tc>
                <w:tcPr>
                  <w:tcW w:w="651" w:type="dxa"/>
                  <w:vMerge w:val="continue"/>
                  <w:vAlign w:val="center"/>
                </w:tcPr>
                <w:p>
                  <w:pPr>
                    <w:autoSpaceDE w:val="0"/>
                    <w:autoSpaceDN w:val="0"/>
                    <w:adjustRightInd w:val="0"/>
                    <w:jc w:val="center"/>
                    <w:rPr>
                      <w:rFonts w:ascii="Times New Roman" w:hAnsi="Times New Roman" w:cs="Times New Roman"/>
                      <w:sz w:val="18"/>
                      <w:szCs w:val="18"/>
                    </w:rPr>
                  </w:pPr>
                </w:p>
              </w:tc>
              <w:tc>
                <w:tcPr>
                  <w:tcW w:w="795" w:type="dxa"/>
                  <w:vMerge w:val="continue"/>
                  <w:vAlign w:val="center"/>
                </w:tcPr>
                <w:p>
                  <w:pPr>
                    <w:autoSpaceDE w:val="0"/>
                    <w:autoSpaceDN w:val="0"/>
                    <w:adjustRightInd w:val="0"/>
                    <w:jc w:val="center"/>
                    <w:rPr>
                      <w:rFonts w:ascii="Times New Roman" w:hAnsi="Times New Roman" w:cs="Times New Roman"/>
                      <w:sz w:val="18"/>
                      <w:szCs w:val="18"/>
                    </w:rPr>
                  </w:pPr>
                </w:p>
              </w:tc>
              <w:tc>
                <w:tcPr>
                  <w:tcW w:w="925" w:type="dxa"/>
                  <w:vMerge w:val="continue"/>
                  <w:vAlign w:val="center"/>
                </w:tcPr>
                <w:p>
                  <w:pPr>
                    <w:autoSpaceDE w:val="0"/>
                    <w:autoSpaceDN w:val="0"/>
                    <w:adjustRightInd w:val="0"/>
                    <w:jc w:val="center"/>
                    <w:rPr>
                      <w:rFonts w:ascii="Times New Roman" w:hAnsi="Times New Roman" w:cs="Times New Roman"/>
                      <w:sz w:val="18"/>
                      <w:szCs w:val="18"/>
                    </w:rPr>
                  </w:pPr>
                </w:p>
              </w:tc>
              <w:tc>
                <w:tcPr>
                  <w:tcW w:w="795" w:type="dxa"/>
                  <w:vMerge w:val="continue"/>
                  <w:vAlign w:val="center"/>
                </w:tcPr>
                <w:p>
                  <w:pPr>
                    <w:autoSpaceDE w:val="0"/>
                    <w:autoSpaceDN w:val="0"/>
                    <w:adjustRightInd w:val="0"/>
                    <w:jc w:val="center"/>
                    <w:rPr>
                      <w:rFonts w:ascii="Times New Roman" w:hAnsi="Times New Roman" w:cs="Times New Roman"/>
                      <w:sz w:val="18"/>
                      <w:szCs w:val="18"/>
                    </w:rPr>
                  </w:pPr>
                </w:p>
              </w:tc>
              <w:tc>
                <w:tcPr>
                  <w:tcW w:w="874" w:type="dxa"/>
                  <w:vAlign w:val="center"/>
                </w:tcPr>
                <w:p>
                  <w:pPr>
                    <w:jc w:val="center"/>
                    <w:rPr>
                      <w:rFonts w:ascii="Times New Roman" w:hAnsi="Times New Roman" w:cs="Times New Roman"/>
                      <w:sz w:val="18"/>
                      <w:szCs w:val="18"/>
                    </w:rPr>
                  </w:pPr>
                  <w:r>
                    <w:rPr>
                      <w:rFonts w:ascii="Times New Roman" w:hAnsi="Times New Roman" w:cs="Times New Roman"/>
                      <w:sz w:val="18"/>
                      <w:szCs w:val="18"/>
                    </w:rPr>
                    <w:t>氨氮</w:t>
                  </w:r>
                </w:p>
              </w:tc>
              <w:tc>
                <w:tcPr>
                  <w:tcW w:w="13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378" w:type="dxa"/>
                  <w:vMerge w:val="continue"/>
                  <w:vAlign w:val="center"/>
                </w:tcPr>
                <w:p>
                  <w:pPr>
                    <w:autoSpaceDE w:val="0"/>
                    <w:autoSpaceDN w:val="0"/>
                    <w:adjustRightInd w:val="0"/>
                    <w:jc w:val="center"/>
                    <w:rPr>
                      <w:rFonts w:ascii="Times New Roman" w:hAnsi="Times New Roman" w:cs="Times New Roman"/>
                      <w:sz w:val="18"/>
                      <w:szCs w:val="18"/>
                    </w:rPr>
                  </w:pPr>
                </w:p>
              </w:tc>
              <w:tc>
                <w:tcPr>
                  <w:tcW w:w="835" w:type="dxa"/>
                  <w:vMerge w:val="continue"/>
                  <w:vAlign w:val="center"/>
                </w:tcPr>
                <w:p>
                  <w:pPr>
                    <w:autoSpaceDE w:val="0"/>
                    <w:autoSpaceDN w:val="0"/>
                    <w:adjustRightInd w:val="0"/>
                    <w:jc w:val="center"/>
                    <w:rPr>
                      <w:rFonts w:ascii="Times New Roman" w:hAnsi="Times New Roman" w:cs="Times New Roman"/>
                      <w:sz w:val="18"/>
                      <w:szCs w:val="18"/>
                    </w:rPr>
                  </w:pPr>
                </w:p>
              </w:tc>
              <w:tc>
                <w:tcPr>
                  <w:tcW w:w="886" w:type="dxa"/>
                  <w:vMerge w:val="continue"/>
                  <w:vAlign w:val="center"/>
                </w:tcPr>
                <w:p>
                  <w:pPr>
                    <w:autoSpaceDE w:val="0"/>
                    <w:autoSpaceDN w:val="0"/>
                    <w:adjustRightInd w:val="0"/>
                    <w:jc w:val="center"/>
                    <w:rPr>
                      <w:rFonts w:ascii="Times New Roman" w:hAnsi="Times New Roman" w:cs="Times New Roman"/>
                      <w:sz w:val="18"/>
                      <w:szCs w:val="18"/>
                    </w:rPr>
                  </w:pPr>
                </w:p>
              </w:tc>
              <w:tc>
                <w:tcPr>
                  <w:tcW w:w="821" w:type="dxa"/>
                  <w:vMerge w:val="continue"/>
                  <w:vAlign w:val="center"/>
                </w:tcPr>
                <w:p>
                  <w:pPr>
                    <w:autoSpaceDE w:val="0"/>
                    <w:autoSpaceDN w:val="0"/>
                    <w:adjustRightInd w:val="0"/>
                    <w:jc w:val="center"/>
                    <w:rPr>
                      <w:rFonts w:ascii="Times New Roman" w:hAnsi="Times New Roman" w:cs="Times New Roman"/>
                      <w:sz w:val="18"/>
                      <w:szCs w:val="18"/>
                    </w:rPr>
                  </w:pPr>
                </w:p>
              </w:tc>
              <w:tc>
                <w:tcPr>
                  <w:tcW w:w="848" w:type="dxa"/>
                  <w:vMerge w:val="continue"/>
                  <w:vAlign w:val="center"/>
                </w:tcPr>
                <w:p>
                  <w:pPr>
                    <w:autoSpaceDE w:val="0"/>
                    <w:autoSpaceDN w:val="0"/>
                    <w:adjustRightInd w:val="0"/>
                    <w:jc w:val="center"/>
                    <w:rPr>
                      <w:rFonts w:ascii="Times New Roman" w:hAnsi="Times New Roman" w:cs="Times New Roman"/>
                      <w:sz w:val="18"/>
                      <w:szCs w:val="18"/>
                    </w:rPr>
                  </w:pPr>
                </w:p>
              </w:tc>
              <w:tc>
                <w:tcPr>
                  <w:tcW w:w="651" w:type="dxa"/>
                  <w:vMerge w:val="continue"/>
                  <w:vAlign w:val="center"/>
                </w:tcPr>
                <w:p>
                  <w:pPr>
                    <w:autoSpaceDE w:val="0"/>
                    <w:autoSpaceDN w:val="0"/>
                    <w:adjustRightInd w:val="0"/>
                    <w:jc w:val="center"/>
                    <w:rPr>
                      <w:rFonts w:ascii="Times New Roman" w:hAnsi="Times New Roman" w:cs="Times New Roman"/>
                      <w:sz w:val="18"/>
                      <w:szCs w:val="18"/>
                    </w:rPr>
                  </w:pPr>
                </w:p>
              </w:tc>
              <w:tc>
                <w:tcPr>
                  <w:tcW w:w="795" w:type="dxa"/>
                  <w:vMerge w:val="continue"/>
                  <w:vAlign w:val="center"/>
                </w:tcPr>
                <w:p>
                  <w:pPr>
                    <w:autoSpaceDE w:val="0"/>
                    <w:autoSpaceDN w:val="0"/>
                    <w:adjustRightInd w:val="0"/>
                    <w:jc w:val="center"/>
                    <w:rPr>
                      <w:rFonts w:ascii="Times New Roman" w:hAnsi="Times New Roman" w:cs="Times New Roman"/>
                      <w:sz w:val="18"/>
                      <w:szCs w:val="18"/>
                    </w:rPr>
                  </w:pPr>
                </w:p>
              </w:tc>
              <w:tc>
                <w:tcPr>
                  <w:tcW w:w="925" w:type="dxa"/>
                  <w:vMerge w:val="continue"/>
                  <w:vAlign w:val="center"/>
                </w:tcPr>
                <w:p>
                  <w:pPr>
                    <w:autoSpaceDE w:val="0"/>
                    <w:autoSpaceDN w:val="0"/>
                    <w:adjustRightInd w:val="0"/>
                    <w:jc w:val="center"/>
                    <w:rPr>
                      <w:rFonts w:ascii="Times New Roman" w:hAnsi="Times New Roman" w:cs="Times New Roman"/>
                      <w:sz w:val="18"/>
                      <w:szCs w:val="18"/>
                    </w:rPr>
                  </w:pPr>
                </w:p>
              </w:tc>
              <w:tc>
                <w:tcPr>
                  <w:tcW w:w="795" w:type="dxa"/>
                  <w:vMerge w:val="continue"/>
                  <w:vAlign w:val="center"/>
                </w:tcPr>
                <w:p>
                  <w:pPr>
                    <w:autoSpaceDE w:val="0"/>
                    <w:autoSpaceDN w:val="0"/>
                    <w:adjustRightInd w:val="0"/>
                    <w:jc w:val="center"/>
                    <w:rPr>
                      <w:rFonts w:ascii="Times New Roman" w:hAnsi="Times New Roman" w:cs="Times New Roman"/>
                      <w:sz w:val="18"/>
                      <w:szCs w:val="18"/>
                    </w:rPr>
                  </w:pPr>
                </w:p>
              </w:tc>
              <w:tc>
                <w:tcPr>
                  <w:tcW w:w="874" w:type="dxa"/>
                  <w:vAlign w:val="center"/>
                </w:tcPr>
                <w:p>
                  <w:pPr>
                    <w:jc w:val="center"/>
                    <w:rPr>
                      <w:rFonts w:ascii="Times New Roman" w:hAnsi="Times New Roman" w:cs="Times New Roman"/>
                      <w:sz w:val="18"/>
                      <w:szCs w:val="18"/>
                    </w:rPr>
                  </w:pPr>
                  <w:r>
                    <w:rPr>
                      <w:rFonts w:ascii="Times New Roman" w:hAnsi="Times New Roman" w:cs="Times New Roman"/>
                      <w:sz w:val="18"/>
                      <w:szCs w:val="18"/>
                    </w:rPr>
                    <w:t>TN</w:t>
                  </w:r>
                </w:p>
              </w:tc>
              <w:tc>
                <w:tcPr>
                  <w:tcW w:w="13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378" w:type="dxa"/>
                  <w:vMerge w:val="continue"/>
                  <w:vAlign w:val="center"/>
                </w:tcPr>
                <w:p>
                  <w:pPr>
                    <w:autoSpaceDE w:val="0"/>
                    <w:autoSpaceDN w:val="0"/>
                    <w:adjustRightInd w:val="0"/>
                    <w:jc w:val="center"/>
                    <w:rPr>
                      <w:rFonts w:ascii="Times New Roman" w:hAnsi="Times New Roman" w:cs="Times New Roman"/>
                      <w:sz w:val="18"/>
                      <w:szCs w:val="18"/>
                    </w:rPr>
                  </w:pPr>
                </w:p>
              </w:tc>
              <w:tc>
                <w:tcPr>
                  <w:tcW w:w="835" w:type="dxa"/>
                  <w:vMerge w:val="continue"/>
                  <w:vAlign w:val="center"/>
                </w:tcPr>
                <w:p>
                  <w:pPr>
                    <w:autoSpaceDE w:val="0"/>
                    <w:autoSpaceDN w:val="0"/>
                    <w:adjustRightInd w:val="0"/>
                    <w:jc w:val="center"/>
                    <w:rPr>
                      <w:rFonts w:ascii="Times New Roman" w:hAnsi="Times New Roman" w:cs="Times New Roman"/>
                      <w:sz w:val="18"/>
                      <w:szCs w:val="18"/>
                    </w:rPr>
                  </w:pPr>
                </w:p>
              </w:tc>
              <w:tc>
                <w:tcPr>
                  <w:tcW w:w="886" w:type="dxa"/>
                  <w:vMerge w:val="continue"/>
                  <w:vAlign w:val="center"/>
                </w:tcPr>
                <w:p>
                  <w:pPr>
                    <w:autoSpaceDE w:val="0"/>
                    <w:autoSpaceDN w:val="0"/>
                    <w:adjustRightInd w:val="0"/>
                    <w:jc w:val="center"/>
                    <w:rPr>
                      <w:rFonts w:ascii="Times New Roman" w:hAnsi="Times New Roman" w:cs="Times New Roman"/>
                      <w:sz w:val="18"/>
                      <w:szCs w:val="18"/>
                    </w:rPr>
                  </w:pPr>
                </w:p>
              </w:tc>
              <w:tc>
                <w:tcPr>
                  <w:tcW w:w="821" w:type="dxa"/>
                  <w:vMerge w:val="continue"/>
                  <w:vAlign w:val="center"/>
                </w:tcPr>
                <w:p>
                  <w:pPr>
                    <w:autoSpaceDE w:val="0"/>
                    <w:autoSpaceDN w:val="0"/>
                    <w:adjustRightInd w:val="0"/>
                    <w:jc w:val="center"/>
                    <w:rPr>
                      <w:rFonts w:ascii="Times New Roman" w:hAnsi="Times New Roman" w:cs="Times New Roman"/>
                      <w:sz w:val="18"/>
                      <w:szCs w:val="18"/>
                    </w:rPr>
                  </w:pPr>
                </w:p>
              </w:tc>
              <w:tc>
                <w:tcPr>
                  <w:tcW w:w="848" w:type="dxa"/>
                  <w:vMerge w:val="continue"/>
                  <w:vAlign w:val="center"/>
                </w:tcPr>
                <w:p>
                  <w:pPr>
                    <w:autoSpaceDE w:val="0"/>
                    <w:autoSpaceDN w:val="0"/>
                    <w:adjustRightInd w:val="0"/>
                    <w:jc w:val="center"/>
                    <w:rPr>
                      <w:rFonts w:ascii="Times New Roman" w:hAnsi="Times New Roman" w:cs="Times New Roman"/>
                      <w:sz w:val="18"/>
                      <w:szCs w:val="18"/>
                    </w:rPr>
                  </w:pPr>
                </w:p>
              </w:tc>
              <w:tc>
                <w:tcPr>
                  <w:tcW w:w="651" w:type="dxa"/>
                  <w:vMerge w:val="continue"/>
                  <w:vAlign w:val="center"/>
                </w:tcPr>
                <w:p>
                  <w:pPr>
                    <w:autoSpaceDE w:val="0"/>
                    <w:autoSpaceDN w:val="0"/>
                    <w:adjustRightInd w:val="0"/>
                    <w:jc w:val="center"/>
                    <w:rPr>
                      <w:rFonts w:ascii="Times New Roman" w:hAnsi="Times New Roman" w:cs="Times New Roman"/>
                      <w:sz w:val="18"/>
                      <w:szCs w:val="18"/>
                    </w:rPr>
                  </w:pPr>
                </w:p>
              </w:tc>
              <w:tc>
                <w:tcPr>
                  <w:tcW w:w="795" w:type="dxa"/>
                  <w:vMerge w:val="continue"/>
                  <w:vAlign w:val="center"/>
                </w:tcPr>
                <w:p>
                  <w:pPr>
                    <w:autoSpaceDE w:val="0"/>
                    <w:autoSpaceDN w:val="0"/>
                    <w:adjustRightInd w:val="0"/>
                    <w:jc w:val="center"/>
                    <w:rPr>
                      <w:rFonts w:ascii="Times New Roman" w:hAnsi="Times New Roman" w:cs="Times New Roman"/>
                      <w:sz w:val="18"/>
                      <w:szCs w:val="18"/>
                    </w:rPr>
                  </w:pPr>
                </w:p>
              </w:tc>
              <w:tc>
                <w:tcPr>
                  <w:tcW w:w="925" w:type="dxa"/>
                  <w:vMerge w:val="continue"/>
                  <w:vAlign w:val="center"/>
                </w:tcPr>
                <w:p>
                  <w:pPr>
                    <w:autoSpaceDE w:val="0"/>
                    <w:autoSpaceDN w:val="0"/>
                    <w:adjustRightInd w:val="0"/>
                    <w:jc w:val="center"/>
                    <w:rPr>
                      <w:rFonts w:ascii="Times New Roman" w:hAnsi="Times New Roman" w:cs="Times New Roman"/>
                      <w:sz w:val="18"/>
                      <w:szCs w:val="18"/>
                    </w:rPr>
                  </w:pPr>
                </w:p>
              </w:tc>
              <w:tc>
                <w:tcPr>
                  <w:tcW w:w="795" w:type="dxa"/>
                  <w:vMerge w:val="continue"/>
                  <w:vAlign w:val="center"/>
                </w:tcPr>
                <w:p>
                  <w:pPr>
                    <w:autoSpaceDE w:val="0"/>
                    <w:autoSpaceDN w:val="0"/>
                    <w:adjustRightInd w:val="0"/>
                    <w:jc w:val="center"/>
                    <w:rPr>
                      <w:rFonts w:ascii="Times New Roman" w:hAnsi="Times New Roman" w:cs="Times New Roman"/>
                      <w:sz w:val="18"/>
                      <w:szCs w:val="18"/>
                    </w:rPr>
                  </w:pPr>
                </w:p>
              </w:tc>
              <w:tc>
                <w:tcPr>
                  <w:tcW w:w="874" w:type="dxa"/>
                  <w:vAlign w:val="center"/>
                </w:tcPr>
                <w:p>
                  <w:pPr>
                    <w:jc w:val="center"/>
                    <w:rPr>
                      <w:rFonts w:ascii="Times New Roman" w:hAnsi="Times New Roman" w:cs="Times New Roman"/>
                      <w:sz w:val="18"/>
                      <w:szCs w:val="18"/>
                    </w:rPr>
                  </w:pPr>
                  <w:r>
                    <w:rPr>
                      <w:rFonts w:ascii="Times New Roman" w:hAnsi="Times New Roman" w:cs="Times New Roman"/>
                      <w:sz w:val="18"/>
                      <w:szCs w:val="18"/>
                    </w:rPr>
                    <w:t>TP</w:t>
                  </w:r>
                </w:p>
              </w:tc>
              <w:tc>
                <w:tcPr>
                  <w:tcW w:w="13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0.5</w:t>
                  </w:r>
                </w:p>
              </w:tc>
            </w:tr>
          </w:tbl>
          <w:p>
            <w:pPr>
              <w:pStyle w:val="16"/>
              <w:spacing w:after="0"/>
              <w:ind w:firstLine="422" w:firstLineChars="200"/>
              <w:jc w:val="center"/>
              <w:rPr>
                <w:b/>
                <w:bCs/>
              </w:rPr>
            </w:pPr>
          </w:p>
          <w:p>
            <w:pPr>
              <w:pStyle w:val="16"/>
              <w:spacing w:after="0"/>
              <w:ind w:firstLine="482" w:firstLineChars="200"/>
              <w:jc w:val="center"/>
              <w:rPr>
                <w:b/>
                <w:bCs/>
                <w:sz w:val="24"/>
              </w:rPr>
            </w:pPr>
          </w:p>
          <w:p>
            <w:pPr>
              <w:pStyle w:val="16"/>
              <w:spacing w:after="0"/>
              <w:ind w:firstLine="482" w:firstLineChars="200"/>
              <w:jc w:val="center"/>
              <w:rPr>
                <w:b/>
                <w:bCs/>
                <w:sz w:val="24"/>
              </w:rPr>
            </w:pPr>
          </w:p>
          <w:p>
            <w:pPr>
              <w:pStyle w:val="16"/>
              <w:spacing w:after="0"/>
              <w:ind w:firstLine="482" w:firstLineChars="200"/>
              <w:jc w:val="center"/>
              <w:rPr>
                <w:b/>
                <w:bCs/>
                <w:sz w:val="24"/>
              </w:rPr>
            </w:pPr>
          </w:p>
          <w:p>
            <w:pPr>
              <w:pStyle w:val="16"/>
              <w:spacing w:after="0"/>
              <w:ind w:firstLine="482" w:firstLineChars="200"/>
              <w:jc w:val="center"/>
              <w:rPr>
                <w:b/>
                <w:bCs/>
                <w:sz w:val="24"/>
              </w:rPr>
            </w:pPr>
          </w:p>
          <w:p>
            <w:pPr>
              <w:pStyle w:val="16"/>
              <w:spacing w:after="0"/>
              <w:ind w:firstLine="482" w:firstLineChars="200"/>
              <w:jc w:val="center"/>
              <w:rPr>
                <w:b/>
                <w:bCs/>
                <w:sz w:val="24"/>
              </w:rPr>
            </w:pPr>
            <w:r>
              <w:rPr>
                <w:b/>
                <w:bCs/>
                <w:sz w:val="24"/>
              </w:rPr>
              <w:t>表7-3 废水污染物排放执行标准表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7"/>
              <w:gridCol w:w="833"/>
              <w:gridCol w:w="1703"/>
              <w:gridCol w:w="3848"/>
              <w:gridCol w:w="1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797"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序号</w:t>
                  </w:r>
                </w:p>
              </w:tc>
              <w:tc>
                <w:tcPr>
                  <w:tcW w:w="833"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排放口编号</w:t>
                  </w:r>
                </w:p>
              </w:tc>
              <w:tc>
                <w:tcPr>
                  <w:tcW w:w="1703" w:type="dxa"/>
                  <w:vMerge w:val="restart"/>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 xml:space="preserve">污染物总类                                                                                                                                                                                                                                                                                  </w:t>
                  </w:r>
                </w:p>
              </w:tc>
              <w:tc>
                <w:tcPr>
                  <w:tcW w:w="5644" w:type="dxa"/>
                  <w:gridSpan w:val="2"/>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国家或地方污染物排放标准及其他按规定商定的排放协议</w:t>
                  </w:r>
                  <w:r>
                    <w:rPr>
                      <w:rFonts w:ascii="Times New Roman" w:hAnsi="Times New Roman" w:cs="Times New Roman"/>
                      <w:b/>
                      <w:bCs/>
                      <w:sz w:val="18"/>
                      <w:szCs w:val="18"/>
                      <w:vertAlign w:val="superscript"/>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797" w:type="dxa"/>
                  <w:vMerge w:val="continue"/>
                  <w:vAlign w:val="center"/>
                </w:tcPr>
                <w:p>
                  <w:pPr>
                    <w:autoSpaceDE w:val="0"/>
                    <w:autoSpaceDN w:val="0"/>
                    <w:adjustRightInd w:val="0"/>
                    <w:jc w:val="center"/>
                    <w:rPr>
                      <w:rFonts w:ascii="Times New Roman" w:hAnsi="Times New Roman" w:cs="Times New Roman"/>
                      <w:b/>
                      <w:bCs/>
                      <w:sz w:val="18"/>
                      <w:szCs w:val="18"/>
                    </w:rPr>
                  </w:pPr>
                </w:p>
              </w:tc>
              <w:tc>
                <w:tcPr>
                  <w:tcW w:w="833" w:type="dxa"/>
                  <w:vMerge w:val="continue"/>
                  <w:vAlign w:val="center"/>
                </w:tcPr>
                <w:p>
                  <w:pPr>
                    <w:autoSpaceDE w:val="0"/>
                    <w:autoSpaceDN w:val="0"/>
                    <w:adjustRightInd w:val="0"/>
                    <w:jc w:val="center"/>
                    <w:rPr>
                      <w:rFonts w:ascii="Times New Roman" w:hAnsi="Times New Roman" w:cs="Times New Roman"/>
                      <w:b/>
                      <w:bCs/>
                      <w:sz w:val="18"/>
                      <w:szCs w:val="18"/>
                    </w:rPr>
                  </w:pPr>
                </w:p>
              </w:tc>
              <w:tc>
                <w:tcPr>
                  <w:tcW w:w="1703" w:type="dxa"/>
                  <w:vMerge w:val="continue"/>
                  <w:vAlign w:val="center"/>
                </w:tcPr>
                <w:p>
                  <w:pPr>
                    <w:autoSpaceDE w:val="0"/>
                    <w:autoSpaceDN w:val="0"/>
                    <w:adjustRightInd w:val="0"/>
                    <w:jc w:val="center"/>
                    <w:rPr>
                      <w:rFonts w:ascii="Times New Roman" w:hAnsi="Times New Roman" w:cs="Times New Roman"/>
                      <w:b/>
                      <w:bCs/>
                      <w:sz w:val="18"/>
                      <w:szCs w:val="18"/>
                    </w:rPr>
                  </w:pPr>
                </w:p>
              </w:tc>
              <w:tc>
                <w:tcPr>
                  <w:tcW w:w="3848"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名称</w:t>
                  </w:r>
                </w:p>
              </w:tc>
              <w:tc>
                <w:tcPr>
                  <w:tcW w:w="1796" w:type="dxa"/>
                  <w:vAlign w:val="center"/>
                </w:tcPr>
                <w:p>
                  <w:pPr>
                    <w:autoSpaceDE w:val="0"/>
                    <w:autoSpaceDN w:val="0"/>
                    <w:adjustRightInd w:val="0"/>
                    <w:jc w:val="center"/>
                    <w:rPr>
                      <w:rFonts w:ascii="Times New Roman" w:hAnsi="Times New Roman" w:cs="Times New Roman"/>
                      <w:b/>
                      <w:bCs/>
                      <w:sz w:val="18"/>
                      <w:szCs w:val="18"/>
                    </w:rPr>
                  </w:pPr>
                  <w:r>
                    <w:rPr>
                      <w:rFonts w:ascii="Times New Roman" w:hAnsi="Times New Roman" w:cs="Times New Roman"/>
                      <w:b/>
                      <w:bCs/>
                      <w:sz w:val="18"/>
                      <w:szCs w:val="18"/>
                    </w:rPr>
                    <w:t>浓度限值/（mg/L）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97"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1</w:t>
                  </w:r>
                </w:p>
              </w:tc>
              <w:tc>
                <w:tcPr>
                  <w:tcW w:w="833"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DW001</w:t>
                  </w:r>
                </w:p>
              </w:tc>
              <w:tc>
                <w:tcPr>
                  <w:tcW w:w="1703" w:type="dxa"/>
                  <w:vAlign w:val="center"/>
                </w:tcPr>
                <w:p>
                  <w:pPr>
                    <w:pStyle w:val="232"/>
                    <w:rPr>
                      <w:sz w:val="18"/>
                      <w:szCs w:val="18"/>
                    </w:rPr>
                  </w:pPr>
                  <w:r>
                    <w:rPr>
                      <w:sz w:val="18"/>
                      <w:szCs w:val="18"/>
                    </w:rPr>
                    <w:t>pH</w:t>
                  </w:r>
                </w:p>
              </w:tc>
              <w:tc>
                <w:tcPr>
                  <w:tcW w:w="3848" w:type="dxa"/>
                  <w:vMerge w:val="restart"/>
                  <w:vAlign w:val="center"/>
                </w:tcPr>
                <w:p>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 xml:space="preserve"> 太仓城东污水处理厂进水水质要求</w:t>
                  </w:r>
                </w:p>
              </w:tc>
              <w:tc>
                <w:tcPr>
                  <w:tcW w:w="1796" w:type="dxa"/>
                  <w:vAlign w:val="center"/>
                </w:tcPr>
                <w:p>
                  <w:pPr>
                    <w:pStyle w:val="232"/>
                    <w:rPr>
                      <w:sz w:val="18"/>
                      <w:szCs w:val="18"/>
                    </w:rPr>
                  </w:pPr>
                  <w:r>
                    <w:rPr>
                      <w:sz w:val="18"/>
                      <w:szCs w:val="18"/>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97" w:type="dxa"/>
                  <w:vMerge w:val="continue"/>
                  <w:vAlign w:val="center"/>
                </w:tcPr>
                <w:p>
                  <w:pPr>
                    <w:autoSpaceDE w:val="0"/>
                    <w:autoSpaceDN w:val="0"/>
                    <w:adjustRightInd w:val="0"/>
                    <w:jc w:val="center"/>
                    <w:rPr>
                      <w:rFonts w:ascii="Times New Roman" w:hAnsi="Times New Roman" w:cs="Times New Roman"/>
                      <w:sz w:val="18"/>
                      <w:szCs w:val="18"/>
                    </w:rPr>
                  </w:pPr>
                </w:p>
              </w:tc>
              <w:tc>
                <w:tcPr>
                  <w:tcW w:w="833" w:type="dxa"/>
                  <w:vMerge w:val="continue"/>
                  <w:vAlign w:val="center"/>
                </w:tcPr>
                <w:p>
                  <w:pPr>
                    <w:autoSpaceDE w:val="0"/>
                    <w:autoSpaceDN w:val="0"/>
                    <w:adjustRightInd w:val="0"/>
                    <w:jc w:val="center"/>
                    <w:rPr>
                      <w:rFonts w:ascii="Times New Roman" w:hAnsi="Times New Roman" w:cs="Times New Roman"/>
                      <w:sz w:val="18"/>
                      <w:szCs w:val="18"/>
                    </w:rPr>
                  </w:pPr>
                </w:p>
              </w:tc>
              <w:tc>
                <w:tcPr>
                  <w:tcW w:w="1703" w:type="dxa"/>
                  <w:vAlign w:val="center"/>
                </w:tcPr>
                <w:p>
                  <w:pPr>
                    <w:pStyle w:val="232"/>
                    <w:rPr>
                      <w:sz w:val="18"/>
                      <w:szCs w:val="18"/>
                    </w:rPr>
                  </w:pPr>
                  <w:r>
                    <w:rPr>
                      <w:sz w:val="18"/>
                      <w:szCs w:val="18"/>
                    </w:rPr>
                    <w:t>CODcr</w:t>
                  </w:r>
                </w:p>
              </w:tc>
              <w:tc>
                <w:tcPr>
                  <w:tcW w:w="3848" w:type="dxa"/>
                  <w:vMerge w:val="continue"/>
                  <w:vAlign w:val="center"/>
                </w:tcPr>
                <w:p>
                  <w:pPr>
                    <w:autoSpaceDE w:val="0"/>
                    <w:autoSpaceDN w:val="0"/>
                    <w:adjustRightInd w:val="0"/>
                    <w:jc w:val="center"/>
                    <w:rPr>
                      <w:rFonts w:ascii="Times New Roman" w:hAnsi="Times New Roman" w:cs="Times New Roman"/>
                      <w:sz w:val="18"/>
                      <w:szCs w:val="18"/>
                    </w:rPr>
                  </w:pPr>
                </w:p>
              </w:tc>
              <w:tc>
                <w:tcPr>
                  <w:tcW w:w="1796" w:type="dxa"/>
                  <w:vAlign w:val="center"/>
                </w:tcPr>
                <w:p>
                  <w:pPr>
                    <w:jc w:val="center"/>
                    <w:rPr>
                      <w:rFonts w:ascii="Times New Roman" w:hAnsi="Times New Roman" w:cs="Times New Roman"/>
                      <w:kern w:val="0"/>
                      <w:sz w:val="18"/>
                      <w:szCs w:val="18"/>
                    </w:rPr>
                  </w:pPr>
                  <w:r>
                    <w:rPr>
                      <w:rFonts w:ascii="Times New Roman" w:hAnsi="Times New Roman" w:cs="Times New Roman"/>
                      <w:kern w:val="0"/>
                      <w:sz w:val="18"/>
                      <w:szCs w:val="18"/>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97" w:type="dxa"/>
                  <w:vMerge w:val="continue"/>
                  <w:vAlign w:val="center"/>
                </w:tcPr>
                <w:p>
                  <w:pPr>
                    <w:autoSpaceDE w:val="0"/>
                    <w:autoSpaceDN w:val="0"/>
                    <w:adjustRightInd w:val="0"/>
                    <w:jc w:val="center"/>
                    <w:rPr>
                      <w:rFonts w:ascii="Times New Roman" w:hAnsi="Times New Roman" w:cs="Times New Roman"/>
                      <w:sz w:val="18"/>
                      <w:szCs w:val="18"/>
                    </w:rPr>
                  </w:pPr>
                </w:p>
              </w:tc>
              <w:tc>
                <w:tcPr>
                  <w:tcW w:w="833" w:type="dxa"/>
                  <w:vMerge w:val="continue"/>
                  <w:vAlign w:val="center"/>
                </w:tcPr>
                <w:p>
                  <w:pPr>
                    <w:autoSpaceDE w:val="0"/>
                    <w:autoSpaceDN w:val="0"/>
                    <w:adjustRightInd w:val="0"/>
                    <w:jc w:val="center"/>
                    <w:rPr>
                      <w:rFonts w:ascii="Times New Roman" w:hAnsi="Times New Roman" w:cs="Times New Roman"/>
                      <w:sz w:val="18"/>
                      <w:szCs w:val="18"/>
                    </w:rPr>
                  </w:pPr>
                </w:p>
              </w:tc>
              <w:tc>
                <w:tcPr>
                  <w:tcW w:w="1703" w:type="dxa"/>
                  <w:vAlign w:val="center"/>
                </w:tcPr>
                <w:p>
                  <w:pPr>
                    <w:pStyle w:val="232"/>
                    <w:rPr>
                      <w:sz w:val="18"/>
                      <w:szCs w:val="18"/>
                    </w:rPr>
                  </w:pPr>
                  <w:r>
                    <w:rPr>
                      <w:sz w:val="18"/>
                      <w:szCs w:val="18"/>
                    </w:rPr>
                    <w:t>SS</w:t>
                  </w:r>
                </w:p>
              </w:tc>
              <w:tc>
                <w:tcPr>
                  <w:tcW w:w="3848" w:type="dxa"/>
                  <w:vMerge w:val="continue"/>
                  <w:vAlign w:val="center"/>
                </w:tcPr>
                <w:p>
                  <w:pPr>
                    <w:autoSpaceDE w:val="0"/>
                    <w:autoSpaceDN w:val="0"/>
                    <w:adjustRightInd w:val="0"/>
                    <w:jc w:val="center"/>
                    <w:rPr>
                      <w:rFonts w:ascii="Times New Roman" w:hAnsi="Times New Roman" w:cs="Times New Roman"/>
                      <w:sz w:val="18"/>
                      <w:szCs w:val="18"/>
                    </w:rPr>
                  </w:pPr>
                </w:p>
              </w:tc>
              <w:tc>
                <w:tcPr>
                  <w:tcW w:w="1796" w:type="dxa"/>
                  <w:vAlign w:val="center"/>
                </w:tcPr>
                <w:p>
                  <w:pPr>
                    <w:jc w:val="center"/>
                    <w:rPr>
                      <w:rFonts w:ascii="Times New Roman" w:hAnsi="Times New Roman" w:cs="Times New Roman"/>
                      <w:kern w:val="0"/>
                      <w:sz w:val="18"/>
                      <w:szCs w:val="18"/>
                    </w:rPr>
                  </w:pPr>
                  <w:r>
                    <w:rPr>
                      <w:rFonts w:ascii="Times New Roman" w:hAnsi="Times New Roman" w:cs="Times New Roman"/>
                      <w:kern w:val="0"/>
                      <w:sz w:val="18"/>
                      <w:szCs w:val="18"/>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97" w:type="dxa"/>
                  <w:vMerge w:val="continue"/>
                  <w:vAlign w:val="center"/>
                </w:tcPr>
                <w:p>
                  <w:pPr>
                    <w:autoSpaceDE w:val="0"/>
                    <w:autoSpaceDN w:val="0"/>
                    <w:adjustRightInd w:val="0"/>
                    <w:jc w:val="center"/>
                    <w:rPr>
                      <w:rFonts w:ascii="Times New Roman" w:hAnsi="Times New Roman" w:cs="Times New Roman"/>
                      <w:sz w:val="18"/>
                      <w:szCs w:val="18"/>
                    </w:rPr>
                  </w:pPr>
                </w:p>
              </w:tc>
              <w:tc>
                <w:tcPr>
                  <w:tcW w:w="833" w:type="dxa"/>
                  <w:vMerge w:val="continue"/>
                  <w:vAlign w:val="center"/>
                </w:tcPr>
                <w:p>
                  <w:pPr>
                    <w:autoSpaceDE w:val="0"/>
                    <w:autoSpaceDN w:val="0"/>
                    <w:adjustRightInd w:val="0"/>
                    <w:jc w:val="center"/>
                    <w:rPr>
                      <w:rFonts w:ascii="Times New Roman" w:hAnsi="Times New Roman" w:cs="Times New Roman"/>
                      <w:sz w:val="18"/>
                      <w:szCs w:val="18"/>
                    </w:rPr>
                  </w:pPr>
                </w:p>
              </w:tc>
              <w:tc>
                <w:tcPr>
                  <w:tcW w:w="1703" w:type="dxa"/>
                  <w:vAlign w:val="center"/>
                </w:tcPr>
                <w:p>
                  <w:pPr>
                    <w:pStyle w:val="232"/>
                    <w:rPr>
                      <w:sz w:val="18"/>
                      <w:szCs w:val="18"/>
                    </w:rPr>
                  </w:pPr>
                  <w:r>
                    <w:rPr>
                      <w:snapToGrid w:val="0"/>
                      <w:sz w:val="18"/>
                      <w:szCs w:val="18"/>
                    </w:rPr>
                    <w:t>NH</w:t>
                  </w:r>
                  <w:r>
                    <w:rPr>
                      <w:snapToGrid w:val="0"/>
                      <w:sz w:val="18"/>
                      <w:szCs w:val="18"/>
                      <w:vertAlign w:val="subscript"/>
                    </w:rPr>
                    <w:t>3</w:t>
                  </w:r>
                  <w:r>
                    <w:rPr>
                      <w:snapToGrid w:val="0"/>
                      <w:sz w:val="18"/>
                      <w:szCs w:val="18"/>
                    </w:rPr>
                    <w:t>-N</w:t>
                  </w:r>
                </w:p>
              </w:tc>
              <w:tc>
                <w:tcPr>
                  <w:tcW w:w="3848" w:type="dxa"/>
                  <w:vMerge w:val="continue"/>
                  <w:vAlign w:val="center"/>
                </w:tcPr>
                <w:p>
                  <w:pPr>
                    <w:autoSpaceDE w:val="0"/>
                    <w:autoSpaceDN w:val="0"/>
                    <w:adjustRightInd w:val="0"/>
                    <w:jc w:val="center"/>
                    <w:rPr>
                      <w:rFonts w:ascii="Times New Roman" w:hAnsi="Times New Roman" w:cs="Times New Roman"/>
                      <w:sz w:val="18"/>
                      <w:szCs w:val="18"/>
                    </w:rPr>
                  </w:pPr>
                </w:p>
              </w:tc>
              <w:tc>
                <w:tcPr>
                  <w:tcW w:w="1796" w:type="dxa"/>
                  <w:vAlign w:val="center"/>
                </w:tcPr>
                <w:p>
                  <w:pPr>
                    <w:jc w:val="center"/>
                    <w:rPr>
                      <w:rFonts w:ascii="Times New Roman" w:hAnsi="Times New Roman" w:cs="Times New Roman"/>
                      <w:kern w:val="0"/>
                      <w:sz w:val="18"/>
                      <w:szCs w:val="18"/>
                    </w:rPr>
                  </w:pPr>
                  <w:r>
                    <w:rPr>
                      <w:rFonts w:ascii="Times New Roman" w:hAnsi="Times New Roman" w:cs="Times New Roman"/>
                      <w:kern w:val="0"/>
                      <w:sz w:val="18"/>
                      <w:szCs w:val="18"/>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97" w:type="dxa"/>
                  <w:vMerge w:val="continue"/>
                  <w:vAlign w:val="center"/>
                </w:tcPr>
                <w:p>
                  <w:pPr>
                    <w:autoSpaceDE w:val="0"/>
                    <w:autoSpaceDN w:val="0"/>
                    <w:adjustRightInd w:val="0"/>
                    <w:jc w:val="center"/>
                    <w:rPr>
                      <w:rFonts w:ascii="Times New Roman" w:hAnsi="Times New Roman" w:cs="Times New Roman"/>
                      <w:sz w:val="18"/>
                      <w:szCs w:val="18"/>
                    </w:rPr>
                  </w:pPr>
                </w:p>
              </w:tc>
              <w:tc>
                <w:tcPr>
                  <w:tcW w:w="833" w:type="dxa"/>
                  <w:vMerge w:val="continue"/>
                  <w:vAlign w:val="center"/>
                </w:tcPr>
                <w:p>
                  <w:pPr>
                    <w:autoSpaceDE w:val="0"/>
                    <w:autoSpaceDN w:val="0"/>
                    <w:adjustRightInd w:val="0"/>
                    <w:jc w:val="center"/>
                    <w:rPr>
                      <w:rFonts w:ascii="Times New Roman" w:hAnsi="Times New Roman" w:cs="Times New Roman"/>
                      <w:sz w:val="18"/>
                      <w:szCs w:val="18"/>
                    </w:rPr>
                  </w:pPr>
                </w:p>
              </w:tc>
              <w:tc>
                <w:tcPr>
                  <w:tcW w:w="1703" w:type="dxa"/>
                  <w:vAlign w:val="center"/>
                </w:tcPr>
                <w:p>
                  <w:pPr>
                    <w:pStyle w:val="232"/>
                    <w:rPr>
                      <w:sz w:val="18"/>
                      <w:szCs w:val="18"/>
                    </w:rPr>
                  </w:pPr>
                  <w:r>
                    <w:rPr>
                      <w:snapToGrid w:val="0"/>
                      <w:sz w:val="18"/>
                      <w:szCs w:val="18"/>
                    </w:rPr>
                    <w:t>TN</w:t>
                  </w:r>
                </w:p>
              </w:tc>
              <w:tc>
                <w:tcPr>
                  <w:tcW w:w="3848" w:type="dxa"/>
                  <w:vMerge w:val="continue"/>
                  <w:vAlign w:val="center"/>
                </w:tcPr>
                <w:p>
                  <w:pPr>
                    <w:autoSpaceDE w:val="0"/>
                    <w:autoSpaceDN w:val="0"/>
                    <w:adjustRightInd w:val="0"/>
                    <w:jc w:val="center"/>
                    <w:rPr>
                      <w:rFonts w:ascii="Times New Roman" w:hAnsi="Times New Roman" w:cs="Times New Roman"/>
                      <w:sz w:val="18"/>
                      <w:szCs w:val="18"/>
                    </w:rPr>
                  </w:pPr>
                </w:p>
              </w:tc>
              <w:tc>
                <w:tcPr>
                  <w:tcW w:w="1796" w:type="dxa"/>
                  <w:vAlign w:val="center"/>
                </w:tcPr>
                <w:p>
                  <w:pPr>
                    <w:jc w:val="center"/>
                    <w:rPr>
                      <w:rFonts w:ascii="Times New Roman" w:hAnsi="Times New Roman" w:cs="Times New Roman"/>
                      <w:kern w:val="0"/>
                      <w:sz w:val="18"/>
                      <w:szCs w:val="18"/>
                    </w:rPr>
                  </w:pPr>
                  <w:r>
                    <w:rPr>
                      <w:rFonts w:ascii="Times New Roman" w:hAnsi="Times New Roman" w:cs="Times New Roman"/>
                      <w:kern w:val="0"/>
                      <w:sz w:val="18"/>
                      <w:szCs w:val="18"/>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97" w:type="dxa"/>
                  <w:vMerge w:val="continue"/>
                  <w:vAlign w:val="center"/>
                </w:tcPr>
                <w:p>
                  <w:pPr>
                    <w:autoSpaceDE w:val="0"/>
                    <w:autoSpaceDN w:val="0"/>
                    <w:adjustRightInd w:val="0"/>
                    <w:jc w:val="center"/>
                    <w:rPr>
                      <w:rFonts w:ascii="Times New Roman" w:hAnsi="Times New Roman" w:cs="Times New Roman"/>
                      <w:sz w:val="18"/>
                      <w:szCs w:val="18"/>
                    </w:rPr>
                  </w:pPr>
                </w:p>
              </w:tc>
              <w:tc>
                <w:tcPr>
                  <w:tcW w:w="833" w:type="dxa"/>
                  <w:vMerge w:val="continue"/>
                  <w:vAlign w:val="center"/>
                </w:tcPr>
                <w:p>
                  <w:pPr>
                    <w:autoSpaceDE w:val="0"/>
                    <w:autoSpaceDN w:val="0"/>
                    <w:adjustRightInd w:val="0"/>
                    <w:jc w:val="center"/>
                    <w:rPr>
                      <w:rFonts w:ascii="Times New Roman" w:hAnsi="Times New Roman" w:cs="Times New Roman"/>
                      <w:sz w:val="18"/>
                      <w:szCs w:val="18"/>
                    </w:rPr>
                  </w:pPr>
                </w:p>
              </w:tc>
              <w:tc>
                <w:tcPr>
                  <w:tcW w:w="1703" w:type="dxa"/>
                  <w:vAlign w:val="center"/>
                </w:tcPr>
                <w:p>
                  <w:pPr>
                    <w:pStyle w:val="232"/>
                    <w:rPr>
                      <w:sz w:val="18"/>
                      <w:szCs w:val="18"/>
                    </w:rPr>
                  </w:pPr>
                  <w:r>
                    <w:rPr>
                      <w:sz w:val="18"/>
                      <w:szCs w:val="18"/>
                    </w:rPr>
                    <w:t>TP</w:t>
                  </w:r>
                </w:p>
              </w:tc>
              <w:tc>
                <w:tcPr>
                  <w:tcW w:w="3848" w:type="dxa"/>
                  <w:vMerge w:val="continue"/>
                  <w:vAlign w:val="center"/>
                </w:tcPr>
                <w:p>
                  <w:pPr>
                    <w:autoSpaceDE w:val="0"/>
                    <w:autoSpaceDN w:val="0"/>
                    <w:adjustRightInd w:val="0"/>
                    <w:jc w:val="center"/>
                    <w:rPr>
                      <w:rFonts w:ascii="Times New Roman" w:hAnsi="Times New Roman" w:cs="Times New Roman"/>
                      <w:sz w:val="18"/>
                      <w:szCs w:val="18"/>
                    </w:rPr>
                  </w:pPr>
                </w:p>
              </w:tc>
              <w:tc>
                <w:tcPr>
                  <w:tcW w:w="1796" w:type="dxa"/>
                  <w:vAlign w:val="center"/>
                </w:tcPr>
                <w:p>
                  <w:pPr>
                    <w:adjustRightInd w:val="0"/>
                    <w:snapToGrid w:val="0"/>
                    <w:jc w:val="center"/>
                    <w:rPr>
                      <w:rFonts w:ascii="Times New Roman" w:hAnsi="Times New Roman" w:cs="Times New Roman"/>
                      <w:kern w:val="0"/>
                      <w:sz w:val="18"/>
                      <w:szCs w:val="18"/>
                    </w:rPr>
                  </w:pPr>
                  <w:r>
                    <w:rPr>
                      <w:rFonts w:ascii="Times New Roman" w:hAnsi="Times New Roman" w:cs="Times New Roman"/>
                      <w:kern w:val="0"/>
                      <w:sz w:val="18"/>
                      <w:szCs w:val="18"/>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8977" w:type="dxa"/>
                  <w:gridSpan w:val="5"/>
                  <w:vAlign w:val="center"/>
                </w:tcPr>
                <w:p>
                  <w:pPr>
                    <w:pStyle w:val="232"/>
                    <w:ind w:firstLine="420"/>
                    <w:jc w:val="left"/>
                    <w:rPr>
                      <w:sz w:val="18"/>
                      <w:szCs w:val="18"/>
                    </w:rPr>
                  </w:pPr>
                  <w:r>
                    <w:rPr>
                      <w:sz w:val="18"/>
                      <w:szCs w:val="18"/>
                    </w:rPr>
                    <w:t>a 指对应排放口需执行的国家及地方污染物排放标准以及其他按规定商定建设项目水污染物排放控制要求的协议，据此确定的排放浓度限值。</w:t>
                  </w:r>
                </w:p>
              </w:tc>
            </w:tr>
          </w:tbl>
          <w:p>
            <w:pPr>
              <w:pStyle w:val="16"/>
              <w:spacing w:after="0"/>
            </w:pPr>
          </w:p>
          <w:p>
            <w:pPr>
              <w:pStyle w:val="16"/>
              <w:spacing w:after="0"/>
              <w:ind w:firstLine="482" w:firstLineChars="200"/>
              <w:jc w:val="center"/>
              <w:rPr>
                <w:b/>
                <w:bCs/>
                <w:sz w:val="24"/>
              </w:rPr>
            </w:pPr>
            <w:r>
              <w:rPr>
                <w:b/>
                <w:bCs/>
                <w:sz w:val="24"/>
              </w:rPr>
              <w:t>表7-4 废水污染物排放信息表（新建项目）</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8"/>
              <w:gridCol w:w="1254"/>
              <w:gridCol w:w="1238"/>
              <w:gridCol w:w="1802"/>
              <w:gridCol w:w="1749"/>
              <w:gridCol w:w="1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948" w:type="dxa"/>
                  <w:vAlign w:val="center"/>
                </w:tcPr>
                <w:p>
                  <w:pPr>
                    <w:pStyle w:val="232"/>
                    <w:rPr>
                      <w:b/>
                      <w:bCs/>
                      <w:sz w:val="18"/>
                      <w:szCs w:val="18"/>
                    </w:rPr>
                  </w:pPr>
                  <w:r>
                    <w:rPr>
                      <w:b/>
                      <w:bCs/>
                      <w:sz w:val="18"/>
                      <w:szCs w:val="18"/>
                    </w:rPr>
                    <w:t>序号</w:t>
                  </w:r>
                </w:p>
              </w:tc>
              <w:tc>
                <w:tcPr>
                  <w:tcW w:w="1254" w:type="dxa"/>
                  <w:vAlign w:val="center"/>
                </w:tcPr>
                <w:p>
                  <w:pPr>
                    <w:pStyle w:val="232"/>
                    <w:rPr>
                      <w:b/>
                      <w:bCs/>
                      <w:sz w:val="18"/>
                      <w:szCs w:val="18"/>
                    </w:rPr>
                  </w:pPr>
                  <w:r>
                    <w:rPr>
                      <w:b/>
                      <w:bCs/>
                      <w:sz w:val="18"/>
                      <w:szCs w:val="18"/>
                    </w:rPr>
                    <w:t>排放口编号</w:t>
                  </w:r>
                </w:p>
              </w:tc>
              <w:tc>
                <w:tcPr>
                  <w:tcW w:w="1238" w:type="dxa"/>
                  <w:vAlign w:val="center"/>
                </w:tcPr>
                <w:p>
                  <w:pPr>
                    <w:pStyle w:val="232"/>
                    <w:rPr>
                      <w:b/>
                      <w:bCs/>
                      <w:sz w:val="18"/>
                      <w:szCs w:val="18"/>
                    </w:rPr>
                  </w:pPr>
                  <w:r>
                    <w:rPr>
                      <w:b/>
                      <w:bCs/>
                      <w:sz w:val="18"/>
                      <w:szCs w:val="18"/>
                    </w:rPr>
                    <w:t>污染物种类</w:t>
                  </w:r>
                </w:p>
              </w:tc>
              <w:tc>
                <w:tcPr>
                  <w:tcW w:w="1802" w:type="dxa"/>
                  <w:vAlign w:val="center"/>
                </w:tcPr>
                <w:p>
                  <w:pPr>
                    <w:pStyle w:val="232"/>
                    <w:rPr>
                      <w:b/>
                      <w:bCs/>
                      <w:sz w:val="18"/>
                      <w:szCs w:val="18"/>
                    </w:rPr>
                  </w:pPr>
                  <w:r>
                    <w:rPr>
                      <w:b/>
                      <w:bCs/>
                      <w:sz w:val="18"/>
                      <w:szCs w:val="18"/>
                    </w:rPr>
                    <w:t>排放浓度（mg/L）</w:t>
                  </w:r>
                </w:p>
              </w:tc>
              <w:tc>
                <w:tcPr>
                  <w:tcW w:w="1749" w:type="dxa"/>
                  <w:vAlign w:val="center"/>
                </w:tcPr>
                <w:p>
                  <w:pPr>
                    <w:pStyle w:val="232"/>
                    <w:rPr>
                      <w:b/>
                      <w:bCs/>
                      <w:sz w:val="18"/>
                      <w:szCs w:val="18"/>
                    </w:rPr>
                  </w:pPr>
                  <w:r>
                    <w:rPr>
                      <w:b/>
                      <w:bCs/>
                      <w:sz w:val="18"/>
                      <w:szCs w:val="18"/>
                    </w:rPr>
                    <w:t>日排放量（t/d）</w:t>
                  </w:r>
                </w:p>
              </w:tc>
              <w:tc>
                <w:tcPr>
                  <w:tcW w:w="1823" w:type="dxa"/>
                  <w:vAlign w:val="center"/>
                </w:tcPr>
                <w:p>
                  <w:pPr>
                    <w:pStyle w:val="232"/>
                    <w:rPr>
                      <w:b/>
                      <w:bCs/>
                      <w:sz w:val="18"/>
                      <w:szCs w:val="18"/>
                    </w:rPr>
                  </w:pPr>
                  <w:r>
                    <w:rPr>
                      <w:b/>
                      <w:bCs/>
                      <w:sz w:val="18"/>
                      <w:szCs w:val="18"/>
                    </w:rPr>
                    <w:t>年排放量（t/a）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948" w:type="dxa"/>
                  <w:vMerge w:val="restart"/>
                  <w:vAlign w:val="center"/>
                </w:tcPr>
                <w:p>
                  <w:pPr>
                    <w:pStyle w:val="232"/>
                    <w:rPr>
                      <w:rFonts w:eastAsiaTheme="minorEastAsia"/>
                      <w:sz w:val="18"/>
                      <w:szCs w:val="18"/>
                    </w:rPr>
                  </w:pPr>
                  <w:r>
                    <w:rPr>
                      <w:rFonts w:eastAsiaTheme="minorEastAsia"/>
                      <w:sz w:val="18"/>
                      <w:szCs w:val="18"/>
                    </w:rPr>
                    <w:t>1</w:t>
                  </w:r>
                </w:p>
              </w:tc>
              <w:tc>
                <w:tcPr>
                  <w:tcW w:w="1254" w:type="dxa"/>
                  <w:vMerge w:val="restart"/>
                  <w:vAlign w:val="center"/>
                </w:tcPr>
                <w:p>
                  <w:pPr>
                    <w:pStyle w:val="232"/>
                    <w:rPr>
                      <w:rFonts w:eastAsiaTheme="minorEastAsia"/>
                      <w:sz w:val="18"/>
                      <w:szCs w:val="18"/>
                    </w:rPr>
                  </w:pPr>
                  <w:r>
                    <w:rPr>
                      <w:rFonts w:eastAsiaTheme="minorEastAsia"/>
                      <w:sz w:val="18"/>
                      <w:szCs w:val="18"/>
                    </w:rPr>
                    <w:t>DW001</w:t>
                  </w:r>
                </w:p>
              </w:tc>
              <w:tc>
                <w:tcPr>
                  <w:tcW w:w="1238" w:type="dxa"/>
                  <w:vAlign w:val="center"/>
                </w:tcPr>
                <w:p>
                  <w:pPr>
                    <w:pStyle w:val="232"/>
                    <w:rPr>
                      <w:rFonts w:eastAsiaTheme="minorEastAsia"/>
                      <w:sz w:val="18"/>
                      <w:szCs w:val="18"/>
                    </w:rPr>
                  </w:pPr>
                  <w:r>
                    <w:rPr>
                      <w:rFonts w:eastAsiaTheme="minorEastAsia"/>
                      <w:sz w:val="18"/>
                      <w:szCs w:val="18"/>
                    </w:rPr>
                    <w:t>COD</w:t>
                  </w:r>
                </w:p>
              </w:tc>
              <w:tc>
                <w:tcPr>
                  <w:tcW w:w="1802" w:type="dxa"/>
                  <w:vAlign w:val="center"/>
                </w:tcPr>
                <w:p>
                  <w:pPr>
                    <w:jc w:val="center"/>
                    <w:rPr>
                      <w:rFonts w:ascii="Times New Roman" w:hAnsi="Times New Roman" w:cs="Times New Roman"/>
                      <w:sz w:val="18"/>
                      <w:szCs w:val="18"/>
                    </w:rPr>
                  </w:pPr>
                  <w:r>
                    <w:rPr>
                      <w:rFonts w:ascii="Times New Roman" w:hAnsi="Times New Roman" w:cs="Times New Roman"/>
                      <w:sz w:val="18"/>
                      <w:szCs w:val="18"/>
                    </w:rPr>
                    <w:t>400</w:t>
                  </w:r>
                </w:p>
              </w:tc>
              <w:tc>
                <w:tcPr>
                  <w:tcW w:w="1749" w:type="dxa"/>
                  <w:vAlign w:val="center"/>
                </w:tcPr>
                <w:p>
                  <w:pPr>
                    <w:jc w:val="center"/>
                    <w:rPr>
                      <w:rFonts w:ascii="Times New Roman" w:hAnsi="Times New Roman" w:cs="Times New Roman"/>
                    </w:rPr>
                  </w:pPr>
                  <w:r>
                    <w:rPr>
                      <w:rFonts w:ascii="Times New Roman" w:hAnsi="Times New Roman" w:cs="Times New Roman"/>
                    </w:rPr>
                    <w:t>0.00085</w:t>
                  </w:r>
                </w:p>
              </w:tc>
              <w:tc>
                <w:tcPr>
                  <w:tcW w:w="1823" w:type="dxa"/>
                  <w:vAlign w:val="center"/>
                </w:tcPr>
                <w:p>
                  <w:pPr>
                    <w:jc w:val="center"/>
                    <w:rPr>
                      <w:rFonts w:ascii="Times New Roman" w:hAnsi="Times New Roman" w:cs="Times New Roman"/>
                    </w:rPr>
                  </w:pPr>
                  <w:r>
                    <w:rPr>
                      <w:rFonts w:ascii="Times New Roman" w:hAnsi="Times New Roman" w:cs="Times New Roman"/>
                    </w:rPr>
                    <w:t>0.256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948" w:type="dxa"/>
                  <w:vMerge w:val="continue"/>
                  <w:vAlign w:val="center"/>
                </w:tcPr>
                <w:p>
                  <w:pPr>
                    <w:pStyle w:val="232"/>
                    <w:rPr>
                      <w:rFonts w:eastAsiaTheme="minorEastAsia"/>
                      <w:sz w:val="18"/>
                      <w:szCs w:val="18"/>
                    </w:rPr>
                  </w:pPr>
                </w:p>
              </w:tc>
              <w:tc>
                <w:tcPr>
                  <w:tcW w:w="1254" w:type="dxa"/>
                  <w:vMerge w:val="continue"/>
                  <w:vAlign w:val="center"/>
                </w:tcPr>
                <w:p>
                  <w:pPr>
                    <w:pStyle w:val="232"/>
                    <w:rPr>
                      <w:rFonts w:eastAsiaTheme="minorEastAsia"/>
                      <w:sz w:val="18"/>
                      <w:szCs w:val="18"/>
                    </w:rPr>
                  </w:pPr>
                </w:p>
              </w:tc>
              <w:tc>
                <w:tcPr>
                  <w:tcW w:w="1238" w:type="dxa"/>
                  <w:vAlign w:val="center"/>
                </w:tcPr>
                <w:p>
                  <w:pPr>
                    <w:pStyle w:val="232"/>
                    <w:rPr>
                      <w:rFonts w:eastAsiaTheme="minorEastAsia"/>
                      <w:sz w:val="18"/>
                      <w:szCs w:val="18"/>
                    </w:rPr>
                  </w:pPr>
                  <w:r>
                    <w:rPr>
                      <w:rFonts w:eastAsiaTheme="minorEastAsia"/>
                      <w:sz w:val="18"/>
                      <w:szCs w:val="18"/>
                    </w:rPr>
                    <w:t>SS</w:t>
                  </w:r>
                </w:p>
              </w:tc>
              <w:tc>
                <w:tcPr>
                  <w:tcW w:w="1802" w:type="dxa"/>
                  <w:vAlign w:val="center"/>
                </w:tcPr>
                <w:p>
                  <w:pPr>
                    <w:jc w:val="center"/>
                    <w:rPr>
                      <w:rFonts w:ascii="Times New Roman" w:hAnsi="Times New Roman" w:cs="Times New Roman"/>
                      <w:sz w:val="18"/>
                      <w:szCs w:val="18"/>
                    </w:rPr>
                  </w:pPr>
                  <w:r>
                    <w:rPr>
                      <w:rFonts w:ascii="Times New Roman" w:hAnsi="Times New Roman" w:cs="Times New Roman"/>
                      <w:sz w:val="18"/>
                      <w:szCs w:val="18"/>
                    </w:rPr>
                    <w:t>250</w:t>
                  </w:r>
                </w:p>
              </w:tc>
              <w:tc>
                <w:tcPr>
                  <w:tcW w:w="1749" w:type="dxa"/>
                  <w:vAlign w:val="center"/>
                </w:tcPr>
                <w:p>
                  <w:pPr>
                    <w:jc w:val="center"/>
                    <w:rPr>
                      <w:rFonts w:ascii="Times New Roman" w:hAnsi="Times New Roman" w:cs="Times New Roman"/>
                    </w:rPr>
                  </w:pPr>
                  <w:r>
                    <w:rPr>
                      <w:rFonts w:ascii="Times New Roman" w:hAnsi="Times New Roman" w:cs="Times New Roman"/>
                    </w:rPr>
                    <w:t>0.0005</w:t>
                  </w:r>
                </w:p>
              </w:tc>
              <w:tc>
                <w:tcPr>
                  <w:tcW w:w="1823" w:type="dxa"/>
                  <w:vAlign w:val="center"/>
                </w:tcPr>
                <w:p>
                  <w:pPr>
                    <w:jc w:val="center"/>
                    <w:rPr>
                      <w:rFonts w:ascii="Times New Roman" w:hAnsi="Times New Roman" w:cs="Times New Roman"/>
                    </w:rPr>
                  </w:pPr>
                  <w:r>
                    <w:rPr>
                      <w:rFonts w:ascii="Times New Roman" w:hAnsi="Times New Roman" w:cs="Times New Roman"/>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948" w:type="dxa"/>
                  <w:vMerge w:val="continue"/>
                  <w:vAlign w:val="center"/>
                </w:tcPr>
                <w:p>
                  <w:pPr>
                    <w:pStyle w:val="232"/>
                    <w:rPr>
                      <w:rFonts w:eastAsiaTheme="minorEastAsia"/>
                      <w:sz w:val="18"/>
                      <w:szCs w:val="18"/>
                    </w:rPr>
                  </w:pPr>
                </w:p>
              </w:tc>
              <w:tc>
                <w:tcPr>
                  <w:tcW w:w="1254" w:type="dxa"/>
                  <w:vMerge w:val="continue"/>
                  <w:vAlign w:val="center"/>
                </w:tcPr>
                <w:p>
                  <w:pPr>
                    <w:pStyle w:val="232"/>
                    <w:rPr>
                      <w:rFonts w:eastAsiaTheme="minorEastAsia"/>
                      <w:sz w:val="18"/>
                      <w:szCs w:val="18"/>
                    </w:rPr>
                  </w:pPr>
                </w:p>
              </w:tc>
              <w:tc>
                <w:tcPr>
                  <w:tcW w:w="1238" w:type="dxa"/>
                  <w:vAlign w:val="center"/>
                </w:tcPr>
                <w:p>
                  <w:pPr>
                    <w:pStyle w:val="232"/>
                    <w:rPr>
                      <w:rFonts w:eastAsiaTheme="minorEastAsia"/>
                      <w:sz w:val="18"/>
                      <w:szCs w:val="18"/>
                    </w:rPr>
                  </w:pPr>
                  <w:r>
                    <w:rPr>
                      <w:rFonts w:eastAsiaTheme="minorEastAsia"/>
                      <w:sz w:val="18"/>
                      <w:szCs w:val="18"/>
                    </w:rPr>
                    <w:t>氨氮</w:t>
                  </w:r>
                </w:p>
              </w:tc>
              <w:tc>
                <w:tcPr>
                  <w:tcW w:w="1802" w:type="dxa"/>
                  <w:vAlign w:val="center"/>
                </w:tcPr>
                <w:p>
                  <w:pPr>
                    <w:jc w:val="center"/>
                    <w:rPr>
                      <w:rFonts w:ascii="Times New Roman" w:hAnsi="Times New Roman" w:cs="Times New Roman"/>
                      <w:sz w:val="18"/>
                      <w:szCs w:val="18"/>
                    </w:rPr>
                  </w:pPr>
                  <w:r>
                    <w:rPr>
                      <w:rFonts w:ascii="Times New Roman" w:hAnsi="Times New Roman" w:cs="Times New Roman"/>
                      <w:sz w:val="18"/>
                      <w:szCs w:val="18"/>
                    </w:rPr>
                    <w:t>30</w:t>
                  </w:r>
                </w:p>
              </w:tc>
              <w:tc>
                <w:tcPr>
                  <w:tcW w:w="1749" w:type="dxa"/>
                  <w:vAlign w:val="center"/>
                </w:tcPr>
                <w:p>
                  <w:pPr>
                    <w:jc w:val="center"/>
                    <w:rPr>
                      <w:rFonts w:ascii="Times New Roman" w:hAnsi="Times New Roman" w:cs="Times New Roman"/>
                    </w:rPr>
                  </w:pPr>
                  <w:r>
                    <w:rPr>
                      <w:rFonts w:ascii="Times New Roman" w:hAnsi="Times New Roman" w:cs="Times New Roman"/>
                    </w:rPr>
                    <w:t>0.000064</w:t>
                  </w:r>
                </w:p>
              </w:tc>
              <w:tc>
                <w:tcPr>
                  <w:tcW w:w="1823" w:type="dxa"/>
                  <w:vAlign w:val="center"/>
                </w:tcPr>
                <w:p>
                  <w:pPr>
                    <w:jc w:val="center"/>
                    <w:rPr>
                      <w:rFonts w:ascii="Times New Roman" w:hAnsi="Times New Roman" w:cs="Times New Roman"/>
                    </w:rPr>
                  </w:pPr>
                  <w:r>
                    <w:rPr>
                      <w:rFonts w:ascii="Times New Roman" w:hAnsi="Times New Roman" w:cs="Times New Roman"/>
                    </w:rPr>
                    <w:t>0.0192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948" w:type="dxa"/>
                  <w:vMerge w:val="continue"/>
                  <w:vAlign w:val="center"/>
                </w:tcPr>
                <w:p>
                  <w:pPr>
                    <w:pStyle w:val="232"/>
                    <w:rPr>
                      <w:rFonts w:eastAsiaTheme="minorEastAsia"/>
                      <w:sz w:val="18"/>
                      <w:szCs w:val="18"/>
                    </w:rPr>
                  </w:pPr>
                </w:p>
              </w:tc>
              <w:tc>
                <w:tcPr>
                  <w:tcW w:w="1254" w:type="dxa"/>
                  <w:vMerge w:val="continue"/>
                  <w:vAlign w:val="center"/>
                </w:tcPr>
                <w:p>
                  <w:pPr>
                    <w:pStyle w:val="232"/>
                    <w:rPr>
                      <w:rFonts w:eastAsiaTheme="minorEastAsia"/>
                      <w:sz w:val="18"/>
                      <w:szCs w:val="18"/>
                    </w:rPr>
                  </w:pPr>
                </w:p>
              </w:tc>
              <w:tc>
                <w:tcPr>
                  <w:tcW w:w="1238" w:type="dxa"/>
                  <w:vAlign w:val="center"/>
                </w:tcPr>
                <w:p>
                  <w:pPr>
                    <w:pStyle w:val="232"/>
                    <w:rPr>
                      <w:rFonts w:eastAsiaTheme="minorEastAsia"/>
                      <w:sz w:val="18"/>
                      <w:szCs w:val="18"/>
                    </w:rPr>
                  </w:pPr>
                  <w:r>
                    <w:rPr>
                      <w:rFonts w:eastAsiaTheme="minorEastAsia"/>
                      <w:sz w:val="18"/>
                      <w:szCs w:val="18"/>
                    </w:rPr>
                    <w:t>TN</w:t>
                  </w:r>
                </w:p>
              </w:tc>
              <w:tc>
                <w:tcPr>
                  <w:tcW w:w="1802" w:type="dxa"/>
                  <w:vAlign w:val="center"/>
                </w:tcPr>
                <w:p>
                  <w:pPr>
                    <w:jc w:val="center"/>
                    <w:rPr>
                      <w:rFonts w:ascii="Times New Roman" w:hAnsi="Times New Roman" w:cs="Times New Roman"/>
                      <w:sz w:val="18"/>
                      <w:szCs w:val="18"/>
                    </w:rPr>
                  </w:pPr>
                  <w:r>
                    <w:rPr>
                      <w:rFonts w:ascii="Times New Roman" w:hAnsi="Times New Roman" w:cs="Times New Roman"/>
                      <w:sz w:val="18"/>
                      <w:szCs w:val="18"/>
                    </w:rPr>
                    <w:t>70</w:t>
                  </w:r>
                </w:p>
              </w:tc>
              <w:tc>
                <w:tcPr>
                  <w:tcW w:w="1749" w:type="dxa"/>
                  <w:vAlign w:val="center"/>
                </w:tcPr>
                <w:p>
                  <w:pPr>
                    <w:jc w:val="center"/>
                    <w:rPr>
                      <w:rFonts w:ascii="Times New Roman" w:hAnsi="Times New Roman" w:cs="Times New Roman"/>
                    </w:rPr>
                  </w:pPr>
                  <w:r>
                    <w:rPr>
                      <w:rFonts w:ascii="Times New Roman" w:hAnsi="Times New Roman" w:cs="Times New Roman"/>
                    </w:rPr>
                    <w:t>0.000149</w:t>
                  </w:r>
                </w:p>
              </w:tc>
              <w:tc>
                <w:tcPr>
                  <w:tcW w:w="1823" w:type="dxa"/>
                  <w:vAlign w:val="center"/>
                </w:tcPr>
                <w:p>
                  <w:pPr>
                    <w:jc w:val="center"/>
                    <w:rPr>
                      <w:rFonts w:ascii="Times New Roman" w:hAnsi="Times New Roman" w:cs="Times New Roman"/>
                    </w:rPr>
                  </w:pPr>
                  <w:r>
                    <w:rPr>
                      <w:rFonts w:ascii="Times New Roman" w:hAnsi="Times New Roman" w:cs="Times New Roman"/>
                    </w:rPr>
                    <w:t>0.0448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948" w:type="dxa"/>
                  <w:vMerge w:val="continue"/>
                  <w:vAlign w:val="center"/>
                </w:tcPr>
                <w:p>
                  <w:pPr>
                    <w:pStyle w:val="232"/>
                    <w:rPr>
                      <w:rFonts w:eastAsiaTheme="minorEastAsia"/>
                      <w:sz w:val="18"/>
                      <w:szCs w:val="18"/>
                    </w:rPr>
                  </w:pPr>
                </w:p>
              </w:tc>
              <w:tc>
                <w:tcPr>
                  <w:tcW w:w="1254" w:type="dxa"/>
                  <w:vMerge w:val="continue"/>
                  <w:vAlign w:val="center"/>
                </w:tcPr>
                <w:p>
                  <w:pPr>
                    <w:pStyle w:val="232"/>
                    <w:rPr>
                      <w:rFonts w:eastAsiaTheme="minorEastAsia"/>
                      <w:sz w:val="18"/>
                      <w:szCs w:val="18"/>
                    </w:rPr>
                  </w:pPr>
                </w:p>
              </w:tc>
              <w:tc>
                <w:tcPr>
                  <w:tcW w:w="1238" w:type="dxa"/>
                  <w:vAlign w:val="center"/>
                </w:tcPr>
                <w:p>
                  <w:pPr>
                    <w:pStyle w:val="232"/>
                    <w:rPr>
                      <w:rFonts w:eastAsiaTheme="minorEastAsia"/>
                      <w:sz w:val="18"/>
                      <w:szCs w:val="18"/>
                    </w:rPr>
                  </w:pPr>
                  <w:r>
                    <w:rPr>
                      <w:rFonts w:eastAsiaTheme="minorEastAsia"/>
                      <w:sz w:val="18"/>
                      <w:szCs w:val="18"/>
                    </w:rPr>
                    <w:t>TP</w:t>
                  </w:r>
                </w:p>
              </w:tc>
              <w:tc>
                <w:tcPr>
                  <w:tcW w:w="1802" w:type="dxa"/>
                  <w:vAlign w:val="center"/>
                </w:tcPr>
                <w:p>
                  <w:pPr>
                    <w:jc w:val="center"/>
                    <w:rPr>
                      <w:rFonts w:ascii="Times New Roman" w:hAnsi="Times New Roman" w:cs="Times New Roman"/>
                      <w:sz w:val="18"/>
                      <w:szCs w:val="18"/>
                    </w:rPr>
                  </w:pPr>
                  <w:r>
                    <w:rPr>
                      <w:rFonts w:ascii="Times New Roman" w:hAnsi="Times New Roman" w:cs="Times New Roman"/>
                      <w:sz w:val="18"/>
                      <w:szCs w:val="18"/>
                    </w:rPr>
                    <w:t>5</w:t>
                  </w:r>
                </w:p>
              </w:tc>
              <w:tc>
                <w:tcPr>
                  <w:tcW w:w="1749" w:type="dxa"/>
                  <w:vAlign w:val="center"/>
                </w:tcPr>
                <w:p>
                  <w:pPr>
                    <w:jc w:val="center"/>
                    <w:rPr>
                      <w:rFonts w:ascii="Times New Roman" w:hAnsi="Times New Roman" w:cs="Times New Roman"/>
                    </w:rPr>
                  </w:pPr>
                  <w:r>
                    <w:rPr>
                      <w:rFonts w:ascii="Times New Roman" w:hAnsi="Times New Roman" w:cs="Times New Roman"/>
                    </w:rPr>
                    <w:t>8.5E-06</w:t>
                  </w:r>
                </w:p>
              </w:tc>
              <w:tc>
                <w:tcPr>
                  <w:tcW w:w="1823" w:type="dxa"/>
                  <w:vAlign w:val="center"/>
                </w:tcPr>
                <w:p>
                  <w:pPr>
                    <w:jc w:val="center"/>
                    <w:rPr>
                      <w:rFonts w:ascii="Times New Roman" w:hAnsi="Times New Roman" w:cs="Times New Roman"/>
                    </w:rPr>
                  </w:pPr>
                  <w:r>
                    <w:rPr>
                      <w:rFonts w:ascii="Times New Roman" w:hAnsi="Times New Roman" w:cs="Times New Roman"/>
                    </w:rPr>
                    <w:t>0.00256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202" w:type="dxa"/>
                  <w:gridSpan w:val="2"/>
                  <w:vMerge w:val="restart"/>
                  <w:vAlign w:val="center"/>
                </w:tcPr>
                <w:p>
                  <w:pPr>
                    <w:pStyle w:val="232"/>
                    <w:rPr>
                      <w:rFonts w:eastAsiaTheme="minorEastAsia"/>
                      <w:sz w:val="18"/>
                      <w:szCs w:val="18"/>
                    </w:rPr>
                  </w:pPr>
                  <w:r>
                    <w:rPr>
                      <w:rFonts w:eastAsiaTheme="minorEastAsia"/>
                      <w:sz w:val="18"/>
                      <w:szCs w:val="18"/>
                    </w:rPr>
                    <w:t>全厂排放量合计</w:t>
                  </w:r>
                </w:p>
              </w:tc>
              <w:tc>
                <w:tcPr>
                  <w:tcW w:w="4789" w:type="dxa"/>
                  <w:gridSpan w:val="3"/>
                  <w:vAlign w:val="center"/>
                </w:tcPr>
                <w:p>
                  <w:pPr>
                    <w:pStyle w:val="232"/>
                    <w:rPr>
                      <w:rFonts w:eastAsiaTheme="minorEastAsia"/>
                      <w:sz w:val="18"/>
                      <w:szCs w:val="18"/>
                    </w:rPr>
                  </w:pPr>
                  <w:r>
                    <w:rPr>
                      <w:rFonts w:eastAsiaTheme="minorEastAsia"/>
                      <w:sz w:val="18"/>
                      <w:szCs w:val="18"/>
                    </w:rPr>
                    <w:t>COD</w:t>
                  </w:r>
                </w:p>
              </w:tc>
              <w:tc>
                <w:tcPr>
                  <w:tcW w:w="1823" w:type="dxa"/>
                  <w:vAlign w:val="center"/>
                </w:tcPr>
                <w:p>
                  <w:pPr>
                    <w:jc w:val="center"/>
                    <w:rPr>
                      <w:rFonts w:ascii="Times New Roman" w:hAnsi="Times New Roman" w:cs="Times New Roman"/>
                    </w:rPr>
                  </w:pPr>
                  <w:r>
                    <w:rPr>
                      <w:rFonts w:ascii="Times New Roman" w:hAnsi="Times New Roman" w:cs="Times New Roman"/>
                    </w:rPr>
                    <w:t>0.256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2202" w:type="dxa"/>
                  <w:gridSpan w:val="2"/>
                  <w:vMerge w:val="continue"/>
                  <w:vAlign w:val="center"/>
                </w:tcPr>
                <w:p>
                  <w:pPr>
                    <w:pStyle w:val="232"/>
                    <w:rPr>
                      <w:rFonts w:eastAsiaTheme="minorEastAsia"/>
                      <w:sz w:val="18"/>
                      <w:szCs w:val="18"/>
                    </w:rPr>
                  </w:pPr>
                </w:p>
              </w:tc>
              <w:tc>
                <w:tcPr>
                  <w:tcW w:w="4789" w:type="dxa"/>
                  <w:gridSpan w:val="3"/>
                  <w:vAlign w:val="center"/>
                </w:tcPr>
                <w:p>
                  <w:pPr>
                    <w:pStyle w:val="232"/>
                    <w:rPr>
                      <w:rFonts w:eastAsiaTheme="minorEastAsia"/>
                      <w:sz w:val="18"/>
                      <w:szCs w:val="18"/>
                    </w:rPr>
                  </w:pPr>
                  <w:r>
                    <w:rPr>
                      <w:rFonts w:eastAsiaTheme="minorEastAsia"/>
                      <w:sz w:val="18"/>
                      <w:szCs w:val="18"/>
                    </w:rPr>
                    <w:t>SS</w:t>
                  </w:r>
                </w:p>
              </w:tc>
              <w:tc>
                <w:tcPr>
                  <w:tcW w:w="1823" w:type="dxa"/>
                  <w:vAlign w:val="center"/>
                </w:tcPr>
                <w:p>
                  <w:pPr>
                    <w:jc w:val="center"/>
                    <w:rPr>
                      <w:rFonts w:ascii="Times New Roman" w:hAnsi="Times New Roman" w:cs="Times New Roman"/>
                    </w:rPr>
                  </w:pPr>
                  <w:r>
                    <w:rPr>
                      <w:rFonts w:ascii="Times New Roman" w:hAnsi="Times New Roman" w:cs="Times New Roman"/>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2202" w:type="dxa"/>
                  <w:gridSpan w:val="2"/>
                  <w:vMerge w:val="continue"/>
                  <w:vAlign w:val="center"/>
                </w:tcPr>
                <w:p>
                  <w:pPr>
                    <w:pStyle w:val="232"/>
                    <w:rPr>
                      <w:rFonts w:eastAsiaTheme="minorEastAsia"/>
                      <w:sz w:val="18"/>
                      <w:szCs w:val="18"/>
                    </w:rPr>
                  </w:pPr>
                </w:p>
              </w:tc>
              <w:tc>
                <w:tcPr>
                  <w:tcW w:w="4789" w:type="dxa"/>
                  <w:gridSpan w:val="3"/>
                  <w:vAlign w:val="center"/>
                </w:tcPr>
                <w:p>
                  <w:pPr>
                    <w:pStyle w:val="232"/>
                    <w:rPr>
                      <w:rFonts w:eastAsiaTheme="minorEastAsia"/>
                      <w:sz w:val="18"/>
                      <w:szCs w:val="18"/>
                    </w:rPr>
                  </w:pPr>
                  <w:r>
                    <w:rPr>
                      <w:rFonts w:eastAsiaTheme="minorEastAsia"/>
                      <w:sz w:val="18"/>
                      <w:szCs w:val="18"/>
                    </w:rPr>
                    <w:t>氨氮</w:t>
                  </w:r>
                </w:p>
              </w:tc>
              <w:tc>
                <w:tcPr>
                  <w:tcW w:w="1823" w:type="dxa"/>
                  <w:vAlign w:val="center"/>
                </w:tcPr>
                <w:p>
                  <w:pPr>
                    <w:jc w:val="center"/>
                    <w:rPr>
                      <w:rFonts w:ascii="Times New Roman" w:hAnsi="Times New Roman" w:cs="Times New Roman"/>
                    </w:rPr>
                  </w:pPr>
                  <w:r>
                    <w:rPr>
                      <w:rFonts w:ascii="Times New Roman" w:hAnsi="Times New Roman" w:cs="Times New Roman"/>
                    </w:rPr>
                    <w:t>0.0192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2202" w:type="dxa"/>
                  <w:gridSpan w:val="2"/>
                  <w:vMerge w:val="continue"/>
                  <w:vAlign w:val="center"/>
                </w:tcPr>
                <w:p>
                  <w:pPr>
                    <w:pStyle w:val="232"/>
                    <w:rPr>
                      <w:rFonts w:eastAsiaTheme="minorEastAsia"/>
                      <w:sz w:val="18"/>
                      <w:szCs w:val="18"/>
                    </w:rPr>
                  </w:pPr>
                </w:p>
              </w:tc>
              <w:tc>
                <w:tcPr>
                  <w:tcW w:w="4789" w:type="dxa"/>
                  <w:gridSpan w:val="3"/>
                  <w:vAlign w:val="center"/>
                </w:tcPr>
                <w:p>
                  <w:pPr>
                    <w:pStyle w:val="232"/>
                    <w:rPr>
                      <w:rFonts w:eastAsiaTheme="minorEastAsia"/>
                      <w:sz w:val="18"/>
                      <w:szCs w:val="18"/>
                    </w:rPr>
                  </w:pPr>
                  <w:r>
                    <w:rPr>
                      <w:rFonts w:eastAsiaTheme="minorEastAsia"/>
                      <w:sz w:val="18"/>
                      <w:szCs w:val="18"/>
                    </w:rPr>
                    <w:t>TN</w:t>
                  </w:r>
                </w:p>
              </w:tc>
              <w:tc>
                <w:tcPr>
                  <w:tcW w:w="1823" w:type="dxa"/>
                  <w:vAlign w:val="center"/>
                </w:tcPr>
                <w:p>
                  <w:pPr>
                    <w:jc w:val="center"/>
                    <w:rPr>
                      <w:rFonts w:ascii="Times New Roman" w:hAnsi="Times New Roman" w:cs="Times New Roman"/>
                    </w:rPr>
                  </w:pPr>
                  <w:r>
                    <w:rPr>
                      <w:rFonts w:ascii="Times New Roman" w:hAnsi="Times New Roman" w:cs="Times New Roman"/>
                    </w:rPr>
                    <w:t>0.0448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02" w:type="dxa"/>
                  <w:gridSpan w:val="2"/>
                  <w:vMerge w:val="continue"/>
                  <w:vAlign w:val="center"/>
                </w:tcPr>
                <w:p>
                  <w:pPr>
                    <w:pStyle w:val="232"/>
                    <w:rPr>
                      <w:rFonts w:eastAsiaTheme="minorEastAsia"/>
                      <w:sz w:val="18"/>
                      <w:szCs w:val="18"/>
                    </w:rPr>
                  </w:pPr>
                </w:p>
              </w:tc>
              <w:tc>
                <w:tcPr>
                  <w:tcW w:w="4789" w:type="dxa"/>
                  <w:gridSpan w:val="3"/>
                  <w:vAlign w:val="center"/>
                </w:tcPr>
                <w:p>
                  <w:pPr>
                    <w:pStyle w:val="232"/>
                    <w:rPr>
                      <w:rFonts w:eastAsiaTheme="minorEastAsia"/>
                      <w:sz w:val="18"/>
                      <w:szCs w:val="18"/>
                    </w:rPr>
                  </w:pPr>
                  <w:r>
                    <w:rPr>
                      <w:rFonts w:eastAsiaTheme="minorEastAsia"/>
                      <w:sz w:val="18"/>
                      <w:szCs w:val="18"/>
                    </w:rPr>
                    <w:t>TP</w:t>
                  </w:r>
                </w:p>
              </w:tc>
              <w:tc>
                <w:tcPr>
                  <w:tcW w:w="1823" w:type="dxa"/>
                  <w:vAlign w:val="center"/>
                </w:tcPr>
                <w:p>
                  <w:pPr>
                    <w:jc w:val="center"/>
                    <w:rPr>
                      <w:rFonts w:ascii="Times New Roman" w:hAnsi="Times New Roman" w:cs="Times New Roman"/>
                    </w:rPr>
                  </w:pPr>
                  <w:r>
                    <w:rPr>
                      <w:rFonts w:ascii="Times New Roman" w:hAnsi="Times New Roman" w:cs="Times New Roman"/>
                    </w:rPr>
                    <w:t>0.00256</w:t>
                  </w:r>
                </w:p>
              </w:tc>
            </w:tr>
          </w:tbl>
          <w:p>
            <w:pPr>
              <w:pStyle w:val="16"/>
              <w:spacing w:after="0"/>
              <w:jc w:val="center"/>
              <w:rPr>
                <w:b/>
                <w:bCs/>
              </w:rPr>
            </w:pPr>
            <w:r>
              <w:rPr>
                <w:b/>
                <w:bCs/>
                <w:sz w:val="24"/>
              </w:rPr>
              <w:t>表7-5 地表水环境影响评价自查表</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2"/>
              <w:gridCol w:w="1189"/>
              <w:gridCol w:w="1502"/>
              <w:gridCol w:w="687"/>
              <w:gridCol w:w="306"/>
              <w:gridCol w:w="1469"/>
              <w:gridCol w:w="910"/>
              <w:gridCol w:w="62"/>
              <w:gridCol w:w="111"/>
              <w:gridCol w:w="459"/>
              <w:gridCol w:w="485"/>
              <w:gridCol w:w="30"/>
              <w:gridCol w:w="14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11" w:type="dxa"/>
                  <w:gridSpan w:val="2"/>
                  <w:vAlign w:val="center"/>
                </w:tcPr>
                <w:p>
                  <w:pPr>
                    <w:pStyle w:val="232"/>
                    <w:rPr>
                      <w:b/>
                      <w:bCs/>
                      <w:sz w:val="18"/>
                      <w:szCs w:val="21"/>
                    </w:rPr>
                  </w:pPr>
                  <w:r>
                    <w:rPr>
                      <w:b/>
                      <w:bCs/>
                      <w:sz w:val="18"/>
                      <w:szCs w:val="21"/>
                    </w:rPr>
                    <w:t>工作内容</w:t>
                  </w:r>
                </w:p>
              </w:tc>
              <w:tc>
                <w:tcPr>
                  <w:tcW w:w="7422" w:type="dxa"/>
                  <w:gridSpan w:val="11"/>
                  <w:vAlign w:val="center"/>
                </w:tcPr>
                <w:p>
                  <w:pPr>
                    <w:pStyle w:val="232"/>
                    <w:rPr>
                      <w:b/>
                      <w:bCs/>
                      <w:sz w:val="18"/>
                      <w:szCs w:val="21"/>
                    </w:rPr>
                  </w:pPr>
                  <w:r>
                    <w:rPr>
                      <w:b/>
                      <w:bCs/>
                      <w:sz w:val="18"/>
                      <w:szCs w:val="21"/>
                    </w:rPr>
                    <w:t>自查项目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restart"/>
                  <w:vAlign w:val="center"/>
                </w:tcPr>
                <w:p>
                  <w:pPr>
                    <w:pStyle w:val="232"/>
                    <w:rPr>
                      <w:sz w:val="18"/>
                      <w:szCs w:val="21"/>
                    </w:rPr>
                  </w:pPr>
                  <w:r>
                    <w:rPr>
                      <w:sz w:val="18"/>
                      <w:szCs w:val="21"/>
                    </w:rPr>
                    <w:t>影</w:t>
                  </w:r>
                </w:p>
                <w:p>
                  <w:pPr>
                    <w:pStyle w:val="232"/>
                    <w:rPr>
                      <w:sz w:val="18"/>
                      <w:szCs w:val="21"/>
                    </w:rPr>
                  </w:pPr>
                  <w:r>
                    <w:rPr>
                      <w:sz w:val="18"/>
                      <w:szCs w:val="21"/>
                    </w:rPr>
                    <w:t>响</w:t>
                  </w:r>
                </w:p>
                <w:p>
                  <w:pPr>
                    <w:pStyle w:val="232"/>
                    <w:rPr>
                      <w:sz w:val="18"/>
                      <w:szCs w:val="21"/>
                    </w:rPr>
                  </w:pPr>
                  <w:r>
                    <w:rPr>
                      <w:sz w:val="18"/>
                      <w:szCs w:val="21"/>
                    </w:rPr>
                    <w:t>识</w:t>
                  </w:r>
                </w:p>
                <w:p>
                  <w:pPr>
                    <w:pStyle w:val="232"/>
                    <w:rPr>
                      <w:sz w:val="18"/>
                      <w:szCs w:val="21"/>
                    </w:rPr>
                  </w:pPr>
                  <w:r>
                    <w:rPr>
                      <w:sz w:val="18"/>
                      <w:szCs w:val="21"/>
                    </w:rPr>
                    <w:t>别</w:t>
                  </w:r>
                </w:p>
              </w:tc>
              <w:tc>
                <w:tcPr>
                  <w:tcW w:w="1189" w:type="dxa"/>
                  <w:vAlign w:val="center"/>
                </w:tcPr>
                <w:p>
                  <w:pPr>
                    <w:pStyle w:val="232"/>
                    <w:rPr>
                      <w:sz w:val="18"/>
                      <w:szCs w:val="21"/>
                    </w:rPr>
                  </w:pPr>
                  <w:r>
                    <w:rPr>
                      <w:sz w:val="18"/>
                      <w:szCs w:val="21"/>
                    </w:rPr>
                    <w:t>影响类型</w:t>
                  </w:r>
                </w:p>
              </w:tc>
              <w:tc>
                <w:tcPr>
                  <w:tcW w:w="7422" w:type="dxa"/>
                  <w:gridSpan w:val="11"/>
                  <w:vAlign w:val="center"/>
                </w:tcPr>
                <w:p>
                  <w:pPr>
                    <w:pStyle w:val="232"/>
                    <w:jc w:val="left"/>
                    <w:rPr>
                      <w:sz w:val="18"/>
                      <w:szCs w:val="21"/>
                    </w:rPr>
                  </w:pPr>
                  <w:r>
                    <w:rPr>
                      <w:sz w:val="18"/>
                      <w:szCs w:val="21"/>
                    </w:rPr>
                    <w:t>水污染影响型</w:t>
                  </w:r>
                  <w:r>
                    <w:rPr>
                      <w:b/>
                      <w:bCs/>
                      <w:sz w:val="18"/>
                      <w:szCs w:val="21"/>
                    </w:rPr>
                    <w:sym w:font="Wingdings 2" w:char="0052"/>
                  </w:r>
                  <w:r>
                    <w:rPr>
                      <w:sz w:val="18"/>
                      <w:szCs w:val="21"/>
                    </w:rPr>
                    <w:t>；水文要素影响型□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水环境保护目标</w:t>
                  </w:r>
                </w:p>
              </w:tc>
              <w:tc>
                <w:tcPr>
                  <w:tcW w:w="7422" w:type="dxa"/>
                  <w:gridSpan w:val="11"/>
                  <w:vAlign w:val="center"/>
                </w:tcPr>
                <w:p>
                  <w:pPr>
                    <w:pStyle w:val="232"/>
                    <w:jc w:val="left"/>
                    <w:rPr>
                      <w:sz w:val="18"/>
                      <w:szCs w:val="21"/>
                    </w:rPr>
                  </w:pPr>
                  <w:r>
                    <w:rPr>
                      <w:sz w:val="18"/>
                      <w:szCs w:val="21"/>
                    </w:rPr>
                    <w:t>饮用水水源保护区□；饮用水取水口□；涉水的自然保护区□；涉水的风景名胜区□；重要湿地□；</w:t>
                  </w:r>
                </w:p>
                <w:p>
                  <w:pPr>
                    <w:pStyle w:val="232"/>
                    <w:jc w:val="left"/>
                    <w:rPr>
                      <w:sz w:val="18"/>
                      <w:szCs w:val="21"/>
                    </w:rPr>
                  </w:pPr>
                  <w:r>
                    <w:rPr>
                      <w:sz w:val="18"/>
                      <w:szCs w:val="21"/>
                    </w:rPr>
                    <w:t>重点保护与珍稀水生生物的栖息地□；重要水生生物的自然产卵场及索饵场、越冬场和洄游通道□；天然渔场等渔业水体□；水产种质资源保护区□；其他□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restart"/>
                  <w:vAlign w:val="center"/>
                </w:tcPr>
                <w:p>
                  <w:pPr>
                    <w:pStyle w:val="232"/>
                    <w:rPr>
                      <w:sz w:val="18"/>
                      <w:szCs w:val="21"/>
                    </w:rPr>
                  </w:pPr>
                  <w:r>
                    <w:rPr>
                      <w:sz w:val="18"/>
                      <w:szCs w:val="21"/>
                    </w:rPr>
                    <w:t>影响途径</w:t>
                  </w:r>
                </w:p>
              </w:tc>
              <w:tc>
                <w:tcPr>
                  <w:tcW w:w="3964" w:type="dxa"/>
                  <w:gridSpan w:val="4"/>
                  <w:vAlign w:val="center"/>
                </w:tcPr>
                <w:p>
                  <w:pPr>
                    <w:pStyle w:val="232"/>
                    <w:jc w:val="left"/>
                    <w:rPr>
                      <w:sz w:val="18"/>
                      <w:szCs w:val="21"/>
                    </w:rPr>
                  </w:pPr>
                  <w:r>
                    <w:rPr>
                      <w:sz w:val="18"/>
                      <w:szCs w:val="21"/>
                    </w:rPr>
                    <w:t>水污染影响型</w:t>
                  </w:r>
                </w:p>
              </w:tc>
              <w:tc>
                <w:tcPr>
                  <w:tcW w:w="3458" w:type="dxa"/>
                  <w:gridSpan w:val="7"/>
                  <w:vAlign w:val="center"/>
                </w:tcPr>
                <w:p>
                  <w:pPr>
                    <w:pStyle w:val="232"/>
                    <w:jc w:val="left"/>
                    <w:rPr>
                      <w:sz w:val="18"/>
                      <w:szCs w:val="21"/>
                    </w:rPr>
                  </w:pPr>
                  <w:r>
                    <w:rPr>
                      <w:sz w:val="18"/>
                      <w:szCs w:val="21"/>
                    </w:rPr>
                    <w:t>水文要素影响型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3964" w:type="dxa"/>
                  <w:gridSpan w:val="4"/>
                  <w:vAlign w:val="center"/>
                </w:tcPr>
                <w:p>
                  <w:pPr>
                    <w:pStyle w:val="232"/>
                    <w:jc w:val="left"/>
                    <w:rPr>
                      <w:sz w:val="18"/>
                      <w:szCs w:val="21"/>
                    </w:rPr>
                  </w:pPr>
                  <w:r>
                    <w:rPr>
                      <w:sz w:val="18"/>
                      <w:szCs w:val="21"/>
                    </w:rPr>
                    <w:t>直接排放□；间接排放</w:t>
                  </w:r>
                  <w:r>
                    <w:rPr>
                      <w:b/>
                      <w:bCs/>
                      <w:sz w:val="18"/>
                      <w:szCs w:val="21"/>
                    </w:rPr>
                    <w:sym w:font="Wingdings 2" w:char="0052"/>
                  </w:r>
                  <w:r>
                    <w:rPr>
                      <w:sz w:val="18"/>
                      <w:szCs w:val="21"/>
                    </w:rPr>
                    <w:t xml:space="preserve">；其他□ </w:t>
                  </w:r>
                </w:p>
              </w:tc>
              <w:tc>
                <w:tcPr>
                  <w:tcW w:w="3458" w:type="dxa"/>
                  <w:gridSpan w:val="7"/>
                  <w:vAlign w:val="center"/>
                </w:tcPr>
                <w:p>
                  <w:pPr>
                    <w:pStyle w:val="232"/>
                    <w:jc w:val="left"/>
                    <w:rPr>
                      <w:sz w:val="18"/>
                      <w:szCs w:val="21"/>
                    </w:rPr>
                  </w:pPr>
                  <w:r>
                    <w:rPr>
                      <w:sz w:val="18"/>
                      <w:szCs w:val="21"/>
                    </w:rPr>
                    <w:t>水温□；径流□；水域面积□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影响因子</w:t>
                  </w:r>
                </w:p>
              </w:tc>
              <w:tc>
                <w:tcPr>
                  <w:tcW w:w="3964" w:type="dxa"/>
                  <w:gridSpan w:val="4"/>
                  <w:vAlign w:val="center"/>
                </w:tcPr>
                <w:p>
                  <w:pPr>
                    <w:pStyle w:val="232"/>
                    <w:jc w:val="left"/>
                    <w:rPr>
                      <w:sz w:val="18"/>
                      <w:szCs w:val="21"/>
                    </w:rPr>
                  </w:pPr>
                  <w:r>
                    <w:rPr>
                      <w:sz w:val="18"/>
                      <w:szCs w:val="21"/>
                    </w:rPr>
                    <w:t>持久性污染物□；有毒有害污染物□；非持久性污染物</w:t>
                  </w:r>
                  <w:r>
                    <w:rPr>
                      <w:b/>
                      <w:bCs/>
                      <w:sz w:val="18"/>
                      <w:szCs w:val="21"/>
                    </w:rPr>
                    <w:sym w:font="Wingdings 2" w:char="0052"/>
                  </w:r>
                  <w:r>
                    <w:rPr>
                      <w:sz w:val="18"/>
                      <w:szCs w:val="21"/>
                    </w:rPr>
                    <w:t>；pH 值□；热污染□；富营养化□；其他□</w:t>
                  </w:r>
                </w:p>
              </w:tc>
              <w:tc>
                <w:tcPr>
                  <w:tcW w:w="3458" w:type="dxa"/>
                  <w:gridSpan w:val="7"/>
                  <w:vAlign w:val="center"/>
                </w:tcPr>
                <w:p>
                  <w:pPr>
                    <w:pStyle w:val="232"/>
                    <w:jc w:val="left"/>
                    <w:rPr>
                      <w:sz w:val="18"/>
                      <w:szCs w:val="21"/>
                    </w:rPr>
                  </w:pPr>
                  <w:r>
                    <w:rPr>
                      <w:sz w:val="18"/>
                      <w:szCs w:val="21"/>
                    </w:rPr>
                    <w:t>水温□；水位（水深）□；流速□；流量□；其他□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11" w:type="dxa"/>
                  <w:gridSpan w:val="2"/>
                  <w:vMerge w:val="restart"/>
                  <w:vAlign w:val="center"/>
                </w:tcPr>
                <w:p>
                  <w:pPr>
                    <w:pStyle w:val="232"/>
                    <w:rPr>
                      <w:sz w:val="18"/>
                      <w:szCs w:val="21"/>
                    </w:rPr>
                  </w:pPr>
                  <w:r>
                    <w:rPr>
                      <w:sz w:val="18"/>
                      <w:szCs w:val="21"/>
                    </w:rPr>
                    <w:t>评价等级</w:t>
                  </w:r>
                </w:p>
              </w:tc>
              <w:tc>
                <w:tcPr>
                  <w:tcW w:w="3964" w:type="dxa"/>
                  <w:gridSpan w:val="4"/>
                  <w:vAlign w:val="center"/>
                </w:tcPr>
                <w:p>
                  <w:pPr>
                    <w:pStyle w:val="232"/>
                    <w:jc w:val="left"/>
                    <w:rPr>
                      <w:sz w:val="18"/>
                      <w:szCs w:val="21"/>
                    </w:rPr>
                  </w:pPr>
                  <w:r>
                    <w:rPr>
                      <w:sz w:val="18"/>
                      <w:szCs w:val="21"/>
                    </w:rPr>
                    <w:t>水污染影响型</w:t>
                  </w:r>
                </w:p>
              </w:tc>
              <w:tc>
                <w:tcPr>
                  <w:tcW w:w="3458" w:type="dxa"/>
                  <w:gridSpan w:val="7"/>
                  <w:vAlign w:val="center"/>
                </w:tcPr>
                <w:p>
                  <w:pPr>
                    <w:pStyle w:val="232"/>
                    <w:jc w:val="left"/>
                    <w:rPr>
                      <w:sz w:val="18"/>
                      <w:szCs w:val="21"/>
                    </w:rPr>
                  </w:pPr>
                  <w:r>
                    <w:rPr>
                      <w:sz w:val="18"/>
                      <w:szCs w:val="21"/>
                    </w:rPr>
                    <w:t>水文要素影响型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11" w:type="dxa"/>
                  <w:gridSpan w:val="2"/>
                  <w:vMerge w:val="continue"/>
                  <w:vAlign w:val="center"/>
                </w:tcPr>
                <w:p>
                  <w:pPr>
                    <w:pStyle w:val="232"/>
                    <w:rPr>
                      <w:sz w:val="18"/>
                      <w:szCs w:val="21"/>
                    </w:rPr>
                  </w:pPr>
                </w:p>
              </w:tc>
              <w:tc>
                <w:tcPr>
                  <w:tcW w:w="3964" w:type="dxa"/>
                  <w:gridSpan w:val="4"/>
                  <w:vAlign w:val="center"/>
                </w:tcPr>
                <w:p>
                  <w:pPr>
                    <w:pStyle w:val="232"/>
                    <w:jc w:val="left"/>
                    <w:rPr>
                      <w:sz w:val="18"/>
                      <w:szCs w:val="21"/>
                    </w:rPr>
                  </w:pPr>
                  <w:r>
                    <w:rPr>
                      <w:sz w:val="18"/>
                      <w:szCs w:val="21"/>
                    </w:rPr>
                    <w:t>一级</w:t>
                  </w:r>
                  <w:r>
                    <w:rPr>
                      <w:sz w:val="18"/>
                      <w:szCs w:val="21"/>
                    </w:rPr>
                    <w:sym w:font="Wingdings 2" w:char="00A3"/>
                  </w:r>
                  <w:r>
                    <w:rPr>
                      <w:sz w:val="18"/>
                      <w:szCs w:val="21"/>
                    </w:rPr>
                    <w:t>；二级</w:t>
                  </w:r>
                  <w:r>
                    <w:rPr>
                      <w:sz w:val="18"/>
                      <w:szCs w:val="21"/>
                    </w:rPr>
                    <w:sym w:font="Wingdings 2" w:char="00A3"/>
                  </w:r>
                  <w:r>
                    <w:rPr>
                      <w:sz w:val="18"/>
                      <w:szCs w:val="21"/>
                    </w:rPr>
                    <w:t>；三级A</w:t>
                  </w:r>
                  <w:r>
                    <w:rPr>
                      <w:sz w:val="18"/>
                      <w:szCs w:val="21"/>
                    </w:rPr>
                    <w:sym w:font="Wingdings 2" w:char="00A3"/>
                  </w:r>
                  <w:r>
                    <w:rPr>
                      <w:sz w:val="18"/>
                      <w:szCs w:val="21"/>
                    </w:rPr>
                    <w:t>；三级B</w:t>
                  </w:r>
                  <w:r>
                    <w:rPr>
                      <w:b/>
                      <w:bCs/>
                      <w:sz w:val="18"/>
                      <w:szCs w:val="21"/>
                    </w:rPr>
                    <w:sym w:font="Wingdings 2" w:char="0052"/>
                  </w:r>
                </w:p>
              </w:tc>
              <w:tc>
                <w:tcPr>
                  <w:tcW w:w="3458" w:type="dxa"/>
                  <w:gridSpan w:val="7"/>
                  <w:vAlign w:val="center"/>
                </w:tcPr>
                <w:p>
                  <w:pPr>
                    <w:pStyle w:val="232"/>
                    <w:jc w:val="left"/>
                    <w:rPr>
                      <w:sz w:val="18"/>
                      <w:szCs w:val="21"/>
                    </w:rPr>
                  </w:pPr>
                  <w:r>
                    <w:rPr>
                      <w:sz w:val="18"/>
                      <w:szCs w:val="21"/>
                    </w:rPr>
                    <w:t>一级□；二级□；三级□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restart"/>
                  <w:vAlign w:val="center"/>
                </w:tcPr>
                <w:p>
                  <w:pPr>
                    <w:pStyle w:val="232"/>
                    <w:rPr>
                      <w:sz w:val="18"/>
                      <w:szCs w:val="21"/>
                    </w:rPr>
                  </w:pPr>
                  <w:r>
                    <w:rPr>
                      <w:sz w:val="18"/>
                      <w:szCs w:val="21"/>
                    </w:rPr>
                    <w:t>现状调查</w:t>
                  </w:r>
                </w:p>
              </w:tc>
              <w:tc>
                <w:tcPr>
                  <w:tcW w:w="1189" w:type="dxa"/>
                  <w:vMerge w:val="restart"/>
                  <w:vAlign w:val="center"/>
                </w:tcPr>
                <w:p>
                  <w:pPr>
                    <w:pStyle w:val="232"/>
                    <w:rPr>
                      <w:sz w:val="18"/>
                      <w:szCs w:val="21"/>
                    </w:rPr>
                  </w:pPr>
                  <w:r>
                    <w:rPr>
                      <w:sz w:val="18"/>
                      <w:szCs w:val="21"/>
                    </w:rPr>
                    <w:t>区域污染源</w:t>
                  </w:r>
                </w:p>
              </w:tc>
              <w:tc>
                <w:tcPr>
                  <w:tcW w:w="3964" w:type="dxa"/>
                  <w:gridSpan w:val="4"/>
                  <w:vAlign w:val="center"/>
                </w:tcPr>
                <w:p>
                  <w:pPr>
                    <w:pStyle w:val="232"/>
                    <w:jc w:val="left"/>
                    <w:rPr>
                      <w:sz w:val="18"/>
                      <w:szCs w:val="21"/>
                    </w:rPr>
                  </w:pPr>
                  <w:r>
                    <w:rPr>
                      <w:sz w:val="18"/>
                      <w:szCs w:val="21"/>
                    </w:rPr>
                    <w:t>调查项目</w:t>
                  </w:r>
                </w:p>
              </w:tc>
              <w:tc>
                <w:tcPr>
                  <w:tcW w:w="3458" w:type="dxa"/>
                  <w:gridSpan w:val="7"/>
                  <w:vAlign w:val="center"/>
                </w:tcPr>
                <w:p>
                  <w:pPr>
                    <w:pStyle w:val="232"/>
                    <w:jc w:val="left"/>
                    <w:rPr>
                      <w:sz w:val="18"/>
                      <w:szCs w:val="21"/>
                    </w:rPr>
                  </w:pPr>
                  <w:r>
                    <w:rPr>
                      <w:sz w:val="18"/>
                      <w:szCs w:val="21"/>
                    </w:rPr>
                    <w:t>数据来源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1502" w:type="dxa"/>
                  <w:vAlign w:val="center"/>
                </w:tcPr>
                <w:p>
                  <w:pPr>
                    <w:pStyle w:val="232"/>
                    <w:jc w:val="left"/>
                    <w:rPr>
                      <w:sz w:val="18"/>
                      <w:szCs w:val="21"/>
                    </w:rPr>
                  </w:pPr>
                  <w:r>
                    <w:rPr>
                      <w:sz w:val="18"/>
                      <w:szCs w:val="21"/>
                    </w:rPr>
                    <w:t>已建□；在建□；拟建□；其他□</w:t>
                  </w:r>
                </w:p>
              </w:tc>
              <w:tc>
                <w:tcPr>
                  <w:tcW w:w="2462" w:type="dxa"/>
                  <w:gridSpan w:val="3"/>
                  <w:vAlign w:val="center"/>
                </w:tcPr>
                <w:p>
                  <w:pPr>
                    <w:pStyle w:val="232"/>
                    <w:jc w:val="left"/>
                    <w:rPr>
                      <w:sz w:val="18"/>
                      <w:szCs w:val="21"/>
                    </w:rPr>
                  </w:pPr>
                  <w:r>
                    <w:rPr>
                      <w:sz w:val="18"/>
                      <w:szCs w:val="21"/>
                    </w:rPr>
                    <w:t>拟替代的污染源□</w:t>
                  </w:r>
                </w:p>
              </w:tc>
              <w:tc>
                <w:tcPr>
                  <w:tcW w:w="3458" w:type="dxa"/>
                  <w:gridSpan w:val="7"/>
                  <w:vAlign w:val="center"/>
                </w:tcPr>
                <w:p>
                  <w:pPr>
                    <w:pStyle w:val="232"/>
                    <w:jc w:val="left"/>
                    <w:rPr>
                      <w:sz w:val="18"/>
                      <w:szCs w:val="21"/>
                    </w:rPr>
                  </w:pPr>
                  <w:r>
                    <w:rPr>
                      <w:sz w:val="18"/>
                      <w:szCs w:val="21"/>
                    </w:rPr>
                    <w:t>排污许可证□；环评□；环保验收□；既有实测□；现场监测□；入河排放口数据□；其他□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restart"/>
                  <w:vAlign w:val="center"/>
                </w:tcPr>
                <w:p>
                  <w:pPr>
                    <w:pStyle w:val="232"/>
                    <w:rPr>
                      <w:sz w:val="18"/>
                      <w:szCs w:val="21"/>
                    </w:rPr>
                  </w:pPr>
                  <w:r>
                    <w:rPr>
                      <w:sz w:val="18"/>
                      <w:szCs w:val="21"/>
                    </w:rPr>
                    <w:t>受影响水体水环境质量</w:t>
                  </w:r>
                </w:p>
              </w:tc>
              <w:tc>
                <w:tcPr>
                  <w:tcW w:w="3964" w:type="dxa"/>
                  <w:gridSpan w:val="4"/>
                  <w:vAlign w:val="center"/>
                </w:tcPr>
                <w:p>
                  <w:pPr>
                    <w:pStyle w:val="232"/>
                    <w:jc w:val="left"/>
                    <w:rPr>
                      <w:sz w:val="18"/>
                      <w:szCs w:val="21"/>
                    </w:rPr>
                  </w:pPr>
                  <w:r>
                    <w:rPr>
                      <w:sz w:val="18"/>
                      <w:szCs w:val="21"/>
                    </w:rPr>
                    <w:t>调查时期</w:t>
                  </w:r>
                </w:p>
              </w:tc>
              <w:tc>
                <w:tcPr>
                  <w:tcW w:w="3458" w:type="dxa"/>
                  <w:gridSpan w:val="7"/>
                  <w:vAlign w:val="center"/>
                </w:tcPr>
                <w:p>
                  <w:pPr>
                    <w:pStyle w:val="232"/>
                    <w:jc w:val="left"/>
                    <w:rPr>
                      <w:sz w:val="18"/>
                      <w:szCs w:val="21"/>
                    </w:rPr>
                  </w:pPr>
                  <w:r>
                    <w:rPr>
                      <w:sz w:val="18"/>
                      <w:szCs w:val="21"/>
                    </w:rPr>
                    <w:t>数据来源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3964" w:type="dxa"/>
                  <w:gridSpan w:val="4"/>
                  <w:vAlign w:val="center"/>
                </w:tcPr>
                <w:p>
                  <w:pPr>
                    <w:pStyle w:val="232"/>
                    <w:jc w:val="left"/>
                    <w:rPr>
                      <w:sz w:val="18"/>
                      <w:szCs w:val="21"/>
                    </w:rPr>
                  </w:pPr>
                  <w:r>
                    <w:rPr>
                      <w:sz w:val="18"/>
                      <w:szCs w:val="21"/>
                    </w:rPr>
                    <w:t>丰水期□；平水期□；枯水期□；冰封期□春季□；夏季□；秋季□；冬季□</w:t>
                  </w:r>
                </w:p>
              </w:tc>
              <w:tc>
                <w:tcPr>
                  <w:tcW w:w="3458" w:type="dxa"/>
                  <w:gridSpan w:val="7"/>
                  <w:vAlign w:val="center"/>
                </w:tcPr>
                <w:p>
                  <w:pPr>
                    <w:pStyle w:val="232"/>
                    <w:jc w:val="left"/>
                    <w:rPr>
                      <w:sz w:val="18"/>
                      <w:szCs w:val="21"/>
                    </w:rPr>
                  </w:pPr>
                  <w:r>
                    <w:rPr>
                      <w:sz w:val="18"/>
                      <w:szCs w:val="21"/>
                    </w:rPr>
                    <w:t>生态环境保护主管部门</w:t>
                  </w:r>
                  <w:r>
                    <w:rPr>
                      <w:b/>
                      <w:bCs/>
                      <w:sz w:val="18"/>
                      <w:szCs w:val="21"/>
                    </w:rPr>
                    <w:sym w:font="Wingdings 2" w:char="0052"/>
                  </w:r>
                  <w:r>
                    <w:rPr>
                      <w:sz w:val="18"/>
                      <w:szCs w:val="21"/>
                    </w:rPr>
                    <w:t>；补充监测□；其他□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区域水资源开发利用状况</w:t>
                  </w:r>
                </w:p>
              </w:tc>
              <w:tc>
                <w:tcPr>
                  <w:tcW w:w="7422" w:type="dxa"/>
                  <w:gridSpan w:val="11"/>
                  <w:vAlign w:val="center"/>
                </w:tcPr>
                <w:p>
                  <w:pPr>
                    <w:pStyle w:val="232"/>
                    <w:jc w:val="left"/>
                    <w:rPr>
                      <w:sz w:val="18"/>
                      <w:szCs w:val="21"/>
                    </w:rPr>
                  </w:pPr>
                  <w:r>
                    <w:rPr>
                      <w:sz w:val="18"/>
                      <w:szCs w:val="21"/>
                    </w:rPr>
                    <w:t>未开发□；开发量40%以下□；开发量40%以上□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restart"/>
                  <w:vAlign w:val="center"/>
                </w:tcPr>
                <w:p>
                  <w:pPr>
                    <w:pStyle w:val="232"/>
                    <w:rPr>
                      <w:sz w:val="18"/>
                      <w:szCs w:val="21"/>
                    </w:rPr>
                  </w:pPr>
                  <w:r>
                    <w:rPr>
                      <w:sz w:val="18"/>
                      <w:szCs w:val="21"/>
                    </w:rPr>
                    <w:t>水文情势调查</w:t>
                  </w:r>
                </w:p>
              </w:tc>
              <w:tc>
                <w:tcPr>
                  <w:tcW w:w="3964" w:type="dxa"/>
                  <w:gridSpan w:val="4"/>
                  <w:vAlign w:val="center"/>
                </w:tcPr>
                <w:p>
                  <w:pPr>
                    <w:pStyle w:val="232"/>
                    <w:jc w:val="left"/>
                    <w:rPr>
                      <w:sz w:val="18"/>
                      <w:szCs w:val="21"/>
                    </w:rPr>
                  </w:pPr>
                  <w:r>
                    <w:rPr>
                      <w:sz w:val="18"/>
                      <w:szCs w:val="21"/>
                    </w:rPr>
                    <w:t>调查时期</w:t>
                  </w:r>
                </w:p>
              </w:tc>
              <w:tc>
                <w:tcPr>
                  <w:tcW w:w="3458" w:type="dxa"/>
                  <w:gridSpan w:val="7"/>
                  <w:vAlign w:val="center"/>
                </w:tcPr>
                <w:p>
                  <w:pPr>
                    <w:pStyle w:val="232"/>
                    <w:jc w:val="left"/>
                    <w:rPr>
                      <w:sz w:val="18"/>
                      <w:szCs w:val="21"/>
                    </w:rPr>
                  </w:pPr>
                  <w:r>
                    <w:rPr>
                      <w:sz w:val="18"/>
                      <w:szCs w:val="21"/>
                    </w:rPr>
                    <w:t>数据来源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3964" w:type="dxa"/>
                  <w:gridSpan w:val="4"/>
                  <w:vAlign w:val="center"/>
                </w:tcPr>
                <w:p>
                  <w:pPr>
                    <w:pStyle w:val="232"/>
                    <w:jc w:val="left"/>
                    <w:rPr>
                      <w:sz w:val="18"/>
                    </w:rPr>
                  </w:pPr>
                  <w:r>
                    <w:rPr>
                      <w:sz w:val="18"/>
                    </w:rPr>
                    <w:t>丰水期□；平水期□；枯水期□；冰封期□</w:t>
                  </w:r>
                </w:p>
                <w:p>
                  <w:pPr>
                    <w:pStyle w:val="232"/>
                    <w:jc w:val="left"/>
                    <w:rPr>
                      <w:sz w:val="18"/>
                      <w:szCs w:val="21"/>
                    </w:rPr>
                  </w:pPr>
                  <w:r>
                    <w:rPr>
                      <w:sz w:val="18"/>
                    </w:rPr>
                    <w:t>春季□；夏季□；秋季□；冬季□</w:t>
                  </w:r>
                </w:p>
              </w:tc>
              <w:tc>
                <w:tcPr>
                  <w:tcW w:w="3458" w:type="dxa"/>
                  <w:gridSpan w:val="7"/>
                  <w:vAlign w:val="center"/>
                </w:tcPr>
                <w:p>
                  <w:pPr>
                    <w:pStyle w:val="232"/>
                    <w:jc w:val="left"/>
                    <w:rPr>
                      <w:sz w:val="18"/>
                      <w:szCs w:val="21"/>
                    </w:rPr>
                  </w:pPr>
                  <w:r>
                    <w:rPr>
                      <w:sz w:val="18"/>
                      <w:szCs w:val="21"/>
                    </w:rPr>
                    <w:t>水行政主管部门□；补充监测□；其他□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restart"/>
                  <w:vAlign w:val="center"/>
                </w:tcPr>
                <w:p>
                  <w:pPr>
                    <w:pStyle w:val="232"/>
                    <w:rPr>
                      <w:sz w:val="18"/>
                      <w:szCs w:val="21"/>
                    </w:rPr>
                  </w:pPr>
                  <w:r>
                    <w:rPr>
                      <w:sz w:val="18"/>
                      <w:szCs w:val="21"/>
                    </w:rPr>
                    <w:t>补充监测</w:t>
                  </w:r>
                </w:p>
              </w:tc>
              <w:tc>
                <w:tcPr>
                  <w:tcW w:w="3964" w:type="dxa"/>
                  <w:gridSpan w:val="4"/>
                  <w:vAlign w:val="center"/>
                </w:tcPr>
                <w:p>
                  <w:pPr>
                    <w:pStyle w:val="232"/>
                    <w:jc w:val="left"/>
                    <w:rPr>
                      <w:sz w:val="18"/>
                      <w:szCs w:val="21"/>
                    </w:rPr>
                  </w:pPr>
                  <w:r>
                    <w:rPr>
                      <w:sz w:val="18"/>
                      <w:szCs w:val="21"/>
                    </w:rPr>
                    <w:t>监测时期</w:t>
                  </w:r>
                </w:p>
              </w:tc>
              <w:tc>
                <w:tcPr>
                  <w:tcW w:w="1542" w:type="dxa"/>
                  <w:gridSpan w:val="4"/>
                  <w:vAlign w:val="center"/>
                </w:tcPr>
                <w:p>
                  <w:pPr>
                    <w:pStyle w:val="232"/>
                    <w:jc w:val="left"/>
                    <w:rPr>
                      <w:sz w:val="18"/>
                      <w:szCs w:val="21"/>
                    </w:rPr>
                  </w:pPr>
                  <w:r>
                    <w:rPr>
                      <w:sz w:val="18"/>
                      <w:szCs w:val="21"/>
                    </w:rPr>
                    <w:t>监测因子</w:t>
                  </w:r>
                </w:p>
              </w:tc>
              <w:tc>
                <w:tcPr>
                  <w:tcW w:w="1916" w:type="dxa"/>
                  <w:gridSpan w:val="3"/>
                  <w:vAlign w:val="center"/>
                </w:tcPr>
                <w:p>
                  <w:pPr>
                    <w:pStyle w:val="232"/>
                    <w:jc w:val="left"/>
                    <w:rPr>
                      <w:sz w:val="18"/>
                      <w:szCs w:val="21"/>
                    </w:rPr>
                  </w:pPr>
                  <w:r>
                    <w:rPr>
                      <w:sz w:val="18"/>
                      <w:szCs w:val="21"/>
                    </w:rPr>
                    <w:t>监测断面或点位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3964" w:type="dxa"/>
                  <w:gridSpan w:val="4"/>
                  <w:vAlign w:val="center"/>
                </w:tcPr>
                <w:p>
                  <w:pPr>
                    <w:pStyle w:val="232"/>
                    <w:jc w:val="left"/>
                    <w:rPr>
                      <w:sz w:val="18"/>
                    </w:rPr>
                  </w:pPr>
                  <w:r>
                    <w:rPr>
                      <w:sz w:val="18"/>
                    </w:rPr>
                    <w:t>丰水期□；平水期□；枯水期□；冰封期□</w:t>
                  </w:r>
                </w:p>
                <w:p>
                  <w:pPr>
                    <w:pStyle w:val="232"/>
                    <w:jc w:val="left"/>
                    <w:rPr>
                      <w:sz w:val="18"/>
                      <w:szCs w:val="21"/>
                    </w:rPr>
                  </w:pPr>
                  <w:r>
                    <w:rPr>
                      <w:sz w:val="18"/>
                    </w:rPr>
                    <w:t>春季□；夏季□；秋季□；冬季</w:t>
                  </w:r>
                </w:p>
              </w:tc>
              <w:tc>
                <w:tcPr>
                  <w:tcW w:w="1542" w:type="dxa"/>
                  <w:gridSpan w:val="4"/>
                  <w:vAlign w:val="center"/>
                </w:tcPr>
                <w:p>
                  <w:pPr>
                    <w:pStyle w:val="232"/>
                    <w:jc w:val="left"/>
                    <w:rPr>
                      <w:sz w:val="18"/>
                      <w:szCs w:val="21"/>
                    </w:rPr>
                  </w:pPr>
                  <w:r>
                    <w:rPr>
                      <w:sz w:val="18"/>
                      <w:szCs w:val="21"/>
                    </w:rPr>
                    <w:t>（）</w:t>
                  </w:r>
                </w:p>
              </w:tc>
              <w:tc>
                <w:tcPr>
                  <w:tcW w:w="1916" w:type="dxa"/>
                  <w:gridSpan w:val="3"/>
                  <w:vAlign w:val="center"/>
                </w:tcPr>
                <w:p>
                  <w:pPr>
                    <w:pStyle w:val="232"/>
                    <w:jc w:val="left"/>
                    <w:rPr>
                      <w:sz w:val="18"/>
                      <w:szCs w:val="21"/>
                    </w:rPr>
                  </w:pPr>
                  <w:r>
                    <w:rPr>
                      <w:sz w:val="18"/>
                      <w:szCs w:val="21"/>
                    </w:rPr>
                    <w:t>监测断面或点位个数</w:t>
                  </w:r>
                </w:p>
                <w:p>
                  <w:pPr>
                    <w:pStyle w:val="232"/>
                    <w:jc w:val="left"/>
                    <w:rPr>
                      <w:sz w:val="18"/>
                      <w:szCs w:val="21"/>
                    </w:rPr>
                  </w:pPr>
                  <w:r>
                    <w:rPr>
                      <w:sz w:val="18"/>
                      <w:szCs w:val="21"/>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restart"/>
                  <w:vAlign w:val="center"/>
                </w:tcPr>
                <w:p>
                  <w:pPr>
                    <w:pStyle w:val="232"/>
                    <w:rPr>
                      <w:sz w:val="18"/>
                      <w:szCs w:val="21"/>
                    </w:rPr>
                  </w:pPr>
                  <w:r>
                    <w:rPr>
                      <w:sz w:val="18"/>
                      <w:szCs w:val="21"/>
                    </w:rPr>
                    <w:t>现</w:t>
                  </w:r>
                </w:p>
                <w:p>
                  <w:pPr>
                    <w:pStyle w:val="232"/>
                    <w:rPr>
                      <w:sz w:val="18"/>
                      <w:szCs w:val="21"/>
                    </w:rPr>
                  </w:pPr>
                  <w:r>
                    <w:rPr>
                      <w:sz w:val="18"/>
                      <w:szCs w:val="21"/>
                    </w:rPr>
                    <w:t>状</w:t>
                  </w:r>
                </w:p>
                <w:p>
                  <w:pPr>
                    <w:pStyle w:val="232"/>
                    <w:rPr>
                      <w:sz w:val="18"/>
                      <w:szCs w:val="21"/>
                    </w:rPr>
                  </w:pPr>
                  <w:r>
                    <w:rPr>
                      <w:sz w:val="18"/>
                      <w:szCs w:val="21"/>
                    </w:rPr>
                    <w:t>评</w:t>
                  </w:r>
                </w:p>
                <w:p>
                  <w:pPr>
                    <w:pStyle w:val="232"/>
                    <w:rPr>
                      <w:sz w:val="18"/>
                      <w:szCs w:val="21"/>
                    </w:rPr>
                  </w:pPr>
                  <w:r>
                    <w:rPr>
                      <w:sz w:val="18"/>
                      <w:szCs w:val="21"/>
                    </w:rPr>
                    <w:t>价</w:t>
                  </w:r>
                </w:p>
              </w:tc>
              <w:tc>
                <w:tcPr>
                  <w:tcW w:w="1189" w:type="dxa"/>
                  <w:vAlign w:val="center"/>
                </w:tcPr>
                <w:p>
                  <w:pPr>
                    <w:pStyle w:val="232"/>
                    <w:rPr>
                      <w:sz w:val="18"/>
                      <w:szCs w:val="21"/>
                    </w:rPr>
                  </w:pPr>
                  <w:r>
                    <w:rPr>
                      <w:sz w:val="18"/>
                      <w:szCs w:val="21"/>
                    </w:rPr>
                    <w:t>评价范围</w:t>
                  </w:r>
                </w:p>
              </w:tc>
              <w:tc>
                <w:tcPr>
                  <w:tcW w:w="7422" w:type="dxa"/>
                  <w:gridSpan w:val="11"/>
                  <w:vAlign w:val="center"/>
                </w:tcPr>
                <w:p>
                  <w:pPr>
                    <w:pStyle w:val="232"/>
                    <w:jc w:val="left"/>
                    <w:rPr>
                      <w:sz w:val="18"/>
                      <w:szCs w:val="21"/>
                    </w:rPr>
                  </w:pPr>
                  <w:r>
                    <w:rPr>
                      <w:sz w:val="18"/>
                      <w:szCs w:val="21"/>
                    </w:rPr>
                    <w:t>河流：长度（）km；湖库、河口及近岸海域：面积（）km</w:t>
                  </w:r>
                  <w:r>
                    <w:rPr>
                      <w:sz w:val="18"/>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评价因子</w:t>
                  </w:r>
                </w:p>
              </w:tc>
              <w:tc>
                <w:tcPr>
                  <w:tcW w:w="7422" w:type="dxa"/>
                  <w:gridSpan w:val="11"/>
                  <w:vAlign w:val="center"/>
                </w:tcPr>
                <w:p>
                  <w:pPr>
                    <w:pStyle w:val="232"/>
                    <w:jc w:val="left"/>
                    <w:rPr>
                      <w:sz w:val="18"/>
                      <w:szCs w:val="21"/>
                    </w:rPr>
                  </w:pPr>
                  <w:r>
                    <w:rPr>
                      <w:sz w:val="18"/>
                      <w:szCs w:val="21"/>
                    </w:rPr>
                    <w:t>（pH 、COD、SS、氨氮、总磷）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评价标准</w:t>
                  </w:r>
                </w:p>
              </w:tc>
              <w:tc>
                <w:tcPr>
                  <w:tcW w:w="7422" w:type="dxa"/>
                  <w:gridSpan w:val="11"/>
                  <w:vAlign w:val="center"/>
                </w:tcPr>
                <w:p>
                  <w:pPr>
                    <w:pStyle w:val="232"/>
                    <w:jc w:val="left"/>
                    <w:rPr>
                      <w:sz w:val="18"/>
                      <w:szCs w:val="21"/>
                    </w:rPr>
                  </w:pPr>
                  <w:r>
                    <w:rPr>
                      <w:sz w:val="18"/>
                      <w:szCs w:val="21"/>
                    </w:rPr>
                    <w:t>河流、湖库、河口：Ⅰ类</w:t>
                  </w:r>
                  <w:r>
                    <w:rPr>
                      <w:sz w:val="18"/>
                      <w:szCs w:val="21"/>
                    </w:rPr>
                    <w:sym w:font="Wingdings 2" w:char="00A3"/>
                  </w:r>
                  <w:r>
                    <w:rPr>
                      <w:sz w:val="18"/>
                      <w:szCs w:val="21"/>
                    </w:rPr>
                    <w:t>；Ⅱ类</w:t>
                  </w:r>
                  <w:r>
                    <w:rPr>
                      <w:sz w:val="18"/>
                      <w:szCs w:val="21"/>
                    </w:rPr>
                    <w:sym w:font="Wingdings 2" w:char="00A3"/>
                  </w:r>
                  <w:r>
                    <w:rPr>
                      <w:sz w:val="18"/>
                      <w:szCs w:val="21"/>
                    </w:rPr>
                    <w:t>；Ⅲ类</w:t>
                  </w:r>
                  <w:r>
                    <w:rPr>
                      <w:sz w:val="18"/>
                      <w:szCs w:val="21"/>
                    </w:rPr>
                    <w:sym w:font="Wingdings 2" w:char="00A3"/>
                  </w:r>
                  <w:r>
                    <w:rPr>
                      <w:sz w:val="18"/>
                      <w:szCs w:val="21"/>
                    </w:rPr>
                    <w:t>；Ⅳ类</w:t>
                  </w:r>
                  <w:r>
                    <w:rPr>
                      <w:b/>
                      <w:bCs/>
                      <w:sz w:val="18"/>
                      <w:szCs w:val="21"/>
                    </w:rPr>
                    <w:sym w:font="Wingdings 2" w:char="0052"/>
                  </w:r>
                  <w:r>
                    <w:rPr>
                      <w:sz w:val="18"/>
                      <w:szCs w:val="21"/>
                    </w:rPr>
                    <w:t>；Ⅴ类</w:t>
                  </w:r>
                  <w:r>
                    <w:rPr>
                      <w:sz w:val="18"/>
                      <w:szCs w:val="21"/>
                    </w:rPr>
                    <w:sym w:font="Wingdings 2" w:char="00A3"/>
                  </w:r>
                </w:p>
                <w:p>
                  <w:pPr>
                    <w:pStyle w:val="232"/>
                    <w:jc w:val="left"/>
                    <w:rPr>
                      <w:sz w:val="18"/>
                      <w:szCs w:val="21"/>
                    </w:rPr>
                  </w:pPr>
                  <w:r>
                    <w:rPr>
                      <w:sz w:val="18"/>
                      <w:szCs w:val="21"/>
                    </w:rPr>
                    <w:t>近岸海域：第一类</w:t>
                  </w:r>
                  <w:r>
                    <w:rPr>
                      <w:sz w:val="18"/>
                      <w:szCs w:val="21"/>
                    </w:rPr>
                    <w:sym w:font="Wingdings 2" w:char="00A3"/>
                  </w:r>
                  <w:r>
                    <w:rPr>
                      <w:sz w:val="18"/>
                      <w:szCs w:val="21"/>
                    </w:rPr>
                    <w:t>；第二类</w:t>
                  </w:r>
                  <w:r>
                    <w:rPr>
                      <w:sz w:val="18"/>
                      <w:szCs w:val="21"/>
                    </w:rPr>
                    <w:sym w:font="Wingdings 2" w:char="00A3"/>
                  </w:r>
                  <w:r>
                    <w:rPr>
                      <w:sz w:val="18"/>
                      <w:szCs w:val="21"/>
                    </w:rPr>
                    <w:t>；第三类</w:t>
                  </w:r>
                  <w:r>
                    <w:rPr>
                      <w:sz w:val="18"/>
                      <w:szCs w:val="21"/>
                    </w:rPr>
                    <w:sym w:font="Wingdings 2" w:char="00A3"/>
                  </w:r>
                  <w:r>
                    <w:rPr>
                      <w:sz w:val="18"/>
                      <w:szCs w:val="21"/>
                    </w:rPr>
                    <w:t>；第四类</w:t>
                  </w:r>
                  <w:r>
                    <w:rPr>
                      <w:sz w:val="18"/>
                      <w:szCs w:val="21"/>
                    </w:rPr>
                    <w:sym w:font="Wingdings 2" w:char="00A3"/>
                  </w:r>
                </w:p>
                <w:p>
                  <w:pPr>
                    <w:pStyle w:val="232"/>
                    <w:jc w:val="left"/>
                    <w:rPr>
                      <w:sz w:val="18"/>
                      <w:szCs w:val="21"/>
                    </w:rPr>
                  </w:pPr>
                  <w:r>
                    <w:rPr>
                      <w:sz w:val="18"/>
                      <w:szCs w:val="21"/>
                    </w:rPr>
                    <w:t>规划年评价标准（）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评价时期</w:t>
                  </w:r>
                </w:p>
              </w:tc>
              <w:tc>
                <w:tcPr>
                  <w:tcW w:w="7422" w:type="dxa"/>
                  <w:gridSpan w:val="11"/>
                  <w:vAlign w:val="center"/>
                </w:tcPr>
                <w:p>
                  <w:pPr>
                    <w:pStyle w:val="232"/>
                    <w:jc w:val="left"/>
                    <w:rPr>
                      <w:sz w:val="18"/>
                      <w:szCs w:val="21"/>
                    </w:rPr>
                  </w:pPr>
                  <w:r>
                    <w:rPr>
                      <w:sz w:val="18"/>
                      <w:szCs w:val="21"/>
                    </w:rPr>
                    <w:t>丰水期</w:t>
                  </w:r>
                  <w:r>
                    <w:rPr>
                      <w:sz w:val="18"/>
                      <w:szCs w:val="21"/>
                    </w:rPr>
                    <w:sym w:font="Wingdings 2" w:char="00A3"/>
                  </w:r>
                  <w:r>
                    <w:rPr>
                      <w:sz w:val="18"/>
                      <w:szCs w:val="21"/>
                    </w:rPr>
                    <w:t>；平水期</w:t>
                  </w:r>
                  <w:r>
                    <w:rPr>
                      <w:sz w:val="18"/>
                      <w:szCs w:val="21"/>
                    </w:rPr>
                    <w:sym w:font="Wingdings 2" w:char="00A3"/>
                  </w:r>
                  <w:r>
                    <w:rPr>
                      <w:sz w:val="18"/>
                      <w:szCs w:val="21"/>
                    </w:rPr>
                    <w:t>；枯水期</w:t>
                  </w:r>
                  <w:r>
                    <w:rPr>
                      <w:sz w:val="18"/>
                      <w:szCs w:val="21"/>
                    </w:rPr>
                    <w:sym w:font="Wingdings 2" w:char="00A3"/>
                  </w:r>
                  <w:r>
                    <w:rPr>
                      <w:sz w:val="18"/>
                      <w:szCs w:val="21"/>
                    </w:rPr>
                    <w:t>；冰封期</w:t>
                  </w:r>
                  <w:r>
                    <w:rPr>
                      <w:sz w:val="18"/>
                      <w:szCs w:val="21"/>
                    </w:rPr>
                    <w:sym w:font="Wingdings 2" w:char="00A3"/>
                  </w:r>
                </w:p>
                <w:p>
                  <w:pPr>
                    <w:pStyle w:val="232"/>
                    <w:jc w:val="left"/>
                    <w:rPr>
                      <w:sz w:val="18"/>
                      <w:szCs w:val="21"/>
                    </w:rPr>
                  </w:pPr>
                  <w:r>
                    <w:rPr>
                      <w:sz w:val="18"/>
                      <w:szCs w:val="21"/>
                    </w:rPr>
                    <w:t>春季</w:t>
                  </w:r>
                  <w:r>
                    <w:rPr>
                      <w:sz w:val="18"/>
                      <w:szCs w:val="21"/>
                    </w:rPr>
                    <w:sym w:font="Wingdings 2" w:char="00A3"/>
                  </w:r>
                  <w:r>
                    <w:rPr>
                      <w:sz w:val="18"/>
                      <w:szCs w:val="21"/>
                    </w:rPr>
                    <w:t>；夏季</w:t>
                  </w:r>
                  <w:r>
                    <w:rPr>
                      <w:sz w:val="18"/>
                      <w:szCs w:val="21"/>
                    </w:rPr>
                    <w:sym w:font="Wingdings 2" w:char="00A3"/>
                  </w:r>
                  <w:r>
                    <w:rPr>
                      <w:sz w:val="18"/>
                      <w:szCs w:val="21"/>
                    </w:rPr>
                    <w:t>；秋季</w:t>
                  </w:r>
                  <w:r>
                    <w:rPr>
                      <w:sz w:val="18"/>
                      <w:szCs w:val="21"/>
                    </w:rPr>
                    <w:sym w:font="Wingdings 2" w:char="00A3"/>
                  </w:r>
                  <w:r>
                    <w:rPr>
                      <w:sz w:val="18"/>
                      <w:szCs w:val="21"/>
                    </w:rPr>
                    <w:t>；冬季</w:t>
                  </w:r>
                  <w:r>
                    <w:rPr>
                      <w:sz w:val="18"/>
                      <w:szCs w:val="21"/>
                    </w:rPr>
                    <w:sym w:font="Wingdings 2" w:char="00A3"/>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评价结论</w:t>
                  </w:r>
                </w:p>
              </w:tc>
              <w:tc>
                <w:tcPr>
                  <w:tcW w:w="5991" w:type="dxa"/>
                  <w:gridSpan w:val="9"/>
                  <w:vAlign w:val="center"/>
                </w:tcPr>
                <w:p>
                  <w:pPr>
                    <w:pStyle w:val="232"/>
                    <w:jc w:val="left"/>
                    <w:rPr>
                      <w:sz w:val="18"/>
                      <w:szCs w:val="21"/>
                    </w:rPr>
                  </w:pPr>
                  <w:r>
                    <w:rPr>
                      <w:sz w:val="18"/>
                      <w:szCs w:val="21"/>
                    </w:rPr>
                    <w:t>水环境功能区或水功能区、近岸海域环境功能区水质达标状况：达标</w:t>
                  </w:r>
                  <w:r>
                    <w:rPr>
                      <w:sz w:val="18"/>
                      <w:szCs w:val="21"/>
                    </w:rPr>
                    <w:sym w:font="Wingdings 2" w:char="00A3"/>
                  </w:r>
                  <w:r>
                    <w:rPr>
                      <w:sz w:val="18"/>
                      <w:szCs w:val="21"/>
                    </w:rPr>
                    <w:t>；不达标</w:t>
                  </w:r>
                  <w:r>
                    <w:rPr>
                      <w:sz w:val="18"/>
                      <w:szCs w:val="21"/>
                    </w:rPr>
                    <w:sym w:font="Wingdings 2" w:char="00A3"/>
                  </w:r>
                </w:p>
                <w:p>
                  <w:pPr>
                    <w:pStyle w:val="232"/>
                    <w:jc w:val="left"/>
                    <w:rPr>
                      <w:sz w:val="18"/>
                      <w:szCs w:val="21"/>
                    </w:rPr>
                  </w:pPr>
                  <w:r>
                    <w:rPr>
                      <w:sz w:val="18"/>
                      <w:szCs w:val="21"/>
                    </w:rPr>
                    <w:t>水环境控制单元或断面水质达标状况：达标</w:t>
                  </w:r>
                  <w:r>
                    <w:rPr>
                      <w:sz w:val="18"/>
                      <w:szCs w:val="21"/>
                    </w:rPr>
                    <w:sym w:font="Wingdings 2" w:char="00A3"/>
                  </w:r>
                  <w:r>
                    <w:rPr>
                      <w:sz w:val="18"/>
                      <w:szCs w:val="21"/>
                    </w:rPr>
                    <w:t>；不达标</w:t>
                  </w:r>
                </w:p>
                <w:p>
                  <w:pPr>
                    <w:pStyle w:val="232"/>
                    <w:jc w:val="left"/>
                    <w:rPr>
                      <w:sz w:val="18"/>
                      <w:szCs w:val="21"/>
                    </w:rPr>
                  </w:pPr>
                  <w:r>
                    <w:rPr>
                      <w:sz w:val="18"/>
                      <w:szCs w:val="21"/>
                    </w:rPr>
                    <w:t>水环境保护目标质量状况：达标□；不达标</w:t>
                  </w:r>
                  <w:r>
                    <w:rPr>
                      <w:sz w:val="18"/>
                      <w:szCs w:val="21"/>
                    </w:rPr>
                    <w:sym w:font="Wingdings 2" w:char="00A3"/>
                  </w:r>
                </w:p>
                <w:p>
                  <w:pPr>
                    <w:pStyle w:val="232"/>
                    <w:jc w:val="left"/>
                    <w:rPr>
                      <w:sz w:val="18"/>
                      <w:szCs w:val="21"/>
                    </w:rPr>
                  </w:pPr>
                  <w:r>
                    <w:rPr>
                      <w:sz w:val="18"/>
                      <w:szCs w:val="21"/>
                    </w:rPr>
                    <w:t>对照断面、控制断面等代表性断面的水质状况：达标□；不达标</w:t>
                  </w:r>
                </w:p>
                <w:p>
                  <w:pPr>
                    <w:pStyle w:val="232"/>
                    <w:jc w:val="left"/>
                    <w:rPr>
                      <w:sz w:val="18"/>
                      <w:szCs w:val="21"/>
                    </w:rPr>
                  </w:pPr>
                  <w:r>
                    <w:rPr>
                      <w:sz w:val="18"/>
                      <w:szCs w:val="21"/>
                    </w:rPr>
                    <w:t>底泥污染评价</w:t>
                  </w:r>
                  <w:r>
                    <w:rPr>
                      <w:sz w:val="18"/>
                      <w:szCs w:val="21"/>
                    </w:rPr>
                    <w:sym w:font="Wingdings 2" w:char="00A3"/>
                  </w:r>
                </w:p>
                <w:p>
                  <w:pPr>
                    <w:pStyle w:val="232"/>
                    <w:jc w:val="left"/>
                    <w:rPr>
                      <w:sz w:val="18"/>
                      <w:szCs w:val="21"/>
                    </w:rPr>
                  </w:pPr>
                  <w:r>
                    <w:rPr>
                      <w:sz w:val="18"/>
                      <w:szCs w:val="21"/>
                    </w:rPr>
                    <w:t>水资源与开发利用程度及其水文情势评价</w:t>
                  </w:r>
                  <w:r>
                    <w:rPr>
                      <w:sz w:val="18"/>
                      <w:szCs w:val="21"/>
                    </w:rPr>
                    <w:sym w:font="Wingdings 2" w:char="00A3"/>
                  </w:r>
                </w:p>
                <w:p>
                  <w:pPr>
                    <w:pStyle w:val="232"/>
                    <w:jc w:val="left"/>
                    <w:rPr>
                      <w:sz w:val="18"/>
                      <w:szCs w:val="21"/>
                    </w:rPr>
                  </w:pPr>
                  <w:r>
                    <w:rPr>
                      <w:sz w:val="18"/>
                      <w:szCs w:val="21"/>
                    </w:rPr>
                    <w:t>水环境质量回顾评价</w:t>
                  </w:r>
                  <w:r>
                    <w:rPr>
                      <w:sz w:val="18"/>
                      <w:szCs w:val="21"/>
                    </w:rPr>
                    <w:sym w:font="Wingdings 2" w:char="00A3"/>
                  </w:r>
                </w:p>
                <w:p>
                  <w:pPr>
                    <w:pStyle w:val="232"/>
                    <w:jc w:val="left"/>
                    <w:rPr>
                      <w:sz w:val="18"/>
                      <w:szCs w:val="21"/>
                    </w:rPr>
                  </w:pPr>
                  <w:r>
                    <w:rPr>
                      <w:sz w:val="18"/>
                      <w:szCs w:val="21"/>
                    </w:rPr>
                    <w:t>流域（区域）水资源（包括水能资源）与开发利用总体状况、生态流量管理要求与现状满足程度、建设项目占用水域空间的水流状况与河湖演变状况</w:t>
                  </w:r>
                  <w:r>
                    <w:rPr>
                      <w:sz w:val="18"/>
                      <w:szCs w:val="21"/>
                    </w:rPr>
                    <w:sym w:font="Wingdings 2" w:char="00A3"/>
                  </w:r>
                </w:p>
              </w:tc>
              <w:tc>
                <w:tcPr>
                  <w:tcW w:w="1431" w:type="dxa"/>
                  <w:gridSpan w:val="2"/>
                  <w:vAlign w:val="center"/>
                </w:tcPr>
                <w:p>
                  <w:pPr>
                    <w:pStyle w:val="232"/>
                    <w:jc w:val="left"/>
                    <w:rPr>
                      <w:sz w:val="18"/>
                      <w:szCs w:val="21"/>
                    </w:rPr>
                  </w:pPr>
                  <w:r>
                    <w:rPr>
                      <w:sz w:val="18"/>
                      <w:szCs w:val="21"/>
                    </w:rPr>
                    <w:t>达标区</w:t>
                  </w:r>
                  <w:r>
                    <w:rPr>
                      <w:sz w:val="18"/>
                      <w:szCs w:val="21"/>
                    </w:rPr>
                    <w:sym w:font="Wingdings 2" w:char="00A3"/>
                  </w:r>
                </w:p>
                <w:p>
                  <w:pPr>
                    <w:pStyle w:val="232"/>
                    <w:jc w:val="left"/>
                    <w:rPr>
                      <w:sz w:val="18"/>
                      <w:szCs w:val="21"/>
                    </w:rPr>
                  </w:pPr>
                  <w:r>
                    <w:rPr>
                      <w:sz w:val="18"/>
                      <w:szCs w:val="21"/>
                    </w:rPr>
                    <w:t>不达标区□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restart"/>
                  <w:vAlign w:val="center"/>
                </w:tcPr>
                <w:p>
                  <w:pPr>
                    <w:pStyle w:val="232"/>
                    <w:rPr>
                      <w:sz w:val="18"/>
                      <w:szCs w:val="21"/>
                    </w:rPr>
                  </w:pPr>
                  <w:r>
                    <w:rPr>
                      <w:sz w:val="18"/>
                      <w:szCs w:val="21"/>
                    </w:rPr>
                    <w:t>影响预测</w:t>
                  </w:r>
                </w:p>
              </w:tc>
              <w:tc>
                <w:tcPr>
                  <w:tcW w:w="1189" w:type="dxa"/>
                  <w:vAlign w:val="center"/>
                </w:tcPr>
                <w:p>
                  <w:pPr>
                    <w:pStyle w:val="232"/>
                    <w:rPr>
                      <w:sz w:val="18"/>
                      <w:szCs w:val="21"/>
                    </w:rPr>
                  </w:pPr>
                  <w:r>
                    <w:rPr>
                      <w:sz w:val="18"/>
                      <w:szCs w:val="21"/>
                    </w:rPr>
                    <w:t>预测范围</w:t>
                  </w:r>
                </w:p>
              </w:tc>
              <w:tc>
                <w:tcPr>
                  <w:tcW w:w="7422" w:type="dxa"/>
                  <w:gridSpan w:val="11"/>
                  <w:vAlign w:val="center"/>
                </w:tcPr>
                <w:p>
                  <w:pPr>
                    <w:pStyle w:val="232"/>
                    <w:jc w:val="left"/>
                    <w:rPr>
                      <w:sz w:val="18"/>
                      <w:szCs w:val="21"/>
                    </w:rPr>
                  </w:pPr>
                  <w:r>
                    <w:rPr>
                      <w:sz w:val="18"/>
                      <w:szCs w:val="21"/>
                    </w:rPr>
                    <w:t>河流：长度（）km；湖库、河口及近岸海域：面积（）km</w:t>
                  </w:r>
                  <w:r>
                    <w:rPr>
                      <w:sz w:val="18"/>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预测因子</w:t>
                  </w:r>
                </w:p>
              </w:tc>
              <w:tc>
                <w:tcPr>
                  <w:tcW w:w="7422" w:type="dxa"/>
                  <w:gridSpan w:val="11"/>
                  <w:vAlign w:val="center"/>
                </w:tcPr>
                <w:p>
                  <w:pPr>
                    <w:pStyle w:val="232"/>
                    <w:jc w:val="left"/>
                    <w:rPr>
                      <w:sz w:val="18"/>
                      <w:szCs w:val="21"/>
                    </w:rPr>
                  </w:pPr>
                  <w:r>
                    <w:rPr>
                      <w:sz w:val="18"/>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预测时期</w:t>
                  </w:r>
                </w:p>
              </w:tc>
              <w:tc>
                <w:tcPr>
                  <w:tcW w:w="7422" w:type="dxa"/>
                  <w:gridSpan w:val="11"/>
                  <w:vAlign w:val="center"/>
                </w:tcPr>
                <w:p>
                  <w:pPr>
                    <w:pStyle w:val="232"/>
                    <w:jc w:val="left"/>
                    <w:rPr>
                      <w:sz w:val="18"/>
                      <w:szCs w:val="21"/>
                    </w:rPr>
                  </w:pPr>
                  <w:r>
                    <w:rPr>
                      <w:sz w:val="18"/>
                      <w:szCs w:val="21"/>
                    </w:rPr>
                    <w:t>丰水期□；平水期□；枯水期□；冰封期□</w:t>
                  </w:r>
                </w:p>
                <w:p>
                  <w:pPr>
                    <w:pStyle w:val="232"/>
                    <w:jc w:val="left"/>
                    <w:rPr>
                      <w:sz w:val="18"/>
                      <w:szCs w:val="21"/>
                    </w:rPr>
                  </w:pPr>
                  <w:r>
                    <w:rPr>
                      <w:sz w:val="18"/>
                      <w:szCs w:val="21"/>
                    </w:rPr>
                    <w:t>春季□；夏季□；秋季□；冬季□</w:t>
                  </w:r>
                </w:p>
                <w:p>
                  <w:pPr>
                    <w:pStyle w:val="232"/>
                    <w:jc w:val="left"/>
                    <w:rPr>
                      <w:sz w:val="18"/>
                      <w:szCs w:val="21"/>
                    </w:rPr>
                  </w:pPr>
                  <w:r>
                    <w:rPr>
                      <w:sz w:val="18"/>
                      <w:szCs w:val="21"/>
                    </w:rPr>
                    <w:t>设计水文条件□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预测情景</w:t>
                  </w:r>
                </w:p>
              </w:tc>
              <w:tc>
                <w:tcPr>
                  <w:tcW w:w="7422" w:type="dxa"/>
                  <w:gridSpan w:val="11"/>
                  <w:vAlign w:val="center"/>
                </w:tcPr>
                <w:p>
                  <w:pPr>
                    <w:pStyle w:val="232"/>
                    <w:jc w:val="left"/>
                    <w:rPr>
                      <w:sz w:val="18"/>
                      <w:szCs w:val="21"/>
                    </w:rPr>
                  </w:pPr>
                  <w:r>
                    <w:rPr>
                      <w:sz w:val="18"/>
                      <w:szCs w:val="21"/>
                    </w:rPr>
                    <w:t>建设期□；生产运行期□；服务期满后□</w:t>
                  </w:r>
                </w:p>
                <w:p>
                  <w:pPr>
                    <w:pStyle w:val="232"/>
                    <w:jc w:val="left"/>
                    <w:rPr>
                      <w:sz w:val="18"/>
                      <w:szCs w:val="21"/>
                    </w:rPr>
                  </w:pPr>
                  <w:r>
                    <w:rPr>
                      <w:sz w:val="18"/>
                      <w:szCs w:val="21"/>
                    </w:rPr>
                    <w:t>正常工况□；非正常工况□</w:t>
                  </w:r>
                </w:p>
                <w:p>
                  <w:pPr>
                    <w:pStyle w:val="232"/>
                    <w:jc w:val="left"/>
                    <w:rPr>
                      <w:sz w:val="18"/>
                      <w:szCs w:val="21"/>
                    </w:rPr>
                  </w:pPr>
                  <w:r>
                    <w:rPr>
                      <w:sz w:val="18"/>
                      <w:szCs w:val="21"/>
                    </w:rPr>
                    <w:t>污染控制和减缓措施方案□</w:t>
                  </w:r>
                </w:p>
                <w:p>
                  <w:pPr>
                    <w:pStyle w:val="232"/>
                    <w:jc w:val="left"/>
                    <w:rPr>
                      <w:sz w:val="18"/>
                      <w:szCs w:val="21"/>
                    </w:rPr>
                  </w:pPr>
                  <w:r>
                    <w:rPr>
                      <w:sz w:val="18"/>
                      <w:szCs w:val="21"/>
                    </w:rPr>
                    <w:t>区（流）域环境质量改善目标要求情景□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预测方法</w:t>
                  </w:r>
                </w:p>
              </w:tc>
              <w:tc>
                <w:tcPr>
                  <w:tcW w:w="7422" w:type="dxa"/>
                  <w:gridSpan w:val="11"/>
                  <w:vAlign w:val="center"/>
                </w:tcPr>
                <w:p>
                  <w:pPr>
                    <w:pStyle w:val="232"/>
                    <w:jc w:val="left"/>
                    <w:rPr>
                      <w:sz w:val="18"/>
                      <w:szCs w:val="21"/>
                    </w:rPr>
                  </w:pPr>
                  <w:r>
                    <w:rPr>
                      <w:sz w:val="18"/>
                      <w:szCs w:val="21"/>
                    </w:rPr>
                    <w:t>数值解□：解析解□；其他□</w:t>
                  </w:r>
                </w:p>
                <w:p>
                  <w:pPr>
                    <w:pStyle w:val="232"/>
                    <w:jc w:val="left"/>
                    <w:rPr>
                      <w:sz w:val="18"/>
                      <w:szCs w:val="21"/>
                    </w:rPr>
                  </w:pPr>
                  <w:r>
                    <w:rPr>
                      <w:sz w:val="18"/>
                      <w:szCs w:val="21"/>
                    </w:rPr>
                    <w:t>导则推荐模式□：其他□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restart"/>
                  <w:vAlign w:val="center"/>
                </w:tcPr>
                <w:p>
                  <w:pPr>
                    <w:pStyle w:val="232"/>
                    <w:rPr>
                      <w:sz w:val="18"/>
                      <w:szCs w:val="21"/>
                    </w:rPr>
                  </w:pPr>
                  <w:r>
                    <w:rPr>
                      <w:sz w:val="18"/>
                      <w:szCs w:val="21"/>
                    </w:rPr>
                    <w:t>影</w:t>
                  </w:r>
                </w:p>
                <w:p>
                  <w:pPr>
                    <w:pStyle w:val="232"/>
                    <w:rPr>
                      <w:sz w:val="18"/>
                      <w:szCs w:val="21"/>
                    </w:rPr>
                  </w:pPr>
                  <w:r>
                    <w:rPr>
                      <w:sz w:val="18"/>
                      <w:szCs w:val="21"/>
                    </w:rPr>
                    <w:t>响</w:t>
                  </w:r>
                </w:p>
                <w:p>
                  <w:pPr>
                    <w:pStyle w:val="232"/>
                    <w:rPr>
                      <w:sz w:val="18"/>
                      <w:szCs w:val="21"/>
                    </w:rPr>
                  </w:pPr>
                  <w:r>
                    <w:rPr>
                      <w:sz w:val="18"/>
                      <w:szCs w:val="21"/>
                    </w:rPr>
                    <w:t>评</w:t>
                  </w:r>
                </w:p>
                <w:p>
                  <w:pPr>
                    <w:pStyle w:val="232"/>
                    <w:rPr>
                      <w:sz w:val="18"/>
                      <w:szCs w:val="21"/>
                    </w:rPr>
                  </w:pPr>
                  <w:r>
                    <w:rPr>
                      <w:sz w:val="18"/>
                      <w:szCs w:val="21"/>
                    </w:rPr>
                    <w:t>价</w:t>
                  </w:r>
                </w:p>
              </w:tc>
              <w:tc>
                <w:tcPr>
                  <w:tcW w:w="1189" w:type="dxa"/>
                  <w:vAlign w:val="center"/>
                </w:tcPr>
                <w:p>
                  <w:pPr>
                    <w:pStyle w:val="232"/>
                    <w:rPr>
                      <w:sz w:val="18"/>
                      <w:szCs w:val="21"/>
                    </w:rPr>
                  </w:pPr>
                  <w:r>
                    <w:rPr>
                      <w:sz w:val="18"/>
                      <w:szCs w:val="21"/>
                    </w:rPr>
                    <w:t>水污染控制和水环境影响减缓措施有效性评价</w:t>
                  </w:r>
                </w:p>
              </w:tc>
              <w:tc>
                <w:tcPr>
                  <w:tcW w:w="7422" w:type="dxa"/>
                  <w:gridSpan w:val="11"/>
                  <w:vAlign w:val="center"/>
                </w:tcPr>
                <w:p>
                  <w:pPr>
                    <w:pStyle w:val="232"/>
                    <w:jc w:val="left"/>
                    <w:rPr>
                      <w:sz w:val="18"/>
                      <w:szCs w:val="21"/>
                    </w:rPr>
                  </w:pPr>
                  <w:r>
                    <w:rPr>
                      <w:sz w:val="18"/>
                      <w:szCs w:val="21"/>
                    </w:rPr>
                    <w:t>区（流）域水环境质量改善目标□；替代削减源□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水环境影响评价</w:t>
                  </w:r>
                </w:p>
              </w:tc>
              <w:tc>
                <w:tcPr>
                  <w:tcW w:w="7422" w:type="dxa"/>
                  <w:gridSpan w:val="11"/>
                  <w:vAlign w:val="center"/>
                </w:tcPr>
                <w:p>
                  <w:pPr>
                    <w:pStyle w:val="232"/>
                    <w:jc w:val="left"/>
                    <w:rPr>
                      <w:sz w:val="18"/>
                      <w:szCs w:val="21"/>
                    </w:rPr>
                  </w:pPr>
                  <w:r>
                    <w:rPr>
                      <w:sz w:val="18"/>
                      <w:szCs w:val="21"/>
                    </w:rPr>
                    <w:t>排放口混合区外满足水环境管理要求□</w:t>
                  </w:r>
                </w:p>
                <w:p>
                  <w:pPr>
                    <w:pStyle w:val="232"/>
                    <w:jc w:val="left"/>
                    <w:rPr>
                      <w:sz w:val="18"/>
                      <w:szCs w:val="21"/>
                    </w:rPr>
                  </w:pPr>
                  <w:r>
                    <w:rPr>
                      <w:sz w:val="18"/>
                      <w:szCs w:val="21"/>
                    </w:rPr>
                    <w:t>水环境功能区或水功能区、近岸海域环境功能区水质达标□</w:t>
                  </w:r>
                </w:p>
                <w:p>
                  <w:pPr>
                    <w:pStyle w:val="232"/>
                    <w:jc w:val="left"/>
                    <w:rPr>
                      <w:sz w:val="18"/>
                      <w:szCs w:val="21"/>
                    </w:rPr>
                  </w:pPr>
                  <w:r>
                    <w:rPr>
                      <w:sz w:val="18"/>
                      <w:szCs w:val="21"/>
                    </w:rPr>
                    <w:t>满足水环境保护目标水域水环境质量要求□</w:t>
                  </w:r>
                </w:p>
                <w:p>
                  <w:pPr>
                    <w:pStyle w:val="232"/>
                    <w:jc w:val="left"/>
                    <w:rPr>
                      <w:sz w:val="18"/>
                      <w:szCs w:val="21"/>
                    </w:rPr>
                  </w:pPr>
                  <w:r>
                    <w:rPr>
                      <w:sz w:val="18"/>
                      <w:szCs w:val="21"/>
                    </w:rPr>
                    <w:t>水环境控制单元或断面水质达标□</w:t>
                  </w:r>
                </w:p>
                <w:p>
                  <w:pPr>
                    <w:pStyle w:val="232"/>
                    <w:jc w:val="left"/>
                    <w:rPr>
                      <w:sz w:val="18"/>
                      <w:szCs w:val="21"/>
                    </w:rPr>
                  </w:pPr>
                  <w:r>
                    <w:rPr>
                      <w:sz w:val="18"/>
                      <w:szCs w:val="21"/>
                    </w:rPr>
                    <w:t>满足重点水污染物排放总量控制指标要求，重点行业建设项目，主要污染物排放满足等量或减量替代要求□</w:t>
                  </w:r>
                </w:p>
                <w:p>
                  <w:pPr>
                    <w:pStyle w:val="232"/>
                    <w:jc w:val="left"/>
                    <w:rPr>
                      <w:sz w:val="18"/>
                      <w:szCs w:val="21"/>
                    </w:rPr>
                  </w:pPr>
                  <w:r>
                    <w:rPr>
                      <w:sz w:val="18"/>
                      <w:szCs w:val="21"/>
                    </w:rPr>
                    <w:t>满足区（流）域水环境质量改善目标要求□</w:t>
                  </w:r>
                </w:p>
                <w:p>
                  <w:pPr>
                    <w:pStyle w:val="232"/>
                    <w:jc w:val="left"/>
                    <w:rPr>
                      <w:sz w:val="18"/>
                      <w:szCs w:val="21"/>
                    </w:rPr>
                  </w:pPr>
                  <w:r>
                    <w:rPr>
                      <w:sz w:val="18"/>
                      <w:szCs w:val="21"/>
                    </w:rPr>
                    <w:t>水文要素影响型建设项目同时应包括水文情势变化评价、主要水文特征值影响评价、生态流量符合性评价□</w:t>
                  </w:r>
                </w:p>
                <w:p>
                  <w:pPr>
                    <w:pStyle w:val="232"/>
                    <w:jc w:val="left"/>
                    <w:rPr>
                      <w:sz w:val="18"/>
                      <w:szCs w:val="21"/>
                    </w:rPr>
                  </w:pPr>
                  <w:r>
                    <w:rPr>
                      <w:sz w:val="18"/>
                      <w:szCs w:val="21"/>
                    </w:rPr>
                    <w:t>对于新设或调整入河（湖库、近岸海域）排放口的建设项目，应包括排放口设置的环境合理性评价□</w:t>
                  </w:r>
                </w:p>
                <w:p>
                  <w:pPr>
                    <w:pStyle w:val="232"/>
                    <w:jc w:val="left"/>
                    <w:rPr>
                      <w:sz w:val="18"/>
                      <w:szCs w:val="21"/>
                    </w:rPr>
                  </w:pPr>
                  <w:r>
                    <w:rPr>
                      <w:sz w:val="18"/>
                      <w:szCs w:val="21"/>
                    </w:rPr>
                    <w:t>满足生态保护红线、水环境质量底线、资源利用上线和环境准入清单管理要求□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restart"/>
                  <w:vAlign w:val="center"/>
                </w:tcPr>
                <w:p>
                  <w:pPr>
                    <w:pStyle w:val="232"/>
                    <w:rPr>
                      <w:sz w:val="18"/>
                      <w:szCs w:val="21"/>
                    </w:rPr>
                  </w:pPr>
                  <w:r>
                    <w:rPr>
                      <w:sz w:val="18"/>
                      <w:szCs w:val="21"/>
                    </w:rPr>
                    <w:t>污染物排放量核算</w:t>
                  </w:r>
                </w:p>
              </w:tc>
              <w:tc>
                <w:tcPr>
                  <w:tcW w:w="2495" w:type="dxa"/>
                  <w:gridSpan w:val="3"/>
                  <w:vAlign w:val="center"/>
                </w:tcPr>
                <w:p>
                  <w:pPr>
                    <w:pStyle w:val="232"/>
                    <w:rPr>
                      <w:sz w:val="18"/>
                      <w:szCs w:val="21"/>
                    </w:rPr>
                  </w:pPr>
                  <w:r>
                    <w:rPr>
                      <w:sz w:val="18"/>
                      <w:szCs w:val="21"/>
                    </w:rPr>
                    <w:t>污染物名称</w:t>
                  </w:r>
                </w:p>
              </w:tc>
              <w:tc>
                <w:tcPr>
                  <w:tcW w:w="2552" w:type="dxa"/>
                  <w:gridSpan w:val="4"/>
                  <w:vAlign w:val="center"/>
                </w:tcPr>
                <w:p>
                  <w:pPr>
                    <w:pStyle w:val="232"/>
                    <w:rPr>
                      <w:sz w:val="18"/>
                      <w:szCs w:val="21"/>
                    </w:rPr>
                  </w:pPr>
                  <w:r>
                    <w:rPr>
                      <w:sz w:val="18"/>
                      <w:szCs w:val="21"/>
                    </w:rPr>
                    <w:t>排放量/（t/a）</w:t>
                  </w:r>
                </w:p>
              </w:tc>
              <w:tc>
                <w:tcPr>
                  <w:tcW w:w="2375" w:type="dxa"/>
                  <w:gridSpan w:val="4"/>
                  <w:vAlign w:val="center"/>
                </w:tcPr>
                <w:p>
                  <w:pPr>
                    <w:pStyle w:val="232"/>
                    <w:rPr>
                      <w:sz w:val="18"/>
                      <w:szCs w:val="21"/>
                    </w:rPr>
                  </w:pPr>
                  <w:r>
                    <w:rPr>
                      <w:sz w:val="18"/>
                      <w:szCs w:val="21"/>
                    </w:rPr>
                    <w:t>排放浓度/（mg/m</w:t>
                  </w:r>
                  <w:r>
                    <w:rPr>
                      <w:sz w:val="18"/>
                      <w:szCs w:val="21"/>
                      <w:vertAlign w:val="superscript"/>
                    </w:rPr>
                    <w:t>3</w:t>
                  </w:r>
                  <w:r>
                    <w:rPr>
                      <w:sz w:val="18"/>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2495" w:type="dxa"/>
                  <w:gridSpan w:val="3"/>
                  <w:vAlign w:val="center"/>
                </w:tcPr>
                <w:p>
                  <w:pPr>
                    <w:pStyle w:val="232"/>
                    <w:rPr>
                      <w:sz w:val="18"/>
                      <w:szCs w:val="18"/>
                    </w:rPr>
                  </w:pPr>
                  <w:r>
                    <w:rPr>
                      <w:sz w:val="18"/>
                      <w:szCs w:val="18"/>
                    </w:rPr>
                    <w:t>COD</w:t>
                  </w:r>
                </w:p>
              </w:tc>
              <w:tc>
                <w:tcPr>
                  <w:tcW w:w="2552"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0.0252</w:t>
                  </w:r>
                </w:p>
              </w:tc>
              <w:tc>
                <w:tcPr>
                  <w:tcW w:w="2375"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2495" w:type="dxa"/>
                  <w:gridSpan w:val="3"/>
                  <w:vAlign w:val="center"/>
                </w:tcPr>
                <w:p>
                  <w:pPr>
                    <w:pStyle w:val="232"/>
                    <w:rPr>
                      <w:sz w:val="18"/>
                      <w:szCs w:val="18"/>
                    </w:rPr>
                  </w:pPr>
                  <w:r>
                    <w:rPr>
                      <w:sz w:val="18"/>
                      <w:szCs w:val="18"/>
                    </w:rPr>
                    <w:t>SS</w:t>
                  </w:r>
                </w:p>
              </w:tc>
              <w:tc>
                <w:tcPr>
                  <w:tcW w:w="2552"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0.0144</w:t>
                  </w:r>
                </w:p>
              </w:tc>
              <w:tc>
                <w:tcPr>
                  <w:tcW w:w="2375"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2495" w:type="dxa"/>
                  <w:gridSpan w:val="3"/>
                  <w:vAlign w:val="center"/>
                </w:tcPr>
                <w:p>
                  <w:pPr>
                    <w:pStyle w:val="232"/>
                    <w:rPr>
                      <w:sz w:val="18"/>
                      <w:szCs w:val="18"/>
                    </w:rPr>
                  </w:pPr>
                  <w:r>
                    <w:rPr>
                      <w:sz w:val="18"/>
                      <w:szCs w:val="18"/>
                    </w:rPr>
                    <w:t>NH</w:t>
                  </w:r>
                  <w:r>
                    <w:rPr>
                      <w:sz w:val="18"/>
                      <w:szCs w:val="18"/>
                      <w:vertAlign w:val="subscript"/>
                    </w:rPr>
                    <w:t>3</w:t>
                  </w:r>
                  <w:r>
                    <w:rPr>
                      <w:sz w:val="18"/>
                      <w:szCs w:val="18"/>
                    </w:rPr>
                    <w:t>-N</w:t>
                  </w:r>
                </w:p>
              </w:tc>
              <w:tc>
                <w:tcPr>
                  <w:tcW w:w="2552"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0.0022</w:t>
                  </w:r>
                </w:p>
              </w:tc>
              <w:tc>
                <w:tcPr>
                  <w:tcW w:w="2375"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2495" w:type="dxa"/>
                  <w:gridSpan w:val="3"/>
                  <w:vAlign w:val="center"/>
                </w:tcPr>
                <w:p>
                  <w:pPr>
                    <w:pStyle w:val="232"/>
                    <w:rPr>
                      <w:sz w:val="18"/>
                      <w:szCs w:val="18"/>
                    </w:rPr>
                  </w:pPr>
                  <w:r>
                    <w:rPr>
                      <w:sz w:val="18"/>
                      <w:szCs w:val="18"/>
                    </w:rPr>
                    <w:t>TN</w:t>
                  </w:r>
                </w:p>
              </w:tc>
              <w:tc>
                <w:tcPr>
                  <w:tcW w:w="2552"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0.0029</w:t>
                  </w:r>
                </w:p>
              </w:tc>
              <w:tc>
                <w:tcPr>
                  <w:tcW w:w="2375"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2495" w:type="dxa"/>
                  <w:gridSpan w:val="3"/>
                  <w:vAlign w:val="center"/>
                </w:tcPr>
                <w:p>
                  <w:pPr>
                    <w:pStyle w:val="232"/>
                    <w:rPr>
                      <w:sz w:val="18"/>
                      <w:szCs w:val="18"/>
                    </w:rPr>
                  </w:pPr>
                  <w:r>
                    <w:rPr>
                      <w:sz w:val="18"/>
                      <w:szCs w:val="18"/>
                    </w:rPr>
                    <w:t>TP</w:t>
                  </w:r>
                </w:p>
              </w:tc>
              <w:tc>
                <w:tcPr>
                  <w:tcW w:w="2552"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0.0002</w:t>
                  </w:r>
                </w:p>
              </w:tc>
              <w:tc>
                <w:tcPr>
                  <w:tcW w:w="2375"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restart"/>
                  <w:vAlign w:val="center"/>
                </w:tcPr>
                <w:p>
                  <w:pPr>
                    <w:pStyle w:val="232"/>
                    <w:rPr>
                      <w:sz w:val="18"/>
                      <w:szCs w:val="21"/>
                    </w:rPr>
                  </w:pPr>
                  <w:r>
                    <w:rPr>
                      <w:sz w:val="18"/>
                      <w:szCs w:val="21"/>
                    </w:rPr>
                    <w:t>替代源排放情况</w:t>
                  </w:r>
                </w:p>
              </w:tc>
              <w:tc>
                <w:tcPr>
                  <w:tcW w:w="1502" w:type="dxa"/>
                  <w:vAlign w:val="center"/>
                </w:tcPr>
                <w:p>
                  <w:pPr>
                    <w:pStyle w:val="232"/>
                    <w:rPr>
                      <w:sz w:val="18"/>
                      <w:szCs w:val="21"/>
                    </w:rPr>
                  </w:pPr>
                  <w:r>
                    <w:rPr>
                      <w:sz w:val="18"/>
                      <w:szCs w:val="21"/>
                    </w:rPr>
                    <w:t>污染源名称</w:t>
                  </w:r>
                </w:p>
              </w:tc>
              <w:tc>
                <w:tcPr>
                  <w:tcW w:w="993" w:type="dxa"/>
                  <w:gridSpan w:val="2"/>
                  <w:vAlign w:val="center"/>
                </w:tcPr>
                <w:p>
                  <w:pPr>
                    <w:pStyle w:val="232"/>
                    <w:rPr>
                      <w:sz w:val="18"/>
                      <w:szCs w:val="21"/>
                    </w:rPr>
                  </w:pPr>
                  <w:r>
                    <w:rPr>
                      <w:sz w:val="18"/>
                      <w:szCs w:val="21"/>
                    </w:rPr>
                    <w:t>排污许可证编号</w:t>
                  </w:r>
                </w:p>
              </w:tc>
              <w:tc>
                <w:tcPr>
                  <w:tcW w:w="2379" w:type="dxa"/>
                  <w:gridSpan w:val="2"/>
                  <w:vAlign w:val="center"/>
                </w:tcPr>
                <w:p>
                  <w:pPr>
                    <w:pStyle w:val="232"/>
                    <w:rPr>
                      <w:sz w:val="18"/>
                      <w:szCs w:val="21"/>
                    </w:rPr>
                  </w:pPr>
                  <w:r>
                    <w:rPr>
                      <w:sz w:val="18"/>
                      <w:szCs w:val="21"/>
                    </w:rPr>
                    <w:t>污染物名称</w:t>
                  </w:r>
                </w:p>
              </w:tc>
              <w:tc>
                <w:tcPr>
                  <w:tcW w:w="1147" w:type="dxa"/>
                  <w:gridSpan w:val="5"/>
                  <w:vAlign w:val="center"/>
                </w:tcPr>
                <w:p>
                  <w:pPr>
                    <w:pStyle w:val="232"/>
                    <w:rPr>
                      <w:sz w:val="18"/>
                      <w:szCs w:val="21"/>
                    </w:rPr>
                  </w:pPr>
                  <w:r>
                    <w:rPr>
                      <w:sz w:val="18"/>
                      <w:szCs w:val="21"/>
                    </w:rPr>
                    <w:t>排放量/（t/a）</w:t>
                  </w:r>
                </w:p>
              </w:tc>
              <w:tc>
                <w:tcPr>
                  <w:tcW w:w="1401" w:type="dxa"/>
                  <w:vAlign w:val="center"/>
                </w:tcPr>
                <w:p>
                  <w:pPr>
                    <w:pStyle w:val="232"/>
                    <w:rPr>
                      <w:sz w:val="18"/>
                      <w:szCs w:val="21"/>
                    </w:rPr>
                  </w:pPr>
                  <w:r>
                    <w:rPr>
                      <w:sz w:val="18"/>
                      <w:szCs w:val="21"/>
                    </w:rPr>
                    <w:t>排放浓度/（mg/L）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1502" w:type="dxa"/>
                  <w:vAlign w:val="center"/>
                </w:tcPr>
                <w:p>
                  <w:pPr>
                    <w:pStyle w:val="232"/>
                    <w:rPr>
                      <w:sz w:val="18"/>
                      <w:szCs w:val="21"/>
                    </w:rPr>
                  </w:pPr>
                  <w:r>
                    <w:rPr>
                      <w:sz w:val="18"/>
                      <w:szCs w:val="21"/>
                    </w:rPr>
                    <w:t>（）</w:t>
                  </w:r>
                </w:p>
              </w:tc>
              <w:tc>
                <w:tcPr>
                  <w:tcW w:w="993" w:type="dxa"/>
                  <w:gridSpan w:val="2"/>
                  <w:vAlign w:val="center"/>
                </w:tcPr>
                <w:p>
                  <w:pPr>
                    <w:pStyle w:val="232"/>
                    <w:rPr>
                      <w:sz w:val="18"/>
                      <w:szCs w:val="21"/>
                    </w:rPr>
                  </w:pPr>
                  <w:r>
                    <w:rPr>
                      <w:sz w:val="18"/>
                      <w:szCs w:val="21"/>
                    </w:rPr>
                    <w:t>（）</w:t>
                  </w:r>
                </w:p>
              </w:tc>
              <w:tc>
                <w:tcPr>
                  <w:tcW w:w="2379" w:type="dxa"/>
                  <w:gridSpan w:val="2"/>
                  <w:vAlign w:val="center"/>
                </w:tcPr>
                <w:p>
                  <w:pPr>
                    <w:pStyle w:val="232"/>
                    <w:rPr>
                      <w:sz w:val="18"/>
                      <w:szCs w:val="21"/>
                    </w:rPr>
                  </w:pPr>
                  <w:r>
                    <w:rPr>
                      <w:sz w:val="18"/>
                      <w:szCs w:val="21"/>
                    </w:rPr>
                    <w:t>（）</w:t>
                  </w:r>
                </w:p>
              </w:tc>
              <w:tc>
                <w:tcPr>
                  <w:tcW w:w="1147" w:type="dxa"/>
                  <w:gridSpan w:val="5"/>
                  <w:vAlign w:val="center"/>
                </w:tcPr>
                <w:p>
                  <w:pPr>
                    <w:pStyle w:val="232"/>
                    <w:rPr>
                      <w:sz w:val="18"/>
                      <w:szCs w:val="21"/>
                    </w:rPr>
                  </w:pPr>
                  <w:r>
                    <w:rPr>
                      <w:sz w:val="18"/>
                      <w:szCs w:val="21"/>
                    </w:rPr>
                    <w:t>（）</w:t>
                  </w:r>
                </w:p>
              </w:tc>
              <w:tc>
                <w:tcPr>
                  <w:tcW w:w="1401" w:type="dxa"/>
                  <w:vAlign w:val="center"/>
                </w:tcPr>
                <w:p>
                  <w:pPr>
                    <w:pStyle w:val="232"/>
                    <w:rPr>
                      <w:sz w:val="18"/>
                      <w:szCs w:val="21"/>
                    </w:rPr>
                  </w:pPr>
                  <w:r>
                    <w:rPr>
                      <w:sz w:val="18"/>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生态流量确定</w:t>
                  </w:r>
                </w:p>
              </w:tc>
              <w:tc>
                <w:tcPr>
                  <w:tcW w:w="7422" w:type="dxa"/>
                  <w:gridSpan w:val="11"/>
                  <w:vAlign w:val="center"/>
                </w:tcPr>
                <w:p>
                  <w:pPr>
                    <w:pStyle w:val="232"/>
                    <w:jc w:val="left"/>
                    <w:rPr>
                      <w:sz w:val="18"/>
                      <w:szCs w:val="21"/>
                    </w:rPr>
                  </w:pPr>
                  <w:r>
                    <w:rPr>
                      <w:sz w:val="18"/>
                      <w:szCs w:val="21"/>
                    </w:rPr>
                    <w:t>生态流量：一般水期（）m</w:t>
                  </w:r>
                  <w:r>
                    <w:rPr>
                      <w:sz w:val="18"/>
                      <w:szCs w:val="21"/>
                      <w:vertAlign w:val="superscript"/>
                    </w:rPr>
                    <w:t>3</w:t>
                  </w:r>
                  <w:r>
                    <w:rPr>
                      <w:sz w:val="18"/>
                      <w:szCs w:val="21"/>
                    </w:rPr>
                    <w:t>/s；鱼类繁殖期（）m</w:t>
                  </w:r>
                  <w:r>
                    <w:rPr>
                      <w:sz w:val="18"/>
                      <w:szCs w:val="21"/>
                      <w:vertAlign w:val="superscript"/>
                    </w:rPr>
                    <w:t>3</w:t>
                  </w:r>
                  <w:r>
                    <w:rPr>
                      <w:sz w:val="18"/>
                      <w:szCs w:val="21"/>
                    </w:rPr>
                    <w:t>/s；其他（）m</w:t>
                  </w:r>
                  <w:r>
                    <w:rPr>
                      <w:sz w:val="18"/>
                      <w:szCs w:val="21"/>
                      <w:vertAlign w:val="superscript"/>
                    </w:rPr>
                    <w:t>3</w:t>
                  </w:r>
                  <w:r>
                    <w:rPr>
                      <w:sz w:val="18"/>
                      <w:szCs w:val="21"/>
                    </w:rPr>
                    <w:t>/s</w:t>
                  </w:r>
                </w:p>
                <w:p>
                  <w:pPr>
                    <w:pStyle w:val="232"/>
                    <w:jc w:val="left"/>
                    <w:rPr>
                      <w:sz w:val="18"/>
                      <w:szCs w:val="21"/>
                    </w:rPr>
                  </w:pPr>
                  <w:r>
                    <w:rPr>
                      <w:sz w:val="18"/>
                      <w:szCs w:val="21"/>
                    </w:rPr>
                    <w:t>生态水位：一般水期（）m；鱼类繁殖期（）m；其他（）m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restart"/>
                  <w:vAlign w:val="center"/>
                </w:tcPr>
                <w:p>
                  <w:pPr>
                    <w:pStyle w:val="232"/>
                    <w:rPr>
                      <w:sz w:val="18"/>
                      <w:szCs w:val="21"/>
                    </w:rPr>
                  </w:pPr>
                  <w:r>
                    <w:rPr>
                      <w:sz w:val="18"/>
                      <w:szCs w:val="21"/>
                    </w:rPr>
                    <w:t>防</w:t>
                  </w:r>
                </w:p>
                <w:p>
                  <w:pPr>
                    <w:pStyle w:val="232"/>
                    <w:rPr>
                      <w:sz w:val="18"/>
                      <w:szCs w:val="21"/>
                    </w:rPr>
                  </w:pPr>
                  <w:r>
                    <w:rPr>
                      <w:sz w:val="18"/>
                      <w:szCs w:val="21"/>
                    </w:rPr>
                    <w:t>治</w:t>
                  </w:r>
                </w:p>
                <w:p>
                  <w:pPr>
                    <w:pStyle w:val="232"/>
                    <w:rPr>
                      <w:sz w:val="18"/>
                      <w:szCs w:val="21"/>
                    </w:rPr>
                  </w:pPr>
                  <w:r>
                    <w:rPr>
                      <w:sz w:val="18"/>
                      <w:szCs w:val="21"/>
                    </w:rPr>
                    <w:t>措</w:t>
                  </w:r>
                </w:p>
                <w:p>
                  <w:pPr>
                    <w:pStyle w:val="232"/>
                    <w:rPr>
                      <w:sz w:val="18"/>
                      <w:szCs w:val="21"/>
                    </w:rPr>
                  </w:pPr>
                  <w:r>
                    <w:rPr>
                      <w:sz w:val="18"/>
                      <w:szCs w:val="21"/>
                    </w:rPr>
                    <w:t>施</w:t>
                  </w:r>
                </w:p>
              </w:tc>
              <w:tc>
                <w:tcPr>
                  <w:tcW w:w="1189" w:type="dxa"/>
                  <w:vAlign w:val="center"/>
                </w:tcPr>
                <w:p>
                  <w:pPr>
                    <w:pStyle w:val="232"/>
                    <w:rPr>
                      <w:sz w:val="18"/>
                      <w:szCs w:val="21"/>
                    </w:rPr>
                  </w:pPr>
                  <w:r>
                    <w:rPr>
                      <w:sz w:val="18"/>
                      <w:szCs w:val="21"/>
                    </w:rPr>
                    <w:t>环保措施</w:t>
                  </w:r>
                </w:p>
              </w:tc>
              <w:tc>
                <w:tcPr>
                  <w:tcW w:w="7422" w:type="dxa"/>
                  <w:gridSpan w:val="11"/>
                  <w:vAlign w:val="center"/>
                </w:tcPr>
                <w:p>
                  <w:pPr>
                    <w:pStyle w:val="232"/>
                    <w:jc w:val="left"/>
                    <w:rPr>
                      <w:sz w:val="18"/>
                      <w:szCs w:val="21"/>
                    </w:rPr>
                  </w:pPr>
                  <w:r>
                    <w:rPr>
                      <w:sz w:val="18"/>
                      <w:szCs w:val="21"/>
                    </w:rPr>
                    <w:t>污水处理设施</w:t>
                  </w:r>
                  <w:r>
                    <w:rPr>
                      <w:sz w:val="18"/>
                      <w:szCs w:val="21"/>
                    </w:rPr>
                    <w:sym w:font="Wingdings 2" w:char="00A3"/>
                  </w:r>
                  <w:r>
                    <w:rPr>
                      <w:sz w:val="18"/>
                      <w:szCs w:val="21"/>
                    </w:rPr>
                    <w:t>；水文减缓设施□；生态流量保障设施□；区域削减□；依托其他工程措施□；其他□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restart"/>
                  <w:vAlign w:val="center"/>
                </w:tcPr>
                <w:p>
                  <w:pPr>
                    <w:pStyle w:val="232"/>
                    <w:rPr>
                      <w:sz w:val="18"/>
                      <w:szCs w:val="21"/>
                    </w:rPr>
                  </w:pPr>
                  <w:r>
                    <w:rPr>
                      <w:sz w:val="18"/>
                      <w:szCs w:val="21"/>
                    </w:rPr>
                    <w:t>监测计划</w:t>
                  </w:r>
                </w:p>
              </w:tc>
              <w:tc>
                <w:tcPr>
                  <w:tcW w:w="2189" w:type="dxa"/>
                  <w:gridSpan w:val="2"/>
                  <w:vAlign w:val="center"/>
                </w:tcPr>
                <w:p>
                  <w:pPr>
                    <w:pStyle w:val="232"/>
                    <w:rPr>
                      <w:sz w:val="18"/>
                      <w:szCs w:val="21"/>
                    </w:rPr>
                  </w:pPr>
                </w:p>
              </w:tc>
              <w:tc>
                <w:tcPr>
                  <w:tcW w:w="2747" w:type="dxa"/>
                  <w:gridSpan w:val="4"/>
                  <w:vAlign w:val="center"/>
                </w:tcPr>
                <w:p>
                  <w:pPr>
                    <w:pStyle w:val="232"/>
                    <w:rPr>
                      <w:sz w:val="18"/>
                      <w:szCs w:val="21"/>
                    </w:rPr>
                  </w:pPr>
                  <w:r>
                    <w:rPr>
                      <w:sz w:val="18"/>
                      <w:szCs w:val="21"/>
                    </w:rPr>
                    <w:t>环境质量</w:t>
                  </w:r>
                </w:p>
              </w:tc>
              <w:tc>
                <w:tcPr>
                  <w:tcW w:w="2486" w:type="dxa"/>
                  <w:gridSpan w:val="5"/>
                  <w:vAlign w:val="center"/>
                </w:tcPr>
                <w:p>
                  <w:pPr>
                    <w:pStyle w:val="232"/>
                    <w:rPr>
                      <w:sz w:val="18"/>
                      <w:szCs w:val="21"/>
                    </w:rPr>
                  </w:pPr>
                  <w:r>
                    <w:rPr>
                      <w:sz w:val="18"/>
                      <w:szCs w:val="21"/>
                    </w:rPr>
                    <w:t>污染源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2189" w:type="dxa"/>
                  <w:gridSpan w:val="2"/>
                  <w:vAlign w:val="center"/>
                </w:tcPr>
                <w:p>
                  <w:pPr>
                    <w:pStyle w:val="232"/>
                    <w:rPr>
                      <w:sz w:val="18"/>
                      <w:szCs w:val="21"/>
                    </w:rPr>
                  </w:pPr>
                  <w:r>
                    <w:rPr>
                      <w:sz w:val="18"/>
                      <w:szCs w:val="21"/>
                    </w:rPr>
                    <w:t>监测方式</w:t>
                  </w:r>
                </w:p>
              </w:tc>
              <w:tc>
                <w:tcPr>
                  <w:tcW w:w="2747" w:type="dxa"/>
                  <w:gridSpan w:val="4"/>
                  <w:vAlign w:val="center"/>
                </w:tcPr>
                <w:p>
                  <w:pPr>
                    <w:pStyle w:val="232"/>
                    <w:rPr>
                      <w:sz w:val="18"/>
                      <w:szCs w:val="21"/>
                    </w:rPr>
                  </w:pPr>
                  <w:r>
                    <w:rPr>
                      <w:sz w:val="18"/>
                      <w:szCs w:val="21"/>
                    </w:rPr>
                    <w:t>手动</w:t>
                  </w:r>
                  <w:r>
                    <w:rPr>
                      <w:sz w:val="18"/>
                      <w:szCs w:val="21"/>
                    </w:rPr>
                    <w:sym w:font="Wingdings 2" w:char="00A3"/>
                  </w:r>
                  <w:r>
                    <w:rPr>
                      <w:sz w:val="18"/>
                      <w:szCs w:val="21"/>
                    </w:rPr>
                    <w:t>；自动</w:t>
                  </w:r>
                  <w:r>
                    <w:rPr>
                      <w:sz w:val="18"/>
                      <w:szCs w:val="21"/>
                    </w:rPr>
                    <w:sym w:font="Wingdings 2" w:char="00A3"/>
                  </w:r>
                  <w:r>
                    <w:rPr>
                      <w:sz w:val="18"/>
                      <w:szCs w:val="21"/>
                    </w:rPr>
                    <w:t>；无监测</w:t>
                  </w:r>
                  <w:r>
                    <w:rPr>
                      <w:sz w:val="18"/>
                      <w:szCs w:val="21"/>
                    </w:rPr>
                    <w:sym w:font="Wingdings 2" w:char="00A3"/>
                  </w:r>
                </w:p>
              </w:tc>
              <w:tc>
                <w:tcPr>
                  <w:tcW w:w="2486" w:type="dxa"/>
                  <w:gridSpan w:val="5"/>
                  <w:vAlign w:val="center"/>
                </w:tcPr>
                <w:p>
                  <w:pPr>
                    <w:pStyle w:val="232"/>
                    <w:rPr>
                      <w:sz w:val="18"/>
                      <w:szCs w:val="21"/>
                    </w:rPr>
                  </w:pPr>
                  <w:r>
                    <w:rPr>
                      <w:sz w:val="18"/>
                      <w:szCs w:val="21"/>
                    </w:rPr>
                    <w:t>手动</w:t>
                  </w:r>
                  <w:r>
                    <w:rPr>
                      <w:b/>
                      <w:bCs/>
                      <w:sz w:val="18"/>
                      <w:szCs w:val="21"/>
                    </w:rPr>
                    <w:sym w:font="Wingdings 2" w:char="00A3"/>
                  </w:r>
                  <w:r>
                    <w:rPr>
                      <w:sz w:val="18"/>
                      <w:szCs w:val="21"/>
                    </w:rPr>
                    <w:t>；自动</w:t>
                  </w:r>
                  <w:r>
                    <w:rPr>
                      <w:sz w:val="18"/>
                      <w:szCs w:val="21"/>
                    </w:rPr>
                    <w:sym w:font="Wingdings 2" w:char="00A3"/>
                  </w:r>
                  <w:r>
                    <w:rPr>
                      <w:sz w:val="18"/>
                      <w:szCs w:val="21"/>
                    </w:rPr>
                    <w:t>；无监测</w:t>
                  </w:r>
                  <w:r>
                    <w:rPr>
                      <w:sz w:val="18"/>
                      <w:szCs w:val="21"/>
                    </w:rPr>
                    <w:sym w:font="Wingdings 2" w:char="00A3"/>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2189" w:type="dxa"/>
                  <w:gridSpan w:val="2"/>
                  <w:vAlign w:val="center"/>
                </w:tcPr>
                <w:p>
                  <w:pPr>
                    <w:pStyle w:val="232"/>
                    <w:rPr>
                      <w:sz w:val="18"/>
                      <w:szCs w:val="21"/>
                    </w:rPr>
                  </w:pPr>
                  <w:r>
                    <w:rPr>
                      <w:sz w:val="18"/>
                      <w:szCs w:val="21"/>
                    </w:rPr>
                    <w:t>监测点位</w:t>
                  </w:r>
                </w:p>
              </w:tc>
              <w:tc>
                <w:tcPr>
                  <w:tcW w:w="2747" w:type="dxa"/>
                  <w:gridSpan w:val="4"/>
                  <w:vAlign w:val="center"/>
                </w:tcPr>
                <w:p>
                  <w:pPr>
                    <w:pStyle w:val="232"/>
                    <w:rPr>
                      <w:sz w:val="18"/>
                      <w:szCs w:val="21"/>
                    </w:rPr>
                  </w:pPr>
                  <w:r>
                    <w:rPr>
                      <w:sz w:val="18"/>
                      <w:szCs w:val="21"/>
                    </w:rPr>
                    <w:t>（）</w:t>
                  </w:r>
                </w:p>
              </w:tc>
              <w:tc>
                <w:tcPr>
                  <w:tcW w:w="2486" w:type="dxa"/>
                  <w:gridSpan w:val="5"/>
                  <w:vAlign w:val="center"/>
                </w:tcPr>
                <w:p>
                  <w:pPr>
                    <w:pStyle w:val="232"/>
                    <w:rPr>
                      <w:sz w:val="18"/>
                      <w:szCs w:val="21"/>
                    </w:rPr>
                  </w:pPr>
                  <w:r>
                    <w:rPr>
                      <w:sz w:val="18"/>
                      <w:szCs w:val="21"/>
                    </w:rPr>
                    <w:t>（DW001）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Merge w:val="continue"/>
                  <w:vAlign w:val="center"/>
                </w:tcPr>
                <w:p>
                  <w:pPr>
                    <w:pStyle w:val="232"/>
                    <w:rPr>
                      <w:sz w:val="18"/>
                      <w:szCs w:val="21"/>
                    </w:rPr>
                  </w:pPr>
                </w:p>
              </w:tc>
              <w:tc>
                <w:tcPr>
                  <w:tcW w:w="2189" w:type="dxa"/>
                  <w:gridSpan w:val="2"/>
                  <w:vAlign w:val="center"/>
                </w:tcPr>
                <w:p>
                  <w:pPr>
                    <w:pStyle w:val="232"/>
                    <w:rPr>
                      <w:sz w:val="18"/>
                      <w:szCs w:val="21"/>
                    </w:rPr>
                  </w:pPr>
                  <w:r>
                    <w:rPr>
                      <w:sz w:val="18"/>
                      <w:szCs w:val="21"/>
                    </w:rPr>
                    <w:t>监测因子</w:t>
                  </w:r>
                </w:p>
              </w:tc>
              <w:tc>
                <w:tcPr>
                  <w:tcW w:w="2747" w:type="dxa"/>
                  <w:gridSpan w:val="4"/>
                  <w:vAlign w:val="center"/>
                </w:tcPr>
                <w:p>
                  <w:pPr>
                    <w:pStyle w:val="232"/>
                    <w:rPr>
                      <w:sz w:val="18"/>
                      <w:szCs w:val="21"/>
                    </w:rPr>
                  </w:pPr>
                  <w:r>
                    <w:rPr>
                      <w:sz w:val="18"/>
                      <w:szCs w:val="21"/>
                    </w:rPr>
                    <w:t>（）</w:t>
                  </w:r>
                </w:p>
              </w:tc>
              <w:tc>
                <w:tcPr>
                  <w:tcW w:w="2486" w:type="dxa"/>
                  <w:gridSpan w:val="5"/>
                  <w:vAlign w:val="center"/>
                </w:tcPr>
                <w:p>
                  <w:pPr>
                    <w:pStyle w:val="232"/>
                    <w:rPr>
                      <w:sz w:val="18"/>
                      <w:szCs w:val="21"/>
                    </w:rPr>
                  </w:pPr>
                  <w:r>
                    <w:rPr>
                      <w:sz w:val="18"/>
                      <w:szCs w:val="21"/>
                    </w:rPr>
                    <w:t>（COD、SS、氨氮、总磷、总氮）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22" w:type="dxa"/>
                  <w:vMerge w:val="continue"/>
                  <w:vAlign w:val="center"/>
                </w:tcPr>
                <w:p>
                  <w:pPr>
                    <w:pStyle w:val="232"/>
                    <w:rPr>
                      <w:sz w:val="18"/>
                      <w:szCs w:val="21"/>
                    </w:rPr>
                  </w:pPr>
                </w:p>
              </w:tc>
              <w:tc>
                <w:tcPr>
                  <w:tcW w:w="1189" w:type="dxa"/>
                  <w:vAlign w:val="center"/>
                </w:tcPr>
                <w:p>
                  <w:pPr>
                    <w:pStyle w:val="232"/>
                    <w:rPr>
                      <w:sz w:val="18"/>
                      <w:szCs w:val="21"/>
                    </w:rPr>
                  </w:pPr>
                  <w:r>
                    <w:rPr>
                      <w:sz w:val="18"/>
                      <w:szCs w:val="21"/>
                    </w:rPr>
                    <w:t>污染物排放清单</w:t>
                  </w:r>
                </w:p>
              </w:tc>
              <w:tc>
                <w:tcPr>
                  <w:tcW w:w="7422" w:type="dxa"/>
                  <w:gridSpan w:val="11"/>
                  <w:vAlign w:val="center"/>
                </w:tcPr>
                <w:p>
                  <w:pPr>
                    <w:pStyle w:val="232"/>
                    <w:rPr>
                      <w:sz w:val="18"/>
                      <w:szCs w:val="21"/>
                    </w:rPr>
                  </w:pPr>
                  <w:r>
                    <w:rPr>
                      <w:sz w:val="18"/>
                      <w:szCs w:val="21"/>
                    </w:rPr>
                    <w:sym w:font="Wingdings 2" w:char="00A3"/>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11" w:type="dxa"/>
                  <w:gridSpan w:val="2"/>
                  <w:vAlign w:val="center"/>
                </w:tcPr>
                <w:p>
                  <w:pPr>
                    <w:pStyle w:val="232"/>
                    <w:rPr>
                      <w:sz w:val="18"/>
                      <w:szCs w:val="21"/>
                    </w:rPr>
                  </w:pPr>
                  <w:r>
                    <w:rPr>
                      <w:sz w:val="18"/>
                      <w:szCs w:val="21"/>
                    </w:rPr>
                    <w:t>评价结论</w:t>
                  </w:r>
                </w:p>
              </w:tc>
              <w:tc>
                <w:tcPr>
                  <w:tcW w:w="7422" w:type="dxa"/>
                  <w:gridSpan w:val="11"/>
                  <w:vAlign w:val="center"/>
                </w:tcPr>
                <w:p>
                  <w:pPr>
                    <w:pStyle w:val="232"/>
                    <w:rPr>
                      <w:sz w:val="18"/>
                      <w:szCs w:val="21"/>
                    </w:rPr>
                  </w:pPr>
                  <w:r>
                    <w:rPr>
                      <w:sz w:val="18"/>
                      <w:szCs w:val="21"/>
                    </w:rPr>
                    <w:t>可以接受</w:t>
                  </w:r>
                  <w:r>
                    <w:rPr>
                      <w:b/>
                      <w:bCs/>
                      <w:sz w:val="18"/>
                      <w:szCs w:val="21"/>
                    </w:rPr>
                    <w:sym w:font="Wingdings 2" w:char="0052"/>
                  </w:r>
                  <w:r>
                    <w:rPr>
                      <w:sz w:val="18"/>
                      <w:szCs w:val="21"/>
                    </w:rPr>
                    <w:t>；不可以接受</w:t>
                  </w:r>
                  <w:r>
                    <w:rPr>
                      <w:sz w:val="18"/>
                      <w:szCs w:val="21"/>
                    </w:rPr>
                    <w:sym w:font="Wingdings 2" w:char="00A3"/>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9033" w:type="dxa"/>
                  <w:gridSpan w:val="13"/>
                  <w:vAlign w:val="center"/>
                </w:tcPr>
                <w:p>
                  <w:pPr>
                    <w:pStyle w:val="232"/>
                    <w:rPr>
                      <w:sz w:val="18"/>
                      <w:szCs w:val="21"/>
                    </w:rPr>
                  </w:pPr>
                  <w:r>
                    <w:rPr>
                      <w:sz w:val="18"/>
                      <w:szCs w:val="21"/>
                    </w:rPr>
                    <w:t>注：“□”为勾选项，可打√；“（）”为内容填写项；“备注”为其他补充内容。</w:t>
                  </w:r>
                </w:p>
              </w:tc>
            </w:tr>
          </w:tbl>
          <w:p>
            <w:pPr>
              <w:spacing w:line="360" w:lineRule="auto"/>
              <w:ind w:firstLine="482" w:firstLineChars="200"/>
              <w:rPr>
                <w:rFonts w:ascii="Times New Roman" w:hAnsi="Times New Roman" w:cs="Times New Roman"/>
                <w:b/>
                <w:sz w:val="24"/>
              </w:rPr>
            </w:pPr>
            <w:r>
              <w:rPr>
                <w:rFonts w:ascii="Times New Roman" w:hAnsi="Times New Roman" w:cs="Times New Roman"/>
                <w:b/>
                <w:sz w:val="24"/>
              </w:rPr>
              <w:t>2、大气环境影响分析</w:t>
            </w:r>
          </w:p>
          <w:p>
            <w:pPr>
              <w:spacing w:line="360" w:lineRule="auto"/>
              <w:ind w:firstLine="482"/>
              <w:rPr>
                <w:rFonts w:ascii="Times New Roman" w:hAnsi="Times New Roman" w:cs="Times New Roman"/>
                <w:sz w:val="24"/>
              </w:rPr>
            </w:pPr>
            <w:r>
              <w:rPr>
                <w:rFonts w:ascii="Times New Roman" w:hAnsi="Times New Roman" w:cs="Times New Roman"/>
                <w:sz w:val="24"/>
              </w:rPr>
              <w:t>本项目项目废气主</w:t>
            </w:r>
            <w:r>
              <w:rPr>
                <w:rFonts w:ascii="Times New Roman" w:hAnsi="Times New Roman" w:cs="Times New Roman"/>
                <w:color w:val="000000"/>
                <w:sz w:val="24"/>
              </w:rPr>
              <w:t>要为机加工过程中产生的非甲烷总烃，在</w:t>
            </w:r>
            <w:r>
              <w:rPr>
                <w:rFonts w:ascii="Times New Roman" w:hAnsi="Times New Roman" w:cs="Times New Roman"/>
                <w:sz w:val="24"/>
              </w:rPr>
              <w:t>车间无组织排放。</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（1）大气环境影响评价工作等级的确定</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依据《环境影响评价技术导则-大气环境》(HJ2.2-2018)中5.3节工作等级的确定方法，结合项目工程分析结果，选择正常排放的主要污染物及排放参数，采用附录A推荐模型中的AERSCREEN模式计算项目污染源的最大环境影响，然后按评价工作分级判据进行分级。</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sym w:font="Wingdings" w:char="F081"/>
            </w:r>
            <w:r>
              <w:rPr>
                <w:rFonts w:ascii="Times New Roman" w:hAnsi="Times New Roman" w:cs="Times New Roman"/>
                <w:sz w:val="24"/>
              </w:rPr>
              <w:t xml:space="preserve">P </w:t>
            </w:r>
            <w:r>
              <w:rPr>
                <w:rFonts w:ascii="Times New Roman" w:hAnsi="Times New Roman" w:cs="Times New Roman"/>
                <w:sz w:val="24"/>
                <w:vertAlign w:val="subscript"/>
              </w:rPr>
              <w:t>max</w:t>
            </w:r>
            <w:r>
              <w:rPr>
                <w:rFonts w:ascii="Times New Roman" w:hAnsi="Times New Roman" w:cs="Times New Roman"/>
                <w:sz w:val="24"/>
              </w:rPr>
              <w:t>及D</w:t>
            </w:r>
            <w:r>
              <w:rPr>
                <w:rFonts w:ascii="Times New Roman" w:hAnsi="Times New Roman" w:cs="Times New Roman"/>
                <w:sz w:val="24"/>
                <w:vertAlign w:val="subscript"/>
              </w:rPr>
              <w:t>10%</w:t>
            </w:r>
            <w:r>
              <w:rPr>
                <w:rFonts w:ascii="Times New Roman" w:hAnsi="Times New Roman" w:cs="Times New Roman"/>
                <w:sz w:val="24"/>
              </w:rPr>
              <w:t>的确定</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依据《环境影响评价技术导则-大气环境》(HJ2.2-2018)中最大地面浓度占标率Pi定义如下：</w:t>
            </w:r>
          </w:p>
          <w:p>
            <w:pPr>
              <w:spacing w:line="360" w:lineRule="auto"/>
              <w:ind w:firstLine="480" w:firstLineChars="200"/>
              <w:jc w:val="center"/>
              <w:rPr>
                <w:rFonts w:ascii="Times New Roman" w:hAnsi="Times New Roman" w:cs="Times New Roman"/>
              </w:rPr>
            </w:pPr>
            <w:r>
              <w:rPr>
                <w:rFonts w:ascii="Times New Roman" w:hAnsi="Times New Roman" w:cs="Times New Roman"/>
                <w:sz w:val="24"/>
              </w:rPr>
              <w:object>
                <v:shape id="_x0000_i1027" o:spt="75" type="#_x0000_t75" style="height:29.9pt;width:68.7pt;" o:ole="t" filled="f" o:preferrelative="t" stroked="f" coordsize="21600,21600">
                  <v:path/>
                  <v:fill on="f" focussize="0,0"/>
                  <v:stroke on="f" joinstyle="miter"/>
                  <v:imagedata r:id="rId13" o:title=""/>
                  <o:lock v:ext="edit" aspectratio="t"/>
                  <w10:wrap type="none"/>
                  <w10:anchorlock/>
                </v:shape>
                <o:OLEObject Type="Embed" ProgID="Equation.3" ShapeID="_x0000_i1027" DrawAspect="Content" ObjectID="_1468075727" r:id="rId12">
                  <o:LockedField>false</o:LockedField>
                </o:OLEObject>
              </w:objec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P</w:t>
            </w:r>
            <w:r>
              <w:rPr>
                <w:rFonts w:ascii="Times New Roman" w:hAnsi="Times New Roman" w:cs="Times New Roman"/>
                <w:sz w:val="24"/>
                <w:vertAlign w:val="subscript"/>
              </w:rPr>
              <w:t>i</w:t>
            </w:r>
            <w:r>
              <w:rPr>
                <w:rFonts w:ascii="Times New Roman" w:hAnsi="Times New Roman" w:cs="Times New Roman"/>
                <w:sz w:val="24"/>
              </w:rPr>
              <w:t>：第i个污染物的最大地面空气质量浓度占标率，%；</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C</w:t>
            </w:r>
            <w:r>
              <w:rPr>
                <w:rFonts w:ascii="Times New Roman" w:hAnsi="Times New Roman" w:cs="Times New Roman"/>
                <w:sz w:val="24"/>
                <w:vertAlign w:val="subscript"/>
              </w:rPr>
              <w:t>i</w:t>
            </w:r>
            <w:r>
              <w:rPr>
                <w:rFonts w:ascii="Times New Roman" w:hAnsi="Times New Roman" w:cs="Times New Roman"/>
                <w:sz w:val="24"/>
              </w:rPr>
              <w:t>：采用估算模式模型计算出的第i个污染物的最大1h地面空气质量浓度，</w:t>
            </w:r>
            <w:r>
              <w:rPr>
                <w:rFonts w:ascii="Times New Roman" w:hAnsi="Times New Roman" w:cs="Times New Roman"/>
                <w:szCs w:val="21"/>
              </w:rPr>
              <w:t>μg/m</w:t>
            </w:r>
            <w:r>
              <w:rPr>
                <w:rFonts w:ascii="Times New Roman" w:hAnsi="Times New Roman" w:cs="Times New Roman"/>
                <w:szCs w:val="21"/>
                <w:vertAlign w:val="superscript"/>
              </w:rPr>
              <w:t>3</w:t>
            </w:r>
            <w:r>
              <w:rPr>
                <w:rFonts w:ascii="Times New Roman" w:hAnsi="Times New Roman" w:cs="Times New Roman"/>
                <w:szCs w:val="21"/>
              </w:rPr>
              <w:t>；</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C</w:t>
            </w:r>
            <w:r>
              <w:rPr>
                <w:rFonts w:ascii="Times New Roman" w:hAnsi="Times New Roman" w:cs="Times New Roman"/>
                <w:sz w:val="24"/>
                <w:vertAlign w:val="subscript"/>
              </w:rPr>
              <w:t>0i</w:t>
            </w:r>
            <w:r>
              <w:rPr>
                <w:rFonts w:ascii="Times New Roman" w:hAnsi="Times New Roman" w:cs="Times New Roman"/>
                <w:sz w:val="24"/>
              </w:rPr>
              <w:t>：第i个污染物的环境空气质量浓度标准，</w:t>
            </w:r>
            <w:r>
              <w:rPr>
                <w:rFonts w:ascii="Times New Roman" w:hAnsi="Times New Roman" w:cs="Times New Roman"/>
                <w:szCs w:val="21"/>
              </w:rPr>
              <w:t>μg/m</w:t>
            </w:r>
            <w:r>
              <w:rPr>
                <w:rFonts w:ascii="Times New Roman" w:hAnsi="Times New Roman" w:cs="Times New Roman"/>
                <w:szCs w:val="21"/>
                <w:vertAlign w:val="superscript"/>
              </w:rPr>
              <w:t>3</w:t>
            </w:r>
            <w:r>
              <w:rPr>
                <w:rFonts w:ascii="Times New Roman" w:hAnsi="Times New Roman" w:cs="Times New Roman"/>
                <w:szCs w:val="21"/>
              </w:rPr>
              <w:t>。</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sym w:font="Wingdings" w:char="F082"/>
            </w:r>
            <w:r>
              <w:rPr>
                <w:rFonts w:ascii="Times New Roman" w:hAnsi="Times New Roman" w:cs="Times New Roman"/>
                <w:sz w:val="24"/>
              </w:rPr>
              <w:t>评价等级判别表</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评价等级按下表的分级判据进行划分：</w:t>
            </w:r>
          </w:p>
          <w:p>
            <w:pPr>
              <w:jc w:val="center"/>
              <w:rPr>
                <w:rFonts w:ascii="Times New Roman" w:hAnsi="Times New Roman" w:cs="Times New Roman"/>
                <w:b/>
                <w:sz w:val="24"/>
              </w:rPr>
            </w:pPr>
            <w:r>
              <w:rPr>
                <w:rFonts w:ascii="Times New Roman" w:hAnsi="Times New Roman" w:cs="Times New Roman"/>
                <w:b/>
                <w:sz w:val="24"/>
              </w:rPr>
              <w:t>表7-6  评价等级判别表</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31"/>
              <w:gridCol w:w="43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1" w:type="dxa"/>
                </w:tcPr>
                <w:p>
                  <w:pPr>
                    <w:jc w:val="center"/>
                    <w:rPr>
                      <w:rFonts w:ascii="Times New Roman" w:hAnsi="Times New Roman" w:cs="Times New Roman"/>
                      <w:b/>
                      <w:bCs/>
                      <w:szCs w:val="21"/>
                    </w:rPr>
                  </w:pPr>
                  <w:r>
                    <w:rPr>
                      <w:rFonts w:ascii="Times New Roman" w:hAnsi="Times New Roman" w:cs="Times New Roman"/>
                      <w:b/>
                      <w:bCs/>
                      <w:szCs w:val="21"/>
                    </w:rPr>
                    <w:t>评价工作等级</w:t>
                  </w:r>
                </w:p>
              </w:tc>
              <w:tc>
                <w:tcPr>
                  <w:tcW w:w="4380" w:type="dxa"/>
                </w:tcPr>
                <w:p>
                  <w:pPr>
                    <w:jc w:val="center"/>
                    <w:rPr>
                      <w:rFonts w:ascii="Times New Roman" w:hAnsi="Times New Roman" w:cs="Times New Roman"/>
                      <w:b/>
                      <w:bCs/>
                      <w:szCs w:val="21"/>
                    </w:rPr>
                  </w:pPr>
                  <w:r>
                    <w:rPr>
                      <w:rFonts w:ascii="Times New Roman" w:hAnsi="Times New Roman" w:cs="Times New Roman"/>
                      <w:b/>
                      <w:bCs/>
                      <w:szCs w:val="21"/>
                    </w:rPr>
                    <w:t>评价工作分级判据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1" w:type="dxa"/>
                </w:tcPr>
                <w:p>
                  <w:pPr>
                    <w:jc w:val="center"/>
                    <w:rPr>
                      <w:rFonts w:ascii="Times New Roman" w:hAnsi="Times New Roman" w:cs="Times New Roman"/>
                      <w:szCs w:val="21"/>
                    </w:rPr>
                  </w:pPr>
                  <w:r>
                    <w:rPr>
                      <w:rFonts w:ascii="Times New Roman" w:hAnsi="Times New Roman" w:cs="Times New Roman"/>
                      <w:szCs w:val="21"/>
                    </w:rPr>
                    <w:t>一级评价</w:t>
                  </w:r>
                </w:p>
              </w:tc>
              <w:tc>
                <w:tcPr>
                  <w:tcW w:w="4380" w:type="dxa"/>
                </w:tcPr>
                <w:p>
                  <w:pPr>
                    <w:jc w:val="center"/>
                    <w:rPr>
                      <w:rFonts w:ascii="Times New Roman" w:hAnsi="Times New Roman" w:cs="Times New Roman"/>
                      <w:szCs w:val="21"/>
                    </w:rPr>
                  </w:pPr>
                  <w:r>
                    <w:rPr>
                      <w:rFonts w:ascii="Times New Roman" w:hAnsi="Times New Roman" w:cs="Times New Roman"/>
                      <w:sz w:val="24"/>
                    </w:rPr>
                    <w:t xml:space="preserve">P </w:t>
                  </w:r>
                  <w:r>
                    <w:rPr>
                      <w:rFonts w:ascii="Times New Roman" w:hAnsi="Times New Roman" w:cs="Times New Roman"/>
                      <w:sz w:val="24"/>
                      <w:vertAlign w:val="subscript"/>
                    </w:rPr>
                    <w:t>max</w:t>
                  </w:r>
                  <w:r>
                    <w:rPr>
                      <w:rFonts w:ascii="Times New Roman" w:hAnsi="Times New Roman" w:cs="Times New Roman"/>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1" w:type="dxa"/>
                </w:tcPr>
                <w:p>
                  <w:pPr>
                    <w:jc w:val="center"/>
                    <w:rPr>
                      <w:rFonts w:ascii="Times New Roman" w:hAnsi="Times New Roman" w:cs="Times New Roman"/>
                      <w:szCs w:val="21"/>
                    </w:rPr>
                  </w:pPr>
                  <w:r>
                    <w:rPr>
                      <w:rFonts w:ascii="Times New Roman" w:hAnsi="Times New Roman" w:cs="Times New Roman"/>
                      <w:szCs w:val="21"/>
                    </w:rPr>
                    <w:t>二级评价</w:t>
                  </w:r>
                </w:p>
              </w:tc>
              <w:tc>
                <w:tcPr>
                  <w:tcW w:w="4380" w:type="dxa"/>
                </w:tcPr>
                <w:p>
                  <w:pPr>
                    <w:jc w:val="center"/>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 w:val="24"/>
                    </w:rPr>
                    <w:t xml:space="preserve">P </w:t>
                  </w:r>
                  <w:r>
                    <w:rPr>
                      <w:rFonts w:ascii="Times New Roman" w:hAnsi="Times New Roman" w:cs="Times New Roman"/>
                      <w:sz w:val="24"/>
                      <w:vertAlign w:val="subscript"/>
                    </w:rPr>
                    <w:t>max</w:t>
                  </w:r>
                  <w:r>
                    <w:rPr>
                      <w:rFonts w:ascii="Times New Roman" w:hAnsi="Times New Roman" w:cs="Times New Roman"/>
                      <w:szCs w:val="21"/>
                    </w:rPr>
                    <w:t>&lt;10%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1" w:type="dxa"/>
                </w:tcPr>
                <w:p>
                  <w:pPr>
                    <w:jc w:val="center"/>
                    <w:rPr>
                      <w:rFonts w:ascii="Times New Roman" w:hAnsi="Times New Roman" w:cs="Times New Roman"/>
                      <w:szCs w:val="21"/>
                    </w:rPr>
                  </w:pPr>
                  <w:r>
                    <w:rPr>
                      <w:rFonts w:ascii="Times New Roman" w:hAnsi="Times New Roman" w:cs="Times New Roman"/>
                      <w:szCs w:val="21"/>
                    </w:rPr>
                    <w:t>三级评价</w:t>
                  </w:r>
                </w:p>
              </w:tc>
              <w:tc>
                <w:tcPr>
                  <w:tcW w:w="4380" w:type="dxa"/>
                </w:tcPr>
                <w:p>
                  <w:pPr>
                    <w:jc w:val="center"/>
                    <w:rPr>
                      <w:rFonts w:ascii="Times New Roman" w:hAnsi="Times New Roman" w:cs="Times New Roman"/>
                      <w:szCs w:val="21"/>
                    </w:rPr>
                  </w:pPr>
                  <w:r>
                    <w:rPr>
                      <w:rFonts w:ascii="Times New Roman" w:hAnsi="Times New Roman" w:cs="Times New Roman"/>
                      <w:szCs w:val="21"/>
                    </w:rPr>
                    <w:t>&lt;1%</w:t>
                  </w:r>
                </w:p>
              </w:tc>
            </w:tr>
          </w:tbl>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（2）污染源参数</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根据工程分析结果，本项目废气的排放情况见表7-7。</w:t>
            </w:r>
          </w:p>
          <w:p>
            <w:pPr>
              <w:jc w:val="center"/>
              <w:rPr>
                <w:rFonts w:ascii="Times New Roman" w:hAnsi="Times New Roman" w:cs="Times New Roman"/>
                <w:b/>
                <w:sz w:val="24"/>
              </w:rPr>
            </w:pPr>
            <w:r>
              <w:rPr>
                <w:rFonts w:ascii="Times New Roman" w:hAnsi="Times New Roman" w:cs="Times New Roman"/>
                <w:b/>
                <w:sz w:val="24"/>
              </w:rPr>
              <w:t>表7-7  主要面源参数表</w:t>
            </w:r>
          </w:p>
          <w:tbl>
            <w:tblPr>
              <w:tblStyle w:val="36"/>
              <w:tblpPr w:leftFromText="180" w:rightFromText="180" w:vertAnchor="text" w:horzAnchor="page" w:tblpXSpec="center" w:tblpY="162"/>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9"/>
              <w:gridCol w:w="536"/>
              <w:gridCol w:w="442"/>
              <w:gridCol w:w="469"/>
              <w:gridCol w:w="607"/>
              <w:gridCol w:w="540"/>
              <w:gridCol w:w="554"/>
              <w:gridCol w:w="674"/>
              <w:gridCol w:w="732"/>
              <w:gridCol w:w="687"/>
              <w:gridCol w:w="560"/>
              <w:gridCol w:w="1410"/>
              <w:gridCol w:w="1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 w:hRule="atLeast"/>
                <w:jc w:val="center"/>
              </w:trPr>
              <w:tc>
                <w:tcPr>
                  <w:tcW w:w="242" w:type="pct"/>
                  <w:vMerge w:val="restart"/>
                  <w:vAlign w:val="center"/>
                </w:tcPr>
                <w:p>
                  <w:pPr>
                    <w:widowControl/>
                    <w:jc w:val="left"/>
                    <w:textAlignment w:val="center"/>
                    <w:rPr>
                      <w:rFonts w:ascii="Times New Roman" w:hAnsi="Times New Roman" w:cs="Times New Roman"/>
                      <w:b/>
                      <w:bCs/>
                      <w:szCs w:val="21"/>
                    </w:rPr>
                  </w:pPr>
                  <w:r>
                    <w:rPr>
                      <w:rFonts w:ascii="Times New Roman" w:hAnsi="Times New Roman" w:cs="Times New Roman"/>
                      <w:b/>
                      <w:bCs/>
                      <w:szCs w:val="21"/>
                    </w:rPr>
                    <w:t>编号</w:t>
                  </w:r>
                </w:p>
              </w:tc>
              <w:tc>
                <w:tcPr>
                  <w:tcW w:w="296" w:type="pct"/>
                  <w:vMerge w:val="restar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名称</w:t>
                  </w:r>
                </w:p>
              </w:tc>
              <w:tc>
                <w:tcPr>
                  <w:tcW w:w="503" w:type="pct"/>
                  <w:gridSpan w:val="2"/>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面源起点坐标/m</w:t>
                  </w:r>
                </w:p>
              </w:tc>
              <w:tc>
                <w:tcPr>
                  <w:tcW w:w="335" w:type="pct"/>
                  <w:vMerge w:val="restar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面源海拔高度/m</w:t>
                  </w:r>
                </w:p>
              </w:tc>
              <w:tc>
                <w:tcPr>
                  <w:tcW w:w="298" w:type="pct"/>
                  <w:vMerge w:val="restar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面源长度/m</w:t>
                  </w:r>
                </w:p>
              </w:tc>
              <w:tc>
                <w:tcPr>
                  <w:tcW w:w="306" w:type="pct"/>
                  <w:vMerge w:val="restar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面源宽度/m</w:t>
                  </w:r>
                </w:p>
              </w:tc>
              <w:tc>
                <w:tcPr>
                  <w:tcW w:w="372" w:type="pct"/>
                  <w:vMerge w:val="restar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与正北向夹角/°</w:t>
                  </w:r>
                </w:p>
              </w:tc>
              <w:tc>
                <w:tcPr>
                  <w:tcW w:w="404" w:type="pct"/>
                  <w:vMerge w:val="restar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面源有效排放高度/m</w:t>
                  </w:r>
                </w:p>
              </w:tc>
              <w:tc>
                <w:tcPr>
                  <w:tcW w:w="379" w:type="pct"/>
                  <w:vMerge w:val="restar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年排放小时数/h</w:t>
                  </w:r>
                </w:p>
              </w:tc>
              <w:tc>
                <w:tcPr>
                  <w:tcW w:w="309" w:type="pct"/>
                  <w:vMerge w:val="restar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排放工况</w:t>
                  </w:r>
                </w:p>
              </w:tc>
              <w:tc>
                <w:tcPr>
                  <w:tcW w:w="1555" w:type="pct"/>
                  <w:gridSpan w:val="2"/>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污染物排放速率/（kg/h）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2" w:type="pct"/>
                  <w:vMerge w:val="continue"/>
                  <w:vAlign w:val="center"/>
                </w:tcPr>
                <w:p>
                  <w:pPr>
                    <w:widowControl/>
                    <w:jc w:val="center"/>
                    <w:textAlignment w:val="center"/>
                    <w:rPr>
                      <w:rFonts w:ascii="Times New Roman" w:hAnsi="Times New Roman" w:cs="Times New Roman"/>
                      <w:szCs w:val="21"/>
                    </w:rPr>
                  </w:pPr>
                </w:p>
              </w:tc>
              <w:tc>
                <w:tcPr>
                  <w:tcW w:w="296" w:type="pct"/>
                  <w:vMerge w:val="continue"/>
                  <w:vAlign w:val="center"/>
                </w:tcPr>
                <w:p>
                  <w:pPr>
                    <w:widowControl/>
                    <w:jc w:val="center"/>
                    <w:textAlignment w:val="center"/>
                    <w:rPr>
                      <w:rFonts w:ascii="Times New Roman" w:hAnsi="Times New Roman" w:cs="Times New Roman"/>
                      <w:szCs w:val="21"/>
                    </w:rPr>
                  </w:pPr>
                </w:p>
              </w:tc>
              <w:tc>
                <w:tcPr>
                  <w:tcW w:w="244" w:type="pc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X</w:t>
                  </w:r>
                </w:p>
              </w:tc>
              <w:tc>
                <w:tcPr>
                  <w:tcW w:w="259" w:type="pct"/>
                  <w:vAlign w:val="center"/>
                </w:tcPr>
                <w:p>
                  <w:pPr>
                    <w:widowControl/>
                    <w:jc w:val="center"/>
                    <w:textAlignment w:val="center"/>
                    <w:rPr>
                      <w:rFonts w:ascii="Times New Roman" w:hAnsi="Times New Roman" w:cs="Times New Roman"/>
                      <w:b/>
                      <w:bCs/>
                      <w:szCs w:val="21"/>
                    </w:rPr>
                  </w:pPr>
                  <w:r>
                    <w:rPr>
                      <w:rFonts w:ascii="Times New Roman" w:hAnsi="Times New Roman" w:cs="Times New Roman"/>
                      <w:b/>
                      <w:bCs/>
                      <w:szCs w:val="21"/>
                    </w:rPr>
                    <w:t>Y</w:t>
                  </w:r>
                </w:p>
              </w:tc>
              <w:tc>
                <w:tcPr>
                  <w:tcW w:w="335" w:type="pct"/>
                  <w:vMerge w:val="continue"/>
                  <w:vAlign w:val="center"/>
                </w:tcPr>
                <w:p>
                  <w:pPr>
                    <w:widowControl/>
                    <w:jc w:val="center"/>
                    <w:textAlignment w:val="center"/>
                    <w:rPr>
                      <w:rFonts w:ascii="Times New Roman" w:hAnsi="Times New Roman" w:cs="Times New Roman"/>
                      <w:szCs w:val="21"/>
                    </w:rPr>
                  </w:pPr>
                </w:p>
              </w:tc>
              <w:tc>
                <w:tcPr>
                  <w:tcW w:w="298" w:type="pct"/>
                  <w:vMerge w:val="continue"/>
                  <w:vAlign w:val="center"/>
                </w:tcPr>
                <w:p>
                  <w:pPr>
                    <w:widowControl/>
                    <w:jc w:val="center"/>
                    <w:textAlignment w:val="center"/>
                    <w:rPr>
                      <w:rFonts w:ascii="Times New Roman" w:hAnsi="Times New Roman" w:cs="Times New Roman"/>
                      <w:szCs w:val="21"/>
                    </w:rPr>
                  </w:pPr>
                </w:p>
              </w:tc>
              <w:tc>
                <w:tcPr>
                  <w:tcW w:w="306" w:type="pct"/>
                  <w:vMerge w:val="continue"/>
                  <w:vAlign w:val="center"/>
                </w:tcPr>
                <w:p>
                  <w:pPr>
                    <w:widowControl/>
                    <w:jc w:val="center"/>
                    <w:textAlignment w:val="center"/>
                    <w:rPr>
                      <w:rFonts w:ascii="Times New Roman" w:hAnsi="Times New Roman" w:cs="Times New Roman"/>
                      <w:szCs w:val="21"/>
                    </w:rPr>
                  </w:pPr>
                </w:p>
              </w:tc>
              <w:tc>
                <w:tcPr>
                  <w:tcW w:w="372" w:type="pct"/>
                  <w:vMerge w:val="continue"/>
                  <w:vAlign w:val="center"/>
                </w:tcPr>
                <w:p>
                  <w:pPr>
                    <w:widowControl/>
                    <w:jc w:val="center"/>
                    <w:textAlignment w:val="center"/>
                    <w:rPr>
                      <w:rFonts w:ascii="Times New Roman" w:hAnsi="Times New Roman" w:cs="Times New Roman"/>
                      <w:szCs w:val="21"/>
                    </w:rPr>
                  </w:pPr>
                </w:p>
              </w:tc>
              <w:tc>
                <w:tcPr>
                  <w:tcW w:w="404" w:type="pct"/>
                  <w:vMerge w:val="continue"/>
                  <w:vAlign w:val="center"/>
                </w:tcPr>
                <w:p>
                  <w:pPr>
                    <w:widowControl/>
                    <w:jc w:val="center"/>
                    <w:textAlignment w:val="center"/>
                    <w:rPr>
                      <w:rFonts w:ascii="Times New Roman" w:hAnsi="Times New Roman" w:cs="Times New Roman"/>
                      <w:szCs w:val="21"/>
                    </w:rPr>
                  </w:pPr>
                </w:p>
              </w:tc>
              <w:tc>
                <w:tcPr>
                  <w:tcW w:w="379" w:type="pct"/>
                  <w:vMerge w:val="continue"/>
                  <w:vAlign w:val="center"/>
                </w:tcPr>
                <w:p>
                  <w:pPr>
                    <w:widowControl/>
                    <w:jc w:val="center"/>
                    <w:textAlignment w:val="center"/>
                    <w:rPr>
                      <w:rFonts w:ascii="Times New Roman" w:hAnsi="Times New Roman" w:cs="Times New Roman"/>
                      <w:szCs w:val="21"/>
                    </w:rPr>
                  </w:pPr>
                </w:p>
              </w:tc>
              <w:tc>
                <w:tcPr>
                  <w:tcW w:w="309" w:type="pct"/>
                  <w:vMerge w:val="continue"/>
                  <w:vAlign w:val="center"/>
                </w:tcPr>
                <w:p>
                  <w:pPr>
                    <w:widowControl/>
                    <w:jc w:val="center"/>
                    <w:textAlignment w:val="center"/>
                    <w:rPr>
                      <w:rFonts w:ascii="Times New Roman" w:hAnsi="Times New Roman" w:cs="Times New Roman"/>
                      <w:szCs w:val="21"/>
                    </w:rPr>
                  </w:pPr>
                </w:p>
              </w:tc>
              <w:tc>
                <w:tcPr>
                  <w:tcW w:w="778"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非甲烷总烃</w:t>
                  </w:r>
                </w:p>
              </w:tc>
              <w:tc>
                <w:tcPr>
                  <w:tcW w:w="778"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颗粒物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242"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w:t>
                  </w:r>
                </w:p>
              </w:tc>
              <w:tc>
                <w:tcPr>
                  <w:tcW w:w="29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生产车间</w:t>
                  </w:r>
                </w:p>
              </w:tc>
              <w:tc>
                <w:tcPr>
                  <w:tcW w:w="244"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w:t>
                  </w:r>
                </w:p>
              </w:tc>
              <w:tc>
                <w:tcPr>
                  <w:tcW w:w="259"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w:t>
                  </w:r>
                </w:p>
              </w:tc>
              <w:tc>
                <w:tcPr>
                  <w:tcW w:w="335"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w:t>
                  </w:r>
                </w:p>
              </w:tc>
              <w:tc>
                <w:tcPr>
                  <w:tcW w:w="298"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50</w:t>
                  </w:r>
                </w:p>
              </w:tc>
              <w:tc>
                <w:tcPr>
                  <w:tcW w:w="30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16</w:t>
                  </w:r>
                </w:p>
              </w:tc>
              <w:tc>
                <w:tcPr>
                  <w:tcW w:w="372"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-85</w:t>
                  </w:r>
                </w:p>
              </w:tc>
              <w:tc>
                <w:tcPr>
                  <w:tcW w:w="404"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7</w:t>
                  </w:r>
                </w:p>
              </w:tc>
              <w:tc>
                <w:tcPr>
                  <w:tcW w:w="379"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2400</w:t>
                  </w:r>
                </w:p>
              </w:tc>
              <w:tc>
                <w:tcPr>
                  <w:tcW w:w="309"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正常</w:t>
                  </w:r>
                </w:p>
              </w:tc>
              <w:tc>
                <w:tcPr>
                  <w:tcW w:w="778" w:type="pct"/>
                  <w:vAlign w:val="center"/>
                </w:tcPr>
                <w:p>
                  <w:pPr>
                    <w:jc w:val="center"/>
                    <w:rPr>
                      <w:rFonts w:ascii="Times New Roman" w:hAnsi="Times New Roman" w:cs="Times New Roman"/>
                      <w:color w:val="000000"/>
                      <w:szCs w:val="21"/>
                    </w:rPr>
                  </w:pPr>
                  <w:r>
                    <w:rPr>
                      <w:rFonts w:ascii="Times New Roman" w:hAnsi="Times New Roman" w:cs="Times New Roman"/>
                      <w:szCs w:val="21"/>
                    </w:rPr>
                    <w:t>0.00036</w:t>
                  </w:r>
                </w:p>
              </w:tc>
              <w:tc>
                <w:tcPr>
                  <w:tcW w:w="778" w:type="pct"/>
                  <w:vAlign w:val="center"/>
                </w:tcPr>
                <w:p>
                  <w:pPr>
                    <w:jc w:val="center"/>
                    <w:rPr>
                      <w:rFonts w:ascii="Times New Roman" w:hAnsi="Times New Roman" w:cs="Times New Roman"/>
                      <w:szCs w:val="21"/>
                    </w:rPr>
                  </w:pPr>
                  <w:r>
                    <w:rPr>
                      <w:rFonts w:ascii="Times New Roman" w:hAnsi="Times New Roman" w:cs="Times New Roman"/>
                      <w:szCs w:val="21"/>
                    </w:rPr>
                    <w:t>0.00205</w:t>
                  </w:r>
                </w:p>
              </w:tc>
            </w:tr>
          </w:tbl>
          <w:p>
            <w:pPr>
              <w:spacing w:line="360" w:lineRule="auto"/>
              <w:ind w:firstLine="480" w:firstLineChars="200"/>
              <w:jc w:val="left"/>
              <w:rPr>
                <w:rFonts w:ascii="Times New Roman" w:hAnsi="Times New Roman" w:cs="Times New Roman"/>
                <w:snapToGrid w:val="0"/>
                <w:sz w:val="24"/>
              </w:rPr>
            </w:pPr>
            <w:r>
              <w:rPr>
                <w:rFonts w:ascii="Times New Roman" w:hAnsi="Times New Roman" w:cs="Times New Roman"/>
                <w:snapToGrid w:val="0"/>
                <w:sz w:val="24"/>
              </w:rPr>
              <w:t>（3）项目参数</w:t>
            </w:r>
          </w:p>
          <w:p>
            <w:pPr>
              <w:spacing w:line="360" w:lineRule="auto"/>
              <w:ind w:firstLine="480" w:firstLineChars="200"/>
              <w:jc w:val="left"/>
              <w:rPr>
                <w:rFonts w:ascii="Times New Roman" w:hAnsi="Times New Roman" w:cs="Times New Roman"/>
                <w:snapToGrid w:val="0"/>
                <w:sz w:val="24"/>
              </w:rPr>
            </w:pPr>
            <w:r>
              <w:rPr>
                <w:rFonts w:ascii="Times New Roman" w:hAnsi="Times New Roman" w:cs="Times New Roman"/>
                <w:snapToGrid w:val="0"/>
                <w:sz w:val="24"/>
              </w:rPr>
              <w:t>估算模式所用参数见表7-8：</w:t>
            </w:r>
          </w:p>
          <w:p>
            <w:pPr>
              <w:jc w:val="center"/>
              <w:rPr>
                <w:rFonts w:ascii="Times New Roman" w:hAnsi="Times New Roman" w:cs="Times New Roman"/>
                <w:b/>
                <w:sz w:val="24"/>
              </w:rPr>
            </w:pPr>
            <w:r>
              <w:rPr>
                <w:rFonts w:ascii="Times New Roman" w:hAnsi="Times New Roman" w:cs="Times New Roman"/>
                <w:b/>
                <w:sz w:val="24"/>
              </w:rPr>
              <w:t>表7-8  估算模式参数表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38"/>
              <w:gridCol w:w="3030"/>
              <w:gridCol w:w="3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68" w:type="dxa"/>
                  <w:gridSpan w:val="2"/>
                  <w:vAlign w:val="center"/>
                </w:tcPr>
                <w:p>
                  <w:pPr>
                    <w:spacing w:line="240" w:lineRule="atLeast"/>
                    <w:jc w:val="center"/>
                    <w:rPr>
                      <w:rFonts w:ascii="Times New Roman" w:hAnsi="Times New Roman" w:cs="Times New Roman"/>
                      <w:b/>
                      <w:szCs w:val="21"/>
                    </w:rPr>
                  </w:pPr>
                  <w:r>
                    <w:rPr>
                      <w:rFonts w:ascii="Times New Roman" w:hAnsi="Times New Roman" w:cs="Times New Roman"/>
                      <w:b/>
                      <w:szCs w:val="21"/>
                    </w:rPr>
                    <w:t>参数</w:t>
                  </w:r>
                </w:p>
              </w:tc>
              <w:tc>
                <w:tcPr>
                  <w:tcW w:w="3135" w:type="dxa"/>
                  <w:vAlign w:val="center"/>
                </w:tcPr>
                <w:p>
                  <w:pPr>
                    <w:spacing w:line="240" w:lineRule="atLeast"/>
                    <w:jc w:val="center"/>
                    <w:rPr>
                      <w:rFonts w:ascii="Times New Roman" w:hAnsi="Times New Roman" w:cs="Times New Roman"/>
                      <w:b/>
                      <w:szCs w:val="21"/>
                    </w:rPr>
                  </w:pPr>
                  <w:r>
                    <w:rPr>
                      <w:rFonts w:ascii="Times New Roman" w:hAnsi="Times New Roman" w:cs="Times New Roman"/>
                      <w:b/>
                      <w:szCs w:val="21"/>
                    </w:rPr>
                    <w:t>取值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38" w:type="dxa"/>
                  <w:vMerge w:val="restart"/>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城市/农村选项</w:t>
                  </w:r>
                </w:p>
              </w:tc>
              <w:tc>
                <w:tcPr>
                  <w:tcW w:w="3030"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城市/农村</w:t>
                  </w:r>
                </w:p>
              </w:tc>
              <w:tc>
                <w:tcPr>
                  <w:tcW w:w="3135"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城市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38" w:type="dxa"/>
                  <w:vMerge w:val="continue"/>
                  <w:vAlign w:val="center"/>
                </w:tcPr>
                <w:p>
                  <w:pPr>
                    <w:spacing w:line="240" w:lineRule="atLeast"/>
                    <w:jc w:val="center"/>
                    <w:rPr>
                      <w:rFonts w:ascii="Times New Roman" w:hAnsi="Times New Roman" w:cs="Times New Roman"/>
                      <w:bCs/>
                      <w:szCs w:val="21"/>
                    </w:rPr>
                  </w:pPr>
                </w:p>
              </w:tc>
              <w:tc>
                <w:tcPr>
                  <w:tcW w:w="3030"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人口数</w:t>
                  </w:r>
                </w:p>
              </w:tc>
              <w:tc>
                <w:tcPr>
                  <w:tcW w:w="3135"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165万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68" w:type="dxa"/>
                  <w:gridSpan w:val="2"/>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最高环境温度/℃</w:t>
                  </w:r>
                </w:p>
              </w:tc>
              <w:tc>
                <w:tcPr>
                  <w:tcW w:w="3135" w:type="dxa"/>
                  <w:vAlign w:val="center"/>
                </w:tcPr>
                <w:p>
                  <w:pPr>
                    <w:snapToGrid w:val="0"/>
                    <w:spacing w:line="320" w:lineRule="exact"/>
                    <w:jc w:val="center"/>
                    <w:rPr>
                      <w:rFonts w:ascii="Times New Roman" w:hAnsi="Times New Roman" w:cs="Times New Roman"/>
                      <w:bCs/>
                      <w:szCs w:val="21"/>
                    </w:rPr>
                  </w:pPr>
                  <w:r>
                    <w:rPr>
                      <w:rFonts w:ascii="Times New Roman" w:hAnsi="Times New Roman" w:cs="Times New Roman"/>
                      <w:szCs w:val="21"/>
                    </w:rPr>
                    <w:t>38.7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68" w:type="dxa"/>
                  <w:gridSpan w:val="2"/>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最低环境温度/℃</w:t>
                  </w:r>
                </w:p>
              </w:tc>
              <w:tc>
                <w:tcPr>
                  <w:tcW w:w="3135" w:type="dxa"/>
                  <w:vAlign w:val="center"/>
                </w:tcPr>
                <w:p>
                  <w:pPr>
                    <w:snapToGrid w:val="0"/>
                    <w:spacing w:line="320" w:lineRule="exact"/>
                    <w:jc w:val="center"/>
                    <w:rPr>
                      <w:rFonts w:ascii="Times New Roman" w:hAnsi="Times New Roman" w:cs="Times New Roman"/>
                      <w:bCs/>
                      <w:szCs w:val="21"/>
                    </w:rPr>
                  </w:pPr>
                  <w:r>
                    <w:rPr>
                      <w:rFonts w:ascii="Times New Roman" w:hAnsi="Times New Roman" w:cs="Times New Roman"/>
                      <w:szCs w:val="21"/>
                    </w:rPr>
                    <w:t>-11.7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68" w:type="dxa"/>
                  <w:gridSpan w:val="2"/>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土地利用类型</w:t>
                  </w:r>
                </w:p>
              </w:tc>
              <w:tc>
                <w:tcPr>
                  <w:tcW w:w="3135"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城市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668" w:type="dxa"/>
                  <w:gridSpan w:val="2"/>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区域湿度条件</w:t>
                  </w:r>
                </w:p>
              </w:tc>
              <w:tc>
                <w:tcPr>
                  <w:tcW w:w="3135"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潮湿气候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38" w:type="dxa"/>
                  <w:vMerge w:val="restart"/>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是否考虑地形</w:t>
                  </w:r>
                </w:p>
              </w:tc>
              <w:tc>
                <w:tcPr>
                  <w:tcW w:w="3030"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考虑地形</w:t>
                  </w:r>
                </w:p>
              </w:tc>
              <w:tc>
                <w:tcPr>
                  <w:tcW w:w="3135"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38" w:type="dxa"/>
                  <w:vMerge w:val="continue"/>
                  <w:vAlign w:val="center"/>
                </w:tcPr>
                <w:p>
                  <w:pPr>
                    <w:spacing w:line="240" w:lineRule="atLeast"/>
                    <w:jc w:val="center"/>
                    <w:rPr>
                      <w:rFonts w:ascii="Times New Roman" w:hAnsi="Times New Roman" w:cs="Times New Roman"/>
                      <w:bCs/>
                      <w:szCs w:val="21"/>
                    </w:rPr>
                  </w:pPr>
                </w:p>
              </w:tc>
              <w:tc>
                <w:tcPr>
                  <w:tcW w:w="3030"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地形数据分辨率</w:t>
                  </w:r>
                </w:p>
              </w:tc>
              <w:tc>
                <w:tcPr>
                  <w:tcW w:w="3135"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38" w:type="dxa"/>
                  <w:vMerge w:val="restart"/>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是否考虑烟熏</w:t>
                  </w:r>
                </w:p>
              </w:tc>
              <w:tc>
                <w:tcPr>
                  <w:tcW w:w="3030"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考虑岸线烟熏</w:t>
                  </w:r>
                </w:p>
              </w:tc>
              <w:tc>
                <w:tcPr>
                  <w:tcW w:w="3135"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638" w:type="dxa"/>
                  <w:vMerge w:val="continue"/>
                  <w:vAlign w:val="center"/>
                </w:tcPr>
                <w:p>
                  <w:pPr>
                    <w:spacing w:line="240" w:lineRule="atLeast"/>
                    <w:jc w:val="center"/>
                    <w:rPr>
                      <w:rFonts w:ascii="Times New Roman" w:hAnsi="Times New Roman" w:cs="Times New Roman"/>
                      <w:bCs/>
                      <w:szCs w:val="21"/>
                    </w:rPr>
                  </w:pPr>
                </w:p>
              </w:tc>
              <w:tc>
                <w:tcPr>
                  <w:tcW w:w="3030"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岸线距离/km</w:t>
                  </w:r>
                </w:p>
              </w:tc>
              <w:tc>
                <w:tcPr>
                  <w:tcW w:w="3135"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38" w:type="dxa"/>
                  <w:vMerge w:val="continue"/>
                  <w:vAlign w:val="center"/>
                </w:tcPr>
                <w:p>
                  <w:pPr>
                    <w:spacing w:line="240" w:lineRule="atLeast"/>
                    <w:jc w:val="center"/>
                    <w:rPr>
                      <w:rFonts w:ascii="Times New Roman" w:hAnsi="Times New Roman" w:cs="Times New Roman"/>
                      <w:bCs/>
                      <w:szCs w:val="21"/>
                    </w:rPr>
                  </w:pPr>
                </w:p>
              </w:tc>
              <w:tc>
                <w:tcPr>
                  <w:tcW w:w="3030"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岸线方向/°</w:t>
                  </w:r>
                </w:p>
              </w:tc>
              <w:tc>
                <w:tcPr>
                  <w:tcW w:w="3135" w:type="dxa"/>
                  <w:vAlign w:val="center"/>
                </w:tcPr>
                <w:p>
                  <w:pPr>
                    <w:spacing w:line="240" w:lineRule="atLeast"/>
                    <w:jc w:val="center"/>
                    <w:rPr>
                      <w:rFonts w:ascii="Times New Roman" w:hAnsi="Times New Roman" w:cs="Times New Roman"/>
                      <w:bCs/>
                      <w:szCs w:val="21"/>
                    </w:rPr>
                  </w:pPr>
                  <w:r>
                    <w:rPr>
                      <w:rFonts w:ascii="Times New Roman" w:hAnsi="Times New Roman" w:cs="Times New Roman"/>
                      <w:bCs/>
                      <w:szCs w:val="21"/>
                    </w:rPr>
                    <w:t>/</w:t>
                  </w:r>
                </w:p>
              </w:tc>
            </w:tr>
          </w:tbl>
          <w:p>
            <w:pPr>
              <w:spacing w:line="360" w:lineRule="auto"/>
              <w:ind w:firstLine="480" w:firstLineChars="200"/>
              <w:jc w:val="left"/>
              <w:rPr>
                <w:rFonts w:ascii="Times New Roman" w:hAnsi="Times New Roman" w:cs="Times New Roman"/>
                <w:snapToGrid w:val="0"/>
                <w:sz w:val="24"/>
              </w:rPr>
            </w:pPr>
            <w:r>
              <w:rPr>
                <w:rFonts w:ascii="Times New Roman" w:hAnsi="Times New Roman" w:cs="Times New Roman"/>
                <w:snapToGrid w:val="0"/>
                <w:sz w:val="24"/>
              </w:rPr>
              <w:t>（4）评价工作等级确定</w:t>
            </w:r>
          </w:p>
          <w:p>
            <w:pPr>
              <w:spacing w:line="360" w:lineRule="auto"/>
              <w:ind w:firstLine="480" w:firstLineChars="200"/>
              <w:jc w:val="left"/>
              <w:rPr>
                <w:rFonts w:ascii="Times New Roman" w:hAnsi="Times New Roman" w:cs="Times New Roman"/>
                <w:snapToGrid w:val="0"/>
                <w:sz w:val="24"/>
              </w:rPr>
            </w:pPr>
            <w:r>
              <w:rPr>
                <w:rFonts w:ascii="Times New Roman" w:hAnsi="Times New Roman" w:cs="Times New Roman"/>
                <w:snapToGrid w:val="0"/>
                <w:sz w:val="24"/>
              </w:rPr>
              <w:t>本项目所有污染源的正常排放的污染物的P</w:t>
            </w:r>
            <w:r>
              <w:rPr>
                <w:rFonts w:ascii="Times New Roman" w:hAnsi="Times New Roman" w:cs="Times New Roman"/>
                <w:snapToGrid w:val="0"/>
                <w:sz w:val="24"/>
                <w:vertAlign w:val="subscript"/>
              </w:rPr>
              <w:t>max</w:t>
            </w:r>
            <w:r>
              <w:rPr>
                <w:rFonts w:ascii="Times New Roman" w:hAnsi="Times New Roman" w:cs="Times New Roman"/>
                <w:snapToGrid w:val="0"/>
                <w:sz w:val="24"/>
              </w:rPr>
              <w:t>和D</w:t>
            </w:r>
            <w:r>
              <w:rPr>
                <w:rFonts w:ascii="Times New Roman" w:hAnsi="Times New Roman" w:cs="Times New Roman"/>
                <w:snapToGrid w:val="0"/>
                <w:sz w:val="24"/>
                <w:vertAlign w:val="subscript"/>
              </w:rPr>
              <w:t>10%</w:t>
            </w:r>
            <w:r>
              <w:rPr>
                <w:rFonts w:ascii="Times New Roman" w:hAnsi="Times New Roman" w:cs="Times New Roman"/>
                <w:snapToGrid w:val="0"/>
                <w:sz w:val="24"/>
              </w:rPr>
              <w:t>预测结果如下：</w:t>
            </w:r>
          </w:p>
          <w:p>
            <w:pPr>
              <w:jc w:val="center"/>
              <w:rPr>
                <w:rFonts w:ascii="Times New Roman" w:hAnsi="Times New Roman" w:cs="Times New Roman"/>
                <w:b/>
                <w:sz w:val="24"/>
              </w:rPr>
            </w:pPr>
            <w:r>
              <w:rPr>
                <w:rFonts w:ascii="Times New Roman" w:hAnsi="Times New Roman" w:cs="Times New Roman"/>
                <w:b/>
                <w:sz w:val="24"/>
              </w:rPr>
              <w:t>表7-9  废气污染物估算模型计算结果表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1"/>
              <w:gridCol w:w="1761"/>
              <w:gridCol w:w="1765"/>
              <w:gridCol w:w="1763"/>
              <w:gridCol w:w="1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1761" w:type="dxa"/>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污染源</w:t>
                  </w:r>
                </w:p>
              </w:tc>
              <w:tc>
                <w:tcPr>
                  <w:tcW w:w="1761" w:type="dxa"/>
                  <w:vAlign w:val="center"/>
                </w:tcPr>
                <w:p>
                  <w:pPr>
                    <w:jc w:val="center"/>
                    <w:rPr>
                      <w:rFonts w:ascii="Times New Roman" w:hAnsi="Times New Roman" w:cs="Times New Roman"/>
                      <w:b/>
                      <w:bCs/>
                      <w:szCs w:val="21"/>
                    </w:rPr>
                  </w:pPr>
                  <w:r>
                    <w:rPr>
                      <w:rFonts w:ascii="Times New Roman" w:hAnsi="Times New Roman" w:cs="Times New Roman"/>
                      <w:b/>
                      <w:bCs/>
                      <w:szCs w:val="21"/>
                    </w:rPr>
                    <w:t>预测因子</w:t>
                  </w:r>
                </w:p>
              </w:tc>
              <w:tc>
                <w:tcPr>
                  <w:tcW w:w="1765" w:type="dxa"/>
                  <w:vAlign w:val="center"/>
                </w:tcPr>
                <w:p>
                  <w:pPr>
                    <w:spacing w:line="240" w:lineRule="exact"/>
                    <w:jc w:val="center"/>
                    <w:rPr>
                      <w:rFonts w:ascii="Times New Roman" w:hAnsi="Times New Roman" w:cs="Times New Roman"/>
                      <w:b/>
                      <w:bCs/>
                      <w:szCs w:val="21"/>
                    </w:rPr>
                  </w:pPr>
                  <w:r>
                    <w:rPr>
                      <w:rFonts w:ascii="Times New Roman" w:hAnsi="Times New Roman" w:cs="Times New Roman"/>
                      <w:b/>
                      <w:bCs/>
                      <w:szCs w:val="21"/>
                    </w:rPr>
                    <w:t>Cmax（mg/m</w:t>
                  </w:r>
                  <w:r>
                    <w:rPr>
                      <w:rFonts w:ascii="Times New Roman" w:hAnsi="Times New Roman" w:cs="Times New Roman"/>
                      <w:b/>
                      <w:bCs/>
                      <w:szCs w:val="21"/>
                      <w:vertAlign w:val="superscript"/>
                    </w:rPr>
                    <w:t>3</w:t>
                  </w:r>
                  <w:r>
                    <w:rPr>
                      <w:rFonts w:ascii="Times New Roman" w:hAnsi="Times New Roman" w:cs="Times New Roman"/>
                      <w:b/>
                      <w:bCs/>
                      <w:szCs w:val="21"/>
                    </w:rPr>
                    <w:t>）</w:t>
                  </w:r>
                </w:p>
              </w:tc>
              <w:tc>
                <w:tcPr>
                  <w:tcW w:w="1763" w:type="dxa"/>
                  <w:vAlign w:val="center"/>
                </w:tcPr>
                <w:p>
                  <w:pPr>
                    <w:spacing w:line="240" w:lineRule="exact"/>
                    <w:jc w:val="center"/>
                    <w:rPr>
                      <w:rFonts w:ascii="Times New Roman" w:hAnsi="Times New Roman" w:cs="Times New Roman"/>
                      <w:b/>
                      <w:bCs/>
                      <w:szCs w:val="21"/>
                    </w:rPr>
                  </w:pPr>
                  <w:r>
                    <w:rPr>
                      <w:rFonts w:ascii="Times New Roman" w:hAnsi="Times New Roman" w:cs="Times New Roman"/>
                      <w:b/>
                      <w:bCs/>
                      <w:szCs w:val="21"/>
                    </w:rPr>
                    <w:t>占标率（%）</w:t>
                  </w:r>
                </w:p>
              </w:tc>
              <w:tc>
                <w:tcPr>
                  <w:tcW w:w="1764" w:type="dxa"/>
                  <w:vAlign w:val="center"/>
                </w:tcPr>
                <w:p>
                  <w:pPr>
                    <w:spacing w:line="240" w:lineRule="exact"/>
                    <w:jc w:val="center"/>
                    <w:rPr>
                      <w:rFonts w:ascii="Times New Roman" w:hAnsi="Times New Roman" w:cs="Times New Roman"/>
                      <w:b/>
                      <w:bCs/>
                      <w:szCs w:val="21"/>
                    </w:rPr>
                  </w:pPr>
                  <w:r>
                    <w:rPr>
                      <w:rFonts w:ascii="Times New Roman" w:hAnsi="Times New Roman" w:cs="Times New Roman"/>
                      <w:b/>
                      <w:bCs/>
                      <w:szCs w:val="21"/>
                    </w:rPr>
                    <w:t>Dmax（m）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61" w:type="dxa"/>
                  <w:vMerge w:val="restart"/>
                  <w:vAlign w:val="center"/>
                </w:tcPr>
                <w:p>
                  <w:pPr>
                    <w:adjustRightInd w:val="0"/>
                    <w:snapToGrid w:val="0"/>
                    <w:jc w:val="center"/>
                    <w:rPr>
                      <w:rFonts w:ascii="Times New Roman" w:hAnsi="Times New Roman" w:cs="Times New Roman"/>
                      <w:szCs w:val="21"/>
                    </w:rPr>
                  </w:pPr>
                  <w:r>
                    <w:rPr>
                      <w:rFonts w:ascii="Times New Roman" w:hAnsi="Times New Roman" w:cs="Times New Roman"/>
                      <w:bCs/>
                      <w:szCs w:val="21"/>
                    </w:rPr>
                    <w:t>生产车间</w:t>
                  </w:r>
                </w:p>
              </w:tc>
              <w:tc>
                <w:tcPr>
                  <w:tcW w:w="1761"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非甲烷总烃</w:t>
                  </w:r>
                </w:p>
              </w:tc>
              <w:tc>
                <w:tcPr>
                  <w:tcW w:w="1765" w:type="dxa"/>
                  <w:vAlign w:val="center"/>
                </w:tcPr>
                <w:p>
                  <w:pPr>
                    <w:jc w:val="center"/>
                    <w:rPr>
                      <w:rFonts w:ascii="Times New Roman" w:hAnsi="Times New Roman" w:cs="Times New Roman"/>
                      <w:szCs w:val="21"/>
                    </w:rPr>
                  </w:pPr>
                  <w:r>
                    <w:rPr>
                      <w:rFonts w:ascii="Times New Roman" w:hAnsi="Times New Roman" w:cs="Times New Roman"/>
                      <w:szCs w:val="21"/>
                    </w:rPr>
                    <w:t>0.295</w:t>
                  </w:r>
                </w:p>
              </w:tc>
              <w:tc>
                <w:tcPr>
                  <w:tcW w:w="1763" w:type="dxa"/>
                  <w:vAlign w:val="center"/>
                </w:tcPr>
                <w:p>
                  <w:pPr>
                    <w:jc w:val="center"/>
                    <w:rPr>
                      <w:rFonts w:ascii="Times New Roman" w:hAnsi="Times New Roman" w:cs="Times New Roman"/>
                      <w:szCs w:val="21"/>
                    </w:rPr>
                  </w:pPr>
                  <w:r>
                    <w:rPr>
                      <w:rFonts w:ascii="Times New Roman" w:hAnsi="Times New Roman" w:cs="Times New Roman"/>
                      <w:szCs w:val="21"/>
                    </w:rPr>
                    <w:t>0.01</w:t>
                  </w:r>
                </w:p>
              </w:tc>
              <w:tc>
                <w:tcPr>
                  <w:tcW w:w="176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61" w:type="dxa"/>
                  <w:vMerge w:val="continue"/>
                  <w:vAlign w:val="center"/>
                </w:tcPr>
                <w:p>
                  <w:pPr>
                    <w:adjustRightInd w:val="0"/>
                    <w:snapToGrid w:val="0"/>
                    <w:jc w:val="center"/>
                    <w:rPr>
                      <w:rFonts w:ascii="Times New Roman" w:hAnsi="Times New Roman" w:cs="Times New Roman"/>
                      <w:bCs/>
                      <w:szCs w:val="21"/>
                    </w:rPr>
                  </w:pPr>
                </w:p>
              </w:tc>
              <w:tc>
                <w:tcPr>
                  <w:tcW w:w="1761"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颗粒物</w:t>
                  </w:r>
                </w:p>
              </w:tc>
              <w:tc>
                <w:tcPr>
                  <w:tcW w:w="1765" w:type="dxa"/>
                  <w:vAlign w:val="center"/>
                </w:tcPr>
                <w:p>
                  <w:pPr>
                    <w:jc w:val="center"/>
                    <w:rPr>
                      <w:rFonts w:ascii="Times New Roman" w:hAnsi="Times New Roman" w:cs="Times New Roman"/>
                      <w:szCs w:val="21"/>
                    </w:rPr>
                  </w:pPr>
                  <w:r>
                    <w:rPr>
                      <w:rFonts w:ascii="Times New Roman" w:hAnsi="Times New Roman" w:cs="Times New Roman"/>
                      <w:szCs w:val="21"/>
                    </w:rPr>
                    <w:t>1.771</w:t>
                  </w:r>
                </w:p>
              </w:tc>
              <w:tc>
                <w:tcPr>
                  <w:tcW w:w="1763" w:type="dxa"/>
                  <w:vAlign w:val="center"/>
                </w:tcPr>
                <w:p>
                  <w:pPr>
                    <w:jc w:val="center"/>
                    <w:rPr>
                      <w:rFonts w:ascii="Times New Roman" w:hAnsi="Times New Roman" w:cs="Times New Roman"/>
                      <w:szCs w:val="21"/>
                    </w:rPr>
                  </w:pPr>
                  <w:r>
                    <w:rPr>
                      <w:rFonts w:ascii="Times New Roman" w:hAnsi="Times New Roman" w:cs="Times New Roman"/>
                      <w:szCs w:val="21"/>
                    </w:rPr>
                    <w:t>0.39</w:t>
                  </w:r>
                </w:p>
              </w:tc>
              <w:tc>
                <w:tcPr>
                  <w:tcW w:w="176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42</w:t>
                  </w:r>
                </w:p>
              </w:tc>
            </w:tr>
          </w:tbl>
          <w:p>
            <w:pPr>
              <w:spacing w:line="360" w:lineRule="auto"/>
              <w:ind w:firstLine="480" w:firstLineChars="200"/>
              <w:jc w:val="left"/>
              <w:rPr>
                <w:rFonts w:ascii="Times New Roman" w:hAnsi="Times New Roman" w:cs="Times New Roman"/>
                <w:snapToGrid w:val="0"/>
                <w:sz w:val="24"/>
              </w:rPr>
            </w:pPr>
            <w:r>
              <w:rPr>
                <w:rFonts w:ascii="Times New Roman" w:hAnsi="Times New Roman" w:cs="Times New Roman"/>
                <w:snapToGrid w:val="0"/>
                <w:sz w:val="24"/>
              </w:rPr>
              <w:t>根据《环境影响评价技术导则 大气环境》（HJ2.2-2018）分级判据，确定本项目大气环境影响评价工作等级为三级。</w:t>
            </w:r>
          </w:p>
          <w:p>
            <w:pPr>
              <w:spacing w:line="360" w:lineRule="auto"/>
              <w:ind w:firstLine="480" w:firstLineChars="200"/>
              <w:jc w:val="left"/>
              <w:rPr>
                <w:rFonts w:ascii="Times New Roman" w:hAnsi="Times New Roman" w:cs="Times New Roman"/>
                <w:snapToGrid w:val="0"/>
                <w:sz w:val="24"/>
              </w:rPr>
            </w:pPr>
            <w:r>
              <w:rPr>
                <w:rFonts w:ascii="Times New Roman" w:hAnsi="Times New Roman" w:cs="Times New Roman"/>
                <w:snapToGrid w:val="0"/>
                <w:sz w:val="24"/>
              </w:rPr>
              <w:t>（5）大气卫生防护距离</w:t>
            </w:r>
          </w:p>
          <w:p>
            <w:pPr>
              <w:adjustRightInd w:val="0"/>
              <w:snapToGrid w:val="0"/>
              <w:spacing w:line="360" w:lineRule="auto"/>
              <w:ind w:firstLine="480" w:firstLineChars="200"/>
              <w:rPr>
                <w:rFonts w:ascii="Times New Roman" w:hAnsi="Times New Roman" w:cs="Times New Roman"/>
                <w:snapToGrid w:val="0"/>
                <w:sz w:val="24"/>
              </w:rPr>
            </w:pPr>
            <w:r>
              <w:rPr>
                <w:rFonts w:ascii="Times New Roman" w:hAnsi="Times New Roman" w:cs="Times New Roman"/>
                <w:sz w:val="24"/>
              </w:rPr>
              <w:t>根据《制定地方大气污染物排放标准的技术方法》(GB/T13201-91)规定，无组织排放有害气体的生产单元(贮罐区、车间或工段)与居住区之间应设置卫生防护距离。</w:t>
            </w:r>
            <w:r>
              <w:rPr>
                <w:rFonts w:ascii="Times New Roman" w:hAnsi="Times New Roman" w:cs="Times New Roman"/>
                <w:snapToGrid w:val="0"/>
                <w:sz w:val="24"/>
              </w:rPr>
              <w:t>卫生防护距离计算系数根据当地平均风速和项目大气污染源构成状况类比，A、B、C、D取值分别为470、0.021、1.85、0.84。</w:t>
            </w:r>
          </w:p>
          <w:p>
            <w:pPr>
              <w:adjustRightInd w:val="0"/>
              <w:snapToGrid w:val="0"/>
              <w:jc w:val="center"/>
              <w:rPr>
                <w:rFonts w:ascii="Times New Roman" w:hAnsi="Times New Roman" w:cs="Times New Roman"/>
                <w:b/>
                <w:sz w:val="24"/>
              </w:rPr>
            </w:pPr>
            <w:r>
              <w:rPr>
                <w:rFonts w:ascii="Times New Roman" w:hAnsi="Times New Roman" w:cs="Times New Roman"/>
                <w:b/>
                <w:sz w:val="24"/>
              </w:rPr>
              <w:t>表7-11  卫生防护距离计算系数表</w:t>
            </w:r>
          </w:p>
          <w:tbl>
            <w:tblPr>
              <w:tblStyle w:val="36"/>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818"/>
              <w:gridCol w:w="975"/>
              <w:gridCol w:w="816"/>
              <w:gridCol w:w="834"/>
              <w:gridCol w:w="794"/>
              <w:gridCol w:w="674"/>
              <w:gridCol w:w="816"/>
              <w:gridCol w:w="750"/>
              <w:gridCol w:w="749"/>
              <w:gridCol w:w="752"/>
              <w:gridCol w:w="88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00" w:hRule="atLeast"/>
                <w:tblHeader/>
                <w:jc w:val="center"/>
              </w:trPr>
              <w:tc>
                <w:tcPr>
                  <w:tcW w:w="818" w:type="dxa"/>
                  <w:vMerge w:val="restart"/>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计算系数</w:t>
                  </w:r>
                </w:p>
              </w:tc>
              <w:tc>
                <w:tcPr>
                  <w:tcW w:w="975" w:type="dxa"/>
                  <w:vMerge w:val="restart"/>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5年平均风速(m/s)</w:t>
                  </w:r>
                </w:p>
              </w:tc>
              <w:tc>
                <w:tcPr>
                  <w:tcW w:w="7067" w:type="dxa"/>
                  <w:gridSpan w:val="9"/>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卫生防护距离L(m)</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00" w:hRule="atLeast"/>
                <w:tblHeader/>
                <w:jc w:val="center"/>
              </w:trPr>
              <w:tc>
                <w:tcPr>
                  <w:tcW w:w="818" w:type="dxa"/>
                  <w:vMerge w:val="continue"/>
                  <w:vAlign w:val="center"/>
                </w:tcPr>
                <w:p>
                  <w:pPr>
                    <w:adjustRightInd w:val="0"/>
                    <w:snapToGrid w:val="0"/>
                    <w:jc w:val="center"/>
                    <w:rPr>
                      <w:rFonts w:ascii="Times New Roman" w:hAnsi="Times New Roman" w:cs="Times New Roman"/>
                      <w:bCs/>
                      <w:szCs w:val="21"/>
                    </w:rPr>
                  </w:pPr>
                </w:p>
              </w:tc>
              <w:tc>
                <w:tcPr>
                  <w:tcW w:w="975" w:type="dxa"/>
                  <w:vMerge w:val="continue"/>
                  <w:vAlign w:val="center"/>
                </w:tcPr>
                <w:p>
                  <w:pPr>
                    <w:adjustRightInd w:val="0"/>
                    <w:snapToGrid w:val="0"/>
                    <w:jc w:val="center"/>
                    <w:rPr>
                      <w:rFonts w:ascii="Times New Roman" w:hAnsi="Times New Roman" w:cs="Times New Roman"/>
                      <w:bCs/>
                      <w:szCs w:val="21"/>
                    </w:rPr>
                  </w:pPr>
                </w:p>
              </w:tc>
              <w:tc>
                <w:tcPr>
                  <w:tcW w:w="2444" w:type="dxa"/>
                  <w:gridSpan w:val="3"/>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L≤1000</w:t>
                  </w:r>
                </w:p>
              </w:tc>
              <w:tc>
                <w:tcPr>
                  <w:tcW w:w="2240" w:type="dxa"/>
                  <w:gridSpan w:val="3"/>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1000</w:t>
                  </w:r>
                  <w:r>
                    <w:rPr>
                      <w:rFonts w:ascii="Times New Roman" w:hAnsi="Times New Roman" w:cs="Times New Roman"/>
                      <w:bCs/>
                      <w:szCs w:val="21"/>
                      <w:lang w:val="en-GB"/>
                    </w:rPr>
                    <w:t>＜</w:t>
                  </w:r>
                  <w:r>
                    <w:rPr>
                      <w:rFonts w:ascii="Times New Roman" w:hAnsi="Times New Roman" w:cs="Times New Roman"/>
                      <w:bCs/>
                      <w:szCs w:val="21"/>
                    </w:rPr>
                    <w:t>L≤2000</w:t>
                  </w:r>
                </w:p>
              </w:tc>
              <w:tc>
                <w:tcPr>
                  <w:tcW w:w="2383" w:type="dxa"/>
                  <w:gridSpan w:val="3"/>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L＞2000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00" w:hRule="atLeast"/>
                <w:tblHeader/>
                <w:jc w:val="center"/>
              </w:trPr>
              <w:tc>
                <w:tcPr>
                  <w:tcW w:w="818" w:type="dxa"/>
                  <w:vMerge w:val="continue"/>
                  <w:vAlign w:val="center"/>
                </w:tcPr>
                <w:p>
                  <w:pPr>
                    <w:adjustRightInd w:val="0"/>
                    <w:snapToGrid w:val="0"/>
                    <w:jc w:val="center"/>
                    <w:rPr>
                      <w:rFonts w:ascii="Times New Roman" w:hAnsi="Times New Roman" w:cs="Times New Roman"/>
                      <w:bCs/>
                      <w:szCs w:val="21"/>
                    </w:rPr>
                  </w:pPr>
                </w:p>
              </w:tc>
              <w:tc>
                <w:tcPr>
                  <w:tcW w:w="975" w:type="dxa"/>
                  <w:vMerge w:val="continue"/>
                  <w:vAlign w:val="center"/>
                </w:tcPr>
                <w:p>
                  <w:pPr>
                    <w:adjustRightInd w:val="0"/>
                    <w:snapToGrid w:val="0"/>
                    <w:jc w:val="center"/>
                    <w:rPr>
                      <w:rFonts w:ascii="Times New Roman" w:hAnsi="Times New Roman" w:cs="Times New Roman"/>
                      <w:bCs/>
                      <w:szCs w:val="21"/>
                    </w:rPr>
                  </w:pPr>
                </w:p>
              </w:tc>
              <w:tc>
                <w:tcPr>
                  <w:tcW w:w="7067" w:type="dxa"/>
                  <w:gridSpan w:val="9"/>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工业大气污染源构成类别</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00" w:hRule="atLeast"/>
                <w:tblHeader/>
                <w:jc w:val="center"/>
              </w:trPr>
              <w:tc>
                <w:tcPr>
                  <w:tcW w:w="818" w:type="dxa"/>
                  <w:vMerge w:val="continue"/>
                  <w:vAlign w:val="center"/>
                </w:tcPr>
                <w:p>
                  <w:pPr>
                    <w:adjustRightInd w:val="0"/>
                    <w:snapToGrid w:val="0"/>
                    <w:jc w:val="center"/>
                    <w:rPr>
                      <w:rFonts w:ascii="Times New Roman" w:hAnsi="Times New Roman" w:cs="Times New Roman"/>
                      <w:bCs/>
                      <w:szCs w:val="21"/>
                    </w:rPr>
                  </w:pPr>
                </w:p>
              </w:tc>
              <w:tc>
                <w:tcPr>
                  <w:tcW w:w="975" w:type="dxa"/>
                  <w:vMerge w:val="continue"/>
                  <w:vAlign w:val="center"/>
                </w:tcPr>
                <w:p>
                  <w:pPr>
                    <w:adjustRightInd w:val="0"/>
                    <w:snapToGrid w:val="0"/>
                    <w:jc w:val="center"/>
                    <w:rPr>
                      <w:rFonts w:ascii="Times New Roman" w:hAnsi="Times New Roman" w:cs="Times New Roman"/>
                      <w:bCs/>
                      <w:szCs w:val="21"/>
                    </w:rPr>
                  </w:pPr>
                </w:p>
              </w:tc>
              <w:tc>
                <w:tcPr>
                  <w:tcW w:w="816" w:type="dxa"/>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Ⅰ</w:t>
                  </w:r>
                </w:p>
              </w:tc>
              <w:tc>
                <w:tcPr>
                  <w:tcW w:w="834" w:type="dxa"/>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Ⅱ</w:t>
                  </w:r>
                </w:p>
              </w:tc>
              <w:tc>
                <w:tcPr>
                  <w:tcW w:w="794" w:type="dxa"/>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Ⅲ</w:t>
                  </w:r>
                </w:p>
              </w:tc>
              <w:tc>
                <w:tcPr>
                  <w:tcW w:w="674" w:type="dxa"/>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Ⅰ</w:t>
                  </w:r>
                </w:p>
              </w:tc>
              <w:tc>
                <w:tcPr>
                  <w:tcW w:w="816" w:type="dxa"/>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Ⅱ</w:t>
                  </w:r>
                </w:p>
              </w:tc>
              <w:tc>
                <w:tcPr>
                  <w:tcW w:w="750" w:type="dxa"/>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Ⅲ</w:t>
                  </w:r>
                </w:p>
              </w:tc>
              <w:tc>
                <w:tcPr>
                  <w:tcW w:w="749" w:type="dxa"/>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Ⅰ</w:t>
                  </w:r>
                </w:p>
              </w:tc>
              <w:tc>
                <w:tcPr>
                  <w:tcW w:w="752" w:type="dxa"/>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Ⅱ</w:t>
                  </w:r>
                </w:p>
              </w:tc>
              <w:tc>
                <w:tcPr>
                  <w:tcW w:w="882" w:type="dxa"/>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Ⅲ</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818" w:type="dxa"/>
                  <w:vMerge w:val="restart"/>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A</w:t>
                  </w:r>
                </w:p>
              </w:tc>
              <w:tc>
                <w:tcPr>
                  <w:tcW w:w="975"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lang w:val="en-GB"/>
                    </w:rPr>
                    <w:t>＜</w:t>
                  </w:r>
                  <w:r>
                    <w:rPr>
                      <w:rFonts w:ascii="Times New Roman" w:hAnsi="Times New Roman" w:cs="Times New Roman"/>
                      <w:szCs w:val="21"/>
                    </w:rPr>
                    <w:t>2</w:t>
                  </w:r>
                </w:p>
              </w:tc>
              <w:tc>
                <w:tcPr>
                  <w:tcW w:w="816"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400</w:t>
                  </w:r>
                </w:p>
              </w:tc>
              <w:tc>
                <w:tcPr>
                  <w:tcW w:w="83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400</w:t>
                  </w:r>
                </w:p>
              </w:tc>
              <w:tc>
                <w:tcPr>
                  <w:tcW w:w="79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400</w:t>
                  </w:r>
                </w:p>
              </w:tc>
              <w:tc>
                <w:tcPr>
                  <w:tcW w:w="67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400</w:t>
                  </w:r>
                </w:p>
              </w:tc>
              <w:tc>
                <w:tcPr>
                  <w:tcW w:w="816"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400</w:t>
                  </w:r>
                </w:p>
              </w:tc>
              <w:tc>
                <w:tcPr>
                  <w:tcW w:w="750"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400</w:t>
                  </w:r>
                </w:p>
              </w:tc>
              <w:tc>
                <w:tcPr>
                  <w:tcW w:w="749"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80</w:t>
                  </w:r>
                </w:p>
              </w:tc>
              <w:tc>
                <w:tcPr>
                  <w:tcW w:w="752"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80</w:t>
                  </w:r>
                </w:p>
              </w:tc>
              <w:tc>
                <w:tcPr>
                  <w:tcW w:w="882"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298" w:hRule="atLeast"/>
                <w:jc w:val="center"/>
              </w:trPr>
              <w:tc>
                <w:tcPr>
                  <w:tcW w:w="818" w:type="dxa"/>
                  <w:vMerge w:val="continue"/>
                  <w:shd w:val="clear" w:color="auto" w:fill="auto"/>
                  <w:vAlign w:val="center"/>
                </w:tcPr>
                <w:p>
                  <w:pPr>
                    <w:adjustRightInd w:val="0"/>
                    <w:snapToGrid w:val="0"/>
                    <w:jc w:val="center"/>
                    <w:rPr>
                      <w:rFonts w:ascii="Times New Roman" w:hAnsi="Times New Roman" w:cs="Times New Roman"/>
                      <w:szCs w:val="21"/>
                    </w:rPr>
                  </w:pPr>
                </w:p>
              </w:tc>
              <w:tc>
                <w:tcPr>
                  <w:tcW w:w="975" w:type="dxa"/>
                  <w:shd w:val="clear" w:color="auto" w:fill="auto"/>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2～4</w:t>
                  </w:r>
                </w:p>
              </w:tc>
              <w:tc>
                <w:tcPr>
                  <w:tcW w:w="816" w:type="dxa"/>
                  <w:shd w:val="clear" w:color="auto" w:fill="auto"/>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700</w:t>
                  </w:r>
                </w:p>
              </w:tc>
              <w:tc>
                <w:tcPr>
                  <w:tcW w:w="834" w:type="dxa"/>
                  <w:shd w:val="clear" w:color="auto" w:fill="7F7F7F"/>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shd w:val="clear" w:color="FFFFFF" w:fill="auto"/>
                    </w:rPr>
                    <w:t>470</w:t>
                  </w:r>
                </w:p>
              </w:tc>
              <w:tc>
                <w:tcPr>
                  <w:tcW w:w="79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350</w:t>
                  </w:r>
                </w:p>
              </w:tc>
              <w:tc>
                <w:tcPr>
                  <w:tcW w:w="67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700</w:t>
                  </w:r>
                </w:p>
              </w:tc>
              <w:tc>
                <w:tcPr>
                  <w:tcW w:w="816"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470</w:t>
                  </w:r>
                </w:p>
              </w:tc>
              <w:tc>
                <w:tcPr>
                  <w:tcW w:w="750"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350</w:t>
                  </w:r>
                </w:p>
              </w:tc>
              <w:tc>
                <w:tcPr>
                  <w:tcW w:w="749"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380</w:t>
                  </w:r>
                </w:p>
              </w:tc>
              <w:tc>
                <w:tcPr>
                  <w:tcW w:w="752"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250</w:t>
                  </w:r>
                </w:p>
              </w:tc>
              <w:tc>
                <w:tcPr>
                  <w:tcW w:w="882"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190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Height w:val="300" w:hRule="atLeast"/>
                <w:jc w:val="center"/>
              </w:trPr>
              <w:tc>
                <w:tcPr>
                  <w:tcW w:w="818" w:type="dxa"/>
                  <w:vMerge w:val="continue"/>
                  <w:vAlign w:val="center"/>
                </w:tcPr>
                <w:p>
                  <w:pPr>
                    <w:adjustRightInd w:val="0"/>
                    <w:snapToGrid w:val="0"/>
                    <w:jc w:val="center"/>
                    <w:rPr>
                      <w:rFonts w:ascii="Times New Roman" w:hAnsi="Times New Roman" w:cs="Times New Roman"/>
                      <w:szCs w:val="21"/>
                    </w:rPr>
                  </w:pPr>
                </w:p>
              </w:tc>
              <w:tc>
                <w:tcPr>
                  <w:tcW w:w="975"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lang w:val="en-GB"/>
                    </w:rPr>
                    <w:t>＞</w:t>
                  </w:r>
                  <w:r>
                    <w:rPr>
                      <w:rFonts w:ascii="Times New Roman" w:hAnsi="Times New Roman" w:cs="Times New Roman"/>
                      <w:szCs w:val="21"/>
                    </w:rPr>
                    <w:t>4</w:t>
                  </w:r>
                </w:p>
              </w:tc>
              <w:tc>
                <w:tcPr>
                  <w:tcW w:w="816"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530</w:t>
                  </w:r>
                </w:p>
              </w:tc>
              <w:tc>
                <w:tcPr>
                  <w:tcW w:w="83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350</w:t>
                  </w:r>
                </w:p>
              </w:tc>
              <w:tc>
                <w:tcPr>
                  <w:tcW w:w="79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260</w:t>
                  </w:r>
                </w:p>
              </w:tc>
              <w:tc>
                <w:tcPr>
                  <w:tcW w:w="67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530</w:t>
                  </w:r>
                </w:p>
              </w:tc>
              <w:tc>
                <w:tcPr>
                  <w:tcW w:w="816"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350</w:t>
                  </w:r>
                </w:p>
              </w:tc>
              <w:tc>
                <w:tcPr>
                  <w:tcW w:w="750"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260</w:t>
                  </w:r>
                </w:p>
              </w:tc>
              <w:tc>
                <w:tcPr>
                  <w:tcW w:w="749"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290</w:t>
                  </w:r>
                </w:p>
              </w:tc>
              <w:tc>
                <w:tcPr>
                  <w:tcW w:w="752"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190</w:t>
                  </w:r>
                </w:p>
              </w:tc>
              <w:tc>
                <w:tcPr>
                  <w:tcW w:w="882"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818" w:type="dxa"/>
                  <w:vMerge w:val="restart"/>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B</w:t>
                  </w:r>
                </w:p>
              </w:tc>
              <w:tc>
                <w:tcPr>
                  <w:tcW w:w="975"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lang w:val="en-GB"/>
                    </w:rPr>
                    <w:t>＜</w:t>
                  </w:r>
                  <w:r>
                    <w:rPr>
                      <w:rFonts w:ascii="Times New Roman" w:hAnsi="Times New Roman" w:cs="Times New Roman"/>
                      <w:szCs w:val="21"/>
                    </w:rPr>
                    <w:t>2</w:t>
                  </w:r>
                </w:p>
              </w:tc>
              <w:tc>
                <w:tcPr>
                  <w:tcW w:w="2444"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0.01</w:t>
                  </w:r>
                </w:p>
              </w:tc>
              <w:tc>
                <w:tcPr>
                  <w:tcW w:w="2240"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0.015</w:t>
                  </w:r>
                </w:p>
              </w:tc>
              <w:tc>
                <w:tcPr>
                  <w:tcW w:w="2383"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0.015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818" w:type="dxa"/>
                  <w:vMerge w:val="continue"/>
                  <w:shd w:val="clear" w:color="auto" w:fill="auto"/>
                  <w:vAlign w:val="center"/>
                </w:tcPr>
                <w:p>
                  <w:pPr>
                    <w:adjustRightInd w:val="0"/>
                    <w:snapToGrid w:val="0"/>
                    <w:jc w:val="center"/>
                    <w:rPr>
                      <w:rFonts w:ascii="Times New Roman" w:hAnsi="Times New Roman" w:cs="Times New Roman"/>
                      <w:szCs w:val="21"/>
                    </w:rPr>
                  </w:pPr>
                </w:p>
              </w:tc>
              <w:tc>
                <w:tcPr>
                  <w:tcW w:w="975" w:type="dxa"/>
                  <w:shd w:val="clear" w:color="auto" w:fill="auto"/>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2444" w:type="dxa"/>
                  <w:gridSpan w:val="3"/>
                  <w:shd w:val="clear" w:color="auto" w:fill="C0C0C0"/>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0.021</w:t>
                  </w:r>
                </w:p>
              </w:tc>
              <w:tc>
                <w:tcPr>
                  <w:tcW w:w="2240"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0.036</w:t>
                  </w:r>
                </w:p>
              </w:tc>
              <w:tc>
                <w:tcPr>
                  <w:tcW w:w="2383"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0.036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818" w:type="dxa"/>
                  <w:vMerge w:val="restart"/>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C</w:t>
                  </w:r>
                </w:p>
              </w:tc>
              <w:tc>
                <w:tcPr>
                  <w:tcW w:w="975"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2444"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1.85</w:t>
                  </w:r>
                </w:p>
              </w:tc>
              <w:tc>
                <w:tcPr>
                  <w:tcW w:w="2240"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1.79</w:t>
                  </w:r>
                </w:p>
              </w:tc>
              <w:tc>
                <w:tcPr>
                  <w:tcW w:w="2383"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1.79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818" w:type="dxa"/>
                  <w:vMerge w:val="continue"/>
                  <w:shd w:val="clear" w:color="auto" w:fill="auto"/>
                  <w:vAlign w:val="center"/>
                </w:tcPr>
                <w:p>
                  <w:pPr>
                    <w:adjustRightInd w:val="0"/>
                    <w:snapToGrid w:val="0"/>
                    <w:jc w:val="center"/>
                    <w:rPr>
                      <w:rFonts w:ascii="Times New Roman" w:hAnsi="Times New Roman" w:cs="Times New Roman"/>
                      <w:szCs w:val="21"/>
                    </w:rPr>
                  </w:pPr>
                </w:p>
              </w:tc>
              <w:tc>
                <w:tcPr>
                  <w:tcW w:w="975" w:type="dxa"/>
                  <w:shd w:val="clear" w:color="auto" w:fill="auto"/>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2444" w:type="dxa"/>
                  <w:gridSpan w:val="3"/>
                  <w:shd w:val="clear" w:color="auto" w:fill="C0C0C0"/>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1.85</w:t>
                  </w:r>
                </w:p>
              </w:tc>
              <w:tc>
                <w:tcPr>
                  <w:tcW w:w="2240"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1.77</w:t>
                  </w:r>
                </w:p>
              </w:tc>
              <w:tc>
                <w:tcPr>
                  <w:tcW w:w="2383"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1.77</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00" w:hRule="atLeast"/>
                <w:jc w:val="center"/>
              </w:trPr>
              <w:tc>
                <w:tcPr>
                  <w:tcW w:w="818" w:type="dxa"/>
                  <w:vMerge w:val="restart"/>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D</w:t>
                  </w:r>
                </w:p>
              </w:tc>
              <w:tc>
                <w:tcPr>
                  <w:tcW w:w="975"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2444"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0.78</w:t>
                  </w:r>
                </w:p>
              </w:tc>
              <w:tc>
                <w:tcPr>
                  <w:tcW w:w="2240"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0.78</w:t>
                  </w:r>
                </w:p>
              </w:tc>
              <w:tc>
                <w:tcPr>
                  <w:tcW w:w="2383"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0.57</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29" w:hRule="atLeast"/>
                <w:jc w:val="center"/>
              </w:trPr>
              <w:tc>
                <w:tcPr>
                  <w:tcW w:w="818" w:type="dxa"/>
                  <w:vMerge w:val="continue"/>
                  <w:shd w:val="clear" w:color="auto" w:fill="auto"/>
                  <w:vAlign w:val="center"/>
                </w:tcPr>
                <w:p>
                  <w:pPr>
                    <w:adjustRightInd w:val="0"/>
                    <w:snapToGrid w:val="0"/>
                    <w:jc w:val="center"/>
                    <w:rPr>
                      <w:rFonts w:ascii="Times New Roman" w:hAnsi="Times New Roman" w:cs="Times New Roman"/>
                      <w:szCs w:val="21"/>
                    </w:rPr>
                  </w:pPr>
                </w:p>
              </w:tc>
              <w:tc>
                <w:tcPr>
                  <w:tcW w:w="975" w:type="dxa"/>
                  <w:shd w:val="clear" w:color="auto" w:fill="auto"/>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＞2</w:t>
                  </w:r>
                </w:p>
              </w:tc>
              <w:tc>
                <w:tcPr>
                  <w:tcW w:w="2444" w:type="dxa"/>
                  <w:gridSpan w:val="3"/>
                  <w:shd w:val="clear" w:color="auto" w:fill="C0C0C0"/>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0.84</w:t>
                  </w:r>
                </w:p>
              </w:tc>
              <w:tc>
                <w:tcPr>
                  <w:tcW w:w="2240"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0.84</w:t>
                  </w:r>
                </w:p>
              </w:tc>
              <w:tc>
                <w:tcPr>
                  <w:tcW w:w="2383" w:type="dxa"/>
                  <w:gridSpan w:val="3"/>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0.76</w:t>
                  </w:r>
                </w:p>
              </w:tc>
            </w:tr>
          </w:tbl>
          <w:p>
            <w:pPr>
              <w:adjustRightInd w:val="0"/>
              <w:snapToGrid w:val="0"/>
              <w:spacing w:line="360" w:lineRule="auto"/>
              <w:ind w:firstLine="480" w:firstLineChars="200"/>
              <w:rPr>
                <w:rFonts w:ascii="Times New Roman" w:hAnsi="Times New Roman" w:cs="Times New Roman"/>
                <w:snapToGrid w:val="0"/>
                <w:sz w:val="24"/>
              </w:rPr>
            </w:pPr>
            <w:r>
              <w:rPr>
                <w:rFonts w:ascii="Times New Roman" w:hAnsi="Times New Roman" w:cs="Times New Roman"/>
                <w:snapToGrid w:val="0"/>
                <w:sz w:val="24"/>
              </w:rPr>
              <w:t>卫生防护距离计算系数根据当地平均风速和项目大气污染源构成状况类比，风速取3.7m/s，，非甲烷总烃质量标准为2mg/m</w:t>
            </w:r>
            <w:r>
              <w:rPr>
                <w:rFonts w:ascii="Times New Roman" w:hAnsi="Times New Roman" w:cs="Times New Roman"/>
                <w:snapToGrid w:val="0"/>
                <w:sz w:val="24"/>
                <w:vertAlign w:val="superscript"/>
              </w:rPr>
              <w:t>3</w:t>
            </w:r>
            <w:r>
              <w:rPr>
                <w:rFonts w:ascii="Times New Roman" w:hAnsi="Times New Roman" w:cs="Times New Roman"/>
                <w:snapToGrid w:val="0"/>
                <w:sz w:val="24"/>
              </w:rPr>
              <w:t>，计算结果见表7-12。</w:t>
            </w:r>
          </w:p>
          <w:p>
            <w:pPr>
              <w:jc w:val="center"/>
              <w:rPr>
                <w:rFonts w:ascii="Times New Roman" w:hAnsi="Times New Roman" w:cs="Times New Roman"/>
                <w:b/>
                <w:sz w:val="24"/>
              </w:rPr>
            </w:pPr>
            <w:r>
              <w:rPr>
                <w:rFonts w:ascii="Times New Roman" w:hAnsi="Times New Roman" w:cs="Times New Roman"/>
                <w:b/>
                <w:sz w:val="24"/>
              </w:rPr>
              <w:t>表7-12  卫生防护距离计算一览表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2"/>
              <w:gridCol w:w="1271"/>
              <w:gridCol w:w="1658"/>
              <w:gridCol w:w="1725"/>
              <w:gridCol w:w="1654"/>
              <w:gridCol w:w="1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1062" w:type="dxa"/>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污染源</w:t>
                  </w:r>
                </w:p>
              </w:tc>
              <w:tc>
                <w:tcPr>
                  <w:tcW w:w="1271" w:type="dxa"/>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污染物名称</w:t>
                  </w:r>
                </w:p>
              </w:tc>
              <w:tc>
                <w:tcPr>
                  <w:tcW w:w="1658" w:type="dxa"/>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排放量（kg/h）</w:t>
                  </w:r>
                </w:p>
              </w:tc>
              <w:tc>
                <w:tcPr>
                  <w:tcW w:w="1725" w:type="dxa"/>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面源面积（m</w:t>
                  </w:r>
                  <w:r>
                    <w:rPr>
                      <w:rFonts w:ascii="Times New Roman" w:hAnsi="Times New Roman" w:cs="Times New Roman"/>
                      <w:b/>
                      <w:bCs/>
                      <w:szCs w:val="21"/>
                      <w:vertAlign w:val="superscript"/>
                    </w:rPr>
                    <w:t>2</w:t>
                  </w:r>
                  <w:r>
                    <w:rPr>
                      <w:rFonts w:ascii="Times New Roman" w:hAnsi="Times New Roman" w:cs="Times New Roman"/>
                      <w:b/>
                      <w:bCs/>
                      <w:szCs w:val="21"/>
                    </w:rPr>
                    <w:t>）</w:t>
                  </w:r>
                </w:p>
              </w:tc>
              <w:tc>
                <w:tcPr>
                  <w:tcW w:w="1654" w:type="dxa"/>
                  <w:vAlign w:val="center"/>
                </w:tcPr>
                <w:p>
                  <w:pPr>
                    <w:adjustRightInd w:val="0"/>
                    <w:snapToGrid w:val="0"/>
                    <w:jc w:val="center"/>
                    <w:rPr>
                      <w:rFonts w:ascii="Times New Roman" w:hAnsi="Times New Roman" w:cs="Times New Roman"/>
                      <w:b/>
                      <w:bCs/>
                      <w:szCs w:val="21"/>
                    </w:rPr>
                  </w:pPr>
                  <w:r>
                    <w:rPr>
                      <w:rFonts w:ascii="Times New Roman" w:hAnsi="Times New Roman" w:cs="Times New Roman"/>
                      <w:b/>
                      <w:bCs/>
                      <w:szCs w:val="21"/>
                    </w:rPr>
                    <w:t>面源高度（m）</w:t>
                  </w:r>
                </w:p>
              </w:tc>
              <w:tc>
                <w:tcPr>
                  <w:tcW w:w="1444" w:type="dxa"/>
                  <w:vAlign w:val="center"/>
                </w:tcPr>
                <w:p>
                  <w:pPr>
                    <w:widowControl/>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计算结果</w:t>
                  </w:r>
                  <w:r>
                    <w:rPr>
                      <w:rFonts w:ascii="Times New Roman" w:hAnsi="Times New Roman" w:cs="Times New Roman"/>
                      <w:b/>
                      <w:bCs/>
                      <w:color w:val="000000"/>
                      <w:szCs w:val="21"/>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062" w:type="dxa"/>
                  <w:vMerge w:val="restart"/>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生产车间</w:t>
                  </w:r>
                </w:p>
              </w:tc>
              <w:tc>
                <w:tcPr>
                  <w:tcW w:w="1271"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非甲烷总烃</w:t>
                  </w:r>
                </w:p>
              </w:tc>
              <w:tc>
                <w:tcPr>
                  <w:tcW w:w="1658" w:type="dxa"/>
                  <w:vAlign w:val="center"/>
                </w:tcPr>
                <w:p>
                  <w:pPr>
                    <w:jc w:val="center"/>
                    <w:rPr>
                      <w:rFonts w:ascii="Times New Roman" w:hAnsi="Times New Roman" w:cs="Times New Roman"/>
                    </w:rPr>
                  </w:pPr>
                  <w:r>
                    <w:rPr>
                      <w:rFonts w:ascii="Times New Roman" w:hAnsi="Times New Roman" w:cs="Times New Roman"/>
                    </w:rPr>
                    <w:t>0.00036</w:t>
                  </w:r>
                </w:p>
              </w:tc>
              <w:tc>
                <w:tcPr>
                  <w:tcW w:w="1725"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1120</w:t>
                  </w:r>
                </w:p>
              </w:tc>
              <w:tc>
                <w:tcPr>
                  <w:tcW w:w="165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10</w:t>
                  </w:r>
                </w:p>
              </w:tc>
              <w:tc>
                <w:tcPr>
                  <w:tcW w:w="1444" w:type="dxa"/>
                  <w:vAlign w:val="center"/>
                </w:tcPr>
                <w:p>
                  <w:pPr>
                    <w:adjustRightInd w:val="0"/>
                    <w:snapToGrid w:val="0"/>
                    <w:jc w:val="center"/>
                    <w:rPr>
                      <w:rFonts w:ascii="Times New Roman" w:hAnsi="Times New Roman" w:cs="Times New Roman"/>
                      <w:color w:val="000000"/>
                      <w:szCs w:val="21"/>
                    </w:rPr>
                  </w:pPr>
                  <w:r>
                    <w:rPr>
                      <w:rFonts w:ascii="Times New Roman" w:hAnsi="Times New Roman" w:cs="Times New Roman"/>
                      <w:color w:val="000000"/>
                      <w:szCs w:val="21"/>
                    </w:rPr>
                    <w:t>0.160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1062" w:type="dxa"/>
                  <w:vMerge w:val="continue"/>
                  <w:vAlign w:val="center"/>
                </w:tcPr>
                <w:p>
                  <w:pPr>
                    <w:adjustRightInd w:val="0"/>
                    <w:snapToGrid w:val="0"/>
                    <w:jc w:val="center"/>
                    <w:rPr>
                      <w:rFonts w:ascii="Times New Roman" w:hAnsi="Times New Roman" w:cs="Times New Roman"/>
                      <w:szCs w:val="21"/>
                    </w:rPr>
                  </w:pPr>
                </w:p>
              </w:tc>
              <w:tc>
                <w:tcPr>
                  <w:tcW w:w="1271"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颗粒物</w:t>
                  </w:r>
                </w:p>
              </w:tc>
              <w:tc>
                <w:tcPr>
                  <w:tcW w:w="1658" w:type="dxa"/>
                  <w:vAlign w:val="center"/>
                </w:tcPr>
                <w:p>
                  <w:pPr>
                    <w:jc w:val="center"/>
                    <w:rPr>
                      <w:rFonts w:ascii="Times New Roman" w:hAnsi="Times New Roman" w:cs="Times New Roman"/>
                    </w:rPr>
                  </w:pPr>
                  <w:r>
                    <w:rPr>
                      <w:rFonts w:ascii="Times New Roman" w:hAnsi="Times New Roman" w:cs="Times New Roman"/>
                    </w:rPr>
                    <w:t>0.00205</w:t>
                  </w:r>
                </w:p>
              </w:tc>
              <w:tc>
                <w:tcPr>
                  <w:tcW w:w="1725"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1120</w:t>
                  </w:r>
                </w:p>
              </w:tc>
              <w:tc>
                <w:tcPr>
                  <w:tcW w:w="1654" w:type="dxa"/>
                  <w:vAlign w:val="center"/>
                </w:tcPr>
                <w:p>
                  <w:pPr>
                    <w:adjustRightInd w:val="0"/>
                    <w:snapToGrid w:val="0"/>
                    <w:jc w:val="center"/>
                    <w:rPr>
                      <w:rFonts w:ascii="Times New Roman" w:hAnsi="Times New Roman" w:cs="Times New Roman"/>
                      <w:szCs w:val="21"/>
                    </w:rPr>
                  </w:pPr>
                  <w:r>
                    <w:rPr>
                      <w:rFonts w:ascii="Times New Roman" w:hAnsi="Times New Roman" w:cs="Times New Roman"/>
                      <w:szCs w:val="21"/>
                    </w:rPr>
                    <w:t>10</w:t>
                  </w:r>
                </w:p>
              </w:tc>
              <w:tc>
                <w:tcPr>
                  <w:tcW w:w="1444" w:type="dxa"/>
                  <w:vAlign w:val="center"/>
                </w:tcPr>
                <w:p>
                  <w:pPr>
                    <w:adjustRightInd w:val="0"/>
                    <w:snapToGrid w:val="0"/>
                    <w:jc w:val="center"/>
                    <w:rPr>
                      <w:rFonts w:ascii="Times New Roman" w:hAnsi="Times New Roman" w:cs="Times New Roman"/>
                      <w:color w:val="000000"/>
                      <w:szCs w:val="21"/>
                    </w:rPr>
                  </w:pPr>
                  <w:r>
                    <w:rPr>
                      <w:rFonts w:ascii="Times New Roman" w:hAnsi="Times New Roman" w:cs="Times New Roman"/>
                      <w:color w:val="000000"/>
                      <w:szCs w:val="21"/>
                    </w:rPr>
                    <w:t>0.160</w:t>
                  </w:r>
                </w:p>
              </w:tc>
            </w:tr>
          </w:tbl>
          <w:p>
            <w:pPr>
              <w:widowControl/>
              <w:adjustRightInd w:val="0"/>
              <w:snapToGrid w:val="0"/>
              <w:spacing w:line="360" w:lineRule="auto"/>
              <w:ind w:firstLine="480" w:firstLineChars="200"/>
              <w:jc w:val="left"/>
              <w:rPr>
                <w:rFonts w:ascii="Times New Roman" w:hAnsi="Times New Roman" w:cs="Times New Roman"/>
              </w:rPr>
            </w:pPr>
            <w:r>
              <w:rPr>
                <w:rFonts w:ascii="Times New Roman" w:hAnsi="Times New Roman" w:cs="Times New Roman"/>
                <w:snapToGrid w:val="0"/>
                <w:sz w:val="24"/>
                <w:lang w:bidi="ar"/>
              </w:rPr>
              <w:t>根据《制定地方大气污染物排放标准的技术方法》（GB/T3840-91）规定，建设项目以生产车间边界为执行边界设置100m卫生防护距离。根据实际调研，在100m卫生防护距离范围内，无居民点和其他环境敏感目标，建设项目符合卫生防护距离的要求。</w:t>
            </w:r>
            <w:r>
              <w:rPr>
                <w:rFonts w:ascii="Times New Roman" w:hAnsi="Times New Roman" w:cs="Times New Roman"/>
                <w:snapToGrid w:val="0"/>
                <w:sz w:val="24"/>
              </w:rPr>
              <w:t>本项目卫生防护距离设置情况见附图2。</w:t>
            </w:r>
          </w:p>
          <w:p>
            <w:pPr>
              <w:jc w:val="center"/>
              <w:rPr>
                <w:rFonts w:ascii="Times New Roman" w:hAnsi="Times New Roman" w:cs="Times New Roman"/>
                <w:b/>
                <w:sz w:val="24"/>
              </w:rPr>
            </w:pPr>
            <w:r>
              <w:rPr>
                <w:rFonts w:ascii="Times New Roman" w:hAnsi="Times New Roman" w:cs="Times New Roman"/>
                <w:b/>
                <w:sz w:val="24"/>
              </w:rPr>
              <w:t>表7-13 建设项目大气环境影响评价自查表</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8"/>
              <w:gridCol w:w="1243"/>
              <w:gridCol w:w="1130"/>
              <w:gridCol w:w="197"/>
              <w:gridCol w:w="402"/>
              <w:gridCol w:w="217"/>
              <w:gridCol w:w="478"/>
              <w:gridCol w:w="303"/>
              <w:gridCol w:w="662"/>
              <w:gridCol w:w="13"/>
              <w:gridCol w:w="461"/>
              <w:gridCol w:w="307"/>
              <w:gridCol w:w="107"/>
              <w:gridCol w:w="523"/>
              <w:gridCol w:w="121"/>
              <w:gridCol w:w="367"/>
              <w:gridCol w:w="282"/>
              <w:gridCol w:w="148"/>
              <w:gridCol w:w="215"/>
              <w:gridCol w:w="604"/>
              <w:gridCol w:w="4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tblHeader/>
              </w:trPr>
              <w:tc>
                <w:tcPr>
                  <w:tcW w:w="1881" w:type="dxa"/>
                  <w:gridSpan w:val="2"/>
                  <w:vAlign w:val="center"/>
                </w:tcPr>
                <w:p>
                  <w:pPr>
                    <w:jc w:val="center"/>
                    <w:rPr>
                      <w:rFonts w:ascii="Times New Roman" w:hAnsi="Times New Roman" w:cs="Times New Roman"/>
                      <w:b/>
                      <w:bCs/>
                      <w:sz w:val="18"/>
                      <w:szCs w:val="18"/>
                    </w:rPr>
                  </w:pPr>
                  <w:r>
                    <w:rPr>
                      <w:rFonts w:ascii="Times New Roman" w:hAnsi="Times New Roman" w:cs="Times New Roman"/>
                      <w:b/>
                      <w:bCs/>
                      <w:sz w:val="18"/>
                      <w:szCs w:val="18"/>
                    </w:rPr>
                    <w:t>工作内容</w:t>
                  </w:r>
                </w:p>
              </w:tc>
              <w:tc>
                <w:tcPr>
                  <w:tcW w:w="6960" w:type="dxa"/>
                  <w:gridSpan w:val="19"/>
                  <w:vAlign w:val="center"/>
                </w:tcPr>
                <w:p>
                  <w:pPr>
                    <w:jc w:val="center"/>
                    <w:rPr>
                      <w:rFonts w:ascii="Times New Roman" w:hAnsi="Times New Roman" w:cs="Times New Roman"/>
                      <w:b/>
                      <w:bCs/>
                      <w:sz w:val="18"/>
                      <w:szCs w:val="18"/>
                    </w:rPr>
                  </w:pPr>
                  <w:r>
                    <w:rPr>
                      <w:rFonts w:ascii="Times New Roman" w:hAnsi="Times New Roman" w:cs="Times New Roman"/>
                      <w:b/>
                      <w:bCs/>
                      <w:sz w:val="18"/>
                      <w:szCs w:val="18"/>
                    </w:rPr>
                    <w:t>自查项目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638"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评价等级与范围</w:t>
                  </w: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评价等级</w:t>
                  </w:r>
                </w:p>
              </w:tc>
              <w:tc>
                <w:tcPr>
                  <w:tcW w:w="1729"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一级□</w:t>
                  </w:r>
                </w:p>
              </w:tc>
              <w:tc>
                <w:tcPr>
                  <w:tcW w:w="2548"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二级□</w:t>
                  </w:r>
                </w:p>
              </w:tc>
              <w:tc>
                <w:tcPr>
                  <w:tcW w:w="2683"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三级</w:t>
                  </w:r>
                  <w:r>
                    <w:rPr>
                      <w:rFonts w:ascii="Times New Roman" w:hAnsi="Times New Roman" w:cs="Times New Roman"/>
                      <w:sz w:val="18"/>
                      <w:szCs w:val="18"/>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7"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评价范围</w:t>
                  </w:r>
                </w:p>
              </w:tc>
              <w:tc>
                <w:tcPr>
                  <w:tcW w:w="1729"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边长=50km□</w:t>
                  </w:r>
                </w:p>
              </w:tc>
              <w:tc>
                <w:tcPr>
                  <w:tcW w:w="2548"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边长5~50km□</w:t>
                  </w:r>
                </w:p>
              </w:tc>
              <w:tc>
                <w:tcPr>
                  <w:tcW w:w="2683"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边长=5km</w:t>
                  </w:r>
                  <w:r>
                    <w:rPr>
                      <w:rFonts w:ascii="Times New Roman" w:hAnsi="Times New Roman" w:cs="Times New Roman"/>
                      <w:sz w:val="18"/>
                      <w:szCs w:val="18"/>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638"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评价因子</w:t>
                  </w: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SO</w:t>
                  </w:r>
                  <w:r>
                    <w:rPr>
                      <w:rFonts w:ascii="Times New Roman" w:hAnsi="Times New Roman" w:cs="Times New Roman"/>
                      <w:sz w:val="18"/>
                      <w:szCs w:val="18"/>
                      <w:vertAlign w:val="subscript"/>
                    </w:rPr>
                    <w:t>2</w:t>
                  </w:r>
                  <w:r>
                    <w:rPr>
                      <w:rFonts w:ascii="Times New Roman" w:hAnsi="Times New Roman" w:cs="Times New Roman"/>
                      <w:sz w:val="18"/>
                      <w:szCs w:val="18"/>
                    </w:rPr>
                    <w:t>+NO</w:t>
                  </w:r>
                  <w:r>
                    <w:rPr>
                      <w:rFonts w:ascii="Times New Roman" w:hAnsi="Times New Roman" w:cs="Times New Roman"/>
                      <w:sz w:val="18"/>
                      <w:szCs w:val="18"/>
                      <w:vertAlign w:val="subscript"/>
                    </w:rPr>
                    <w:t>X</w:t>
                  </w:r>
                  <w:r>
                    <w:rPr>
                      <w:rFonts w:ascii="Times New Roman" w:hAnsi="Times New Roman" w:cs="Times New Roman"/>
                      <w:sz w:val="18"/>
                      <w:szCs w:val="18"/>
                    </w:rPr>
                    <w:t>排放量</w:t>
                  </w:r>
                </w:p>
              </w:tc>
              <w:tc>
                <w:tcPr>
                  <w:tcW w:w="1729"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≥2000t/a□</w:t>
                  </w:r>
                </w:p>
              </w:tc>
              <w:tc>
                <w:tcPr>
                  <w:tcW w:w="2548"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500~2000t/a□</w:t>
                  </w:r>
                </w:p>
              </w:tc>
              <w:tc>
                <w:tcPr>
                  <w:tcW w:w="2683"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＜500t/a□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评价因子</w:t>
                  </w:r>
                </w:p>
              </w:tc>
              <w:tc>
                <w:tcPr>
                  <w:tcW w:w="3863" w:type="dxa"/>
                  <w:gridSpan w:val="9"/>
                  <w:vAlign w:val="center"/>
                </w:tcPr>
                <w:p>
                  <w:pPr>
                    <w:jc w:val="center"/>
                    <w:rPr>
                      <w:rFonts w:ascii="Times New Roman" w:hAnsi="Times New Roman" w:cs="Times New Roman"/>
                      <w:sz w:val="18"/>
                      <w:szCs w:val="18"/>
                    </w:rPr>
                  </w:pPr>
                  <w:r>
                    <w:rPr>
                      <w:rFonts w:ascii="Times New Roman" w:hAnsi="Times New Roman" w:cs="Times New Roman"/>
                      <w:sz w:val="18"/>
                      <w:szCs w:val="18"/>
                    </w:rPr>
                    <w:t>基本污染物（颗粒物）  其他污染物（非甲烷总烃）</w:t>
                  </w:r>
                </w:p>
              </w:tc>
              <w:tc>
                <w:tcPr>
                  <w:tcW w:w="3097" w:type="dxa"/>
                  <w:gridSpan w:val="10"/>
                  <w:vAlign w:val="center"/>
                </w:tcPr>
                <w:p>
                  <w:pPr>
                    <w:ind w:firstLine="540" w:firstLineChars="300"/>
                    <w:jc w:val="center"/>
                    <w:rPr>
                      <w:rFonts w:ascii="Times New Roman" w:hAnsi="Times New Roman" w:cs="Times New Roman"/>
                      <w:sz w:val="18"/>
                      <w:szCs w:val="18"/>
                    </w:rPr>
                  </w:pPr>
                  <w:r>
                    <w:rPr>
                      <w:rFonts w:ascii="Times New Roman" w:hAnsi="Times New Roman" w:cs="Times New Roman"/>
                      <w:sz w:val="18"/>
                      <w:szCs w:val="18"/>
                    </w:rPr>
                    <w:t>包括二次PM</w:t>
                  </w:r>
                  <w:r>
                    <w:rPr>
                      <w:rFonts w:ascii="Times New Roman" w:hAnsi="Times New Roman" w:cs="Times New Roman"/>
                      <w:sz w:val="18"/>
                      <w:szCs w:val="18"/>
                      <w:vertAlign w:val="subscript"/>
                    </w:rPr>
                    <w:t>2.5</w:t>
                  </w:r>
                  <w:r>
                    <w:rPr>
                      <w:rFonts w:ascii="Times New Roman" w:hAnsi="Times New Roman" w:cs="Times New Roman"/>
                      <w:sz w:val="18"/>
                      <w:szCs w:val="18"/>
                    </w:rPr>
                    <w:t>□</w:t>
                  </w:r>
                </w:p>
                <w:p>
                  <w:pPr>
                    <w:ind w:firstLine="360" w:firstLineChars="200"/>
                    <w:jc w:val="center"/>
                    <w:rPr>
                      <w:rFonts w:ascii="Times New Roman" w:hAnsi="Times New Roman" w:cs="Times New Roman"/>
                      <w:sz w:val="18"/>
                      <w:szCs w:val="18"/>
                    </w:rPr>
                  </w:pPr>
                  <w:r>
                    <w:rPr>
                      <w:rFonts w:ascii="Times New Roman" w:hAnsi="Times New Roman" w:cs="Times New Roman"/>
                      <w:sz w:val="18"/>
                      <w:szCs w:val="18"/>
                    </w:rPr>
                    <w:t>不包括二次PM</w:t>
                  </w:r>
                  <w:r>
                    <w:rPr>
                      <w:rFonts w:ascii="Times New Roman" w:hAnsi="Times New Roman" w:cs="Times New Roman"/>
                      <w:sz w:val="18"/>
                      <w:szCs w:val="18"/>
                      <w:vertAlign w:val="subscript"/>
                    </w:rPr>
                    <w:t>2.5</w:t>
                  </w:r>
                  <w:r>
                    <w:rPr>
                      <w:rFonts w:ascii="Times New Roman" w:hAnsi="Times New Roman" w:cs="Times New Roman"/>
                      <w:sz w:val="18"/>
                      <w:szCs w:val="18"/>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8" w:type="dxa"/>
                  <w:vAlign w:val="center"/>
                </w:tcPr>
                <w:p>
                  <w:pPr>
                    <w:jc w:val="center"/>
                    <w:rPr>
                      <w:rFonts w:ascii="Times New Roman" w:hAnsi="Times New Roman" w:cs="Times New Roman"/>
                      <w:sz w:val="18"/>
                      <w:szCs w:val="18"/>
                    </w:rPr>
                  </w:pPr>
                  <w:r>
                    <w:rPr>
                      <w:rFonts w:ascii="Times New Roman" w:hAnsi="Times New Roman" w:cs="Times New Roman"/>
                      <w:sz w:val="18"/>
                      <w:szCs w:val="18"/>
                    </w:rPr>
                    <w:t>评价标准</w:t>
                  </w: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评价标准</w:t>
                  </w:r>
                </w:p>
              </w:tc>
              <w:tc>
                <w:tcPr>
                  <w:tcW w:w="1729"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国家标准</w:t>
                  </w:r>
                  <w:r>
                    <w:rPr>
                      <w:rFonts w:ascii="Times New Roman" w:hAnsi="Times New Roman" w:cs="Times New Roman"/>
                      <w:color w:val="000000"/>
                      <w:sz w:val="18"/>
                      <w:szCs w:val="18"/>
                    </w:rPr>
                    <w:sym w:font="Wingdings 2" w:char="0052"/>
                  </w:r>
                </w:p>
              </w:tc>
              <w:tc>
                <w:tcPr>
                  <w:tcW w:w="2134" w:type="dxa"/>
                  <w:gridSpan w:val="6"/>
                  <w:vAlign w:val="center"/>
                </w:tcPr>
                <w:p>
                  <w:pPr>
                    <w:jc w:val="center"/>
                    <w:rPr>
                      <w:rFonts w:ascii="Times New Roman" w:hAnsi="Times New Roman" w:cs="Times New Roman"/>
                      <w:sz w:val="18"/>
                      <w:szCs w:val="18"/>
                    </w:rPr>
                  </w:pPr>
                  <w:r>
                    <w:rPr>
                      <w:rFonts w:ascii="Times New Roman" w:hAnsi="Times New Roman" w:cs="Times New Roman"/>
                      <w:sz w:val="18"/>
                      <w:szCs w:val="18"/>
                    </w:rPr>
                    <w:t>地方标准□</w:t>
                  </w:r>
                </w:p>
              </w:tc>
              <w:tc>
                <w:tcPr>
                  <w:tcW w:w="1855" w:type="dxa"/>
                  <w:gridSpan w:val="7"/>
                  <w:vAlign w:val="center"/>
                </w:tcPr>
                <w:p>
                  <w:pPr>
                    <w:jc w:val="center"/>
                    <w:rPr>
                      <w:rFonts w:ascii="Times New Roman" w:hAnsi="Times New Roman" w:cs="Times New Roman"/>
                      <w:sz w:val="18"/>
                      <w:szCs w:val="18"/>
                    </w:rPr>
                  </w:pPr>
                  <w:r>
                    <w:rPr>
                      <w:rFonts w:ascii="Times New Roman" w:hAnsi="Times New Roman" w:cs="Times New Roman"/>
                      <w:sz w:val="18"/>
                      <w:szCs w:val="18"/>
                    </w:rPr>
                    <w:t>附录D□</w:t>
                  </w:r>
                </w:p>
              </w:tc>
              <w:tc>
                <w:tcPr>
                  <w:tcW w:w="1242"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其他标准</w:t>
                  </w:r>
                  <w:r>
                    <w:rPr>
                      <w:rFonts w:ascii="Times New Roman" w:hAnsi="Times New Roman" w:cs="Times New Roman"/>
                      <w:color w:val="000000"/>
                      <w:sz w:val="18"/>
                      <w:szCs w:val="18"/>
                    </w:rPr>
                    <w:sym w:font="Wingdings 2" w:char="0052"/>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8"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现状评价</w:t>
                  </w: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环境功能区</w:t>
                  </w:r>
                </w:p>
              </w:tc>
              <w:tc>
                <w:tcPr>
                  <w:tcW w:w="2727" w:type="dxa"/>
                  <w:gridSpan w:val="6"/>
                  <w:vAlign w:val="center"/>
                </w:tcPr>
                <w:p>
                  <w:pPr>
                    <w:jc w:val="center"/>
                    <w:rPr>
                      <w:rFonts w:ascii="Times New Roman" w:hAnsi="Times New Roman" w:cs="Times New Roman"/>
                      <w:sz w:val="18"/>
                      <w:szCs w:val="18"/>
                    </w:rPr>
                  </w:pPr>
                  <w:r>
                    <w:rPr>
                      <w:rFonts w:ascii="Times New Roman" w:hAnsi="Times New Roman" w:cs="Times New Roman"/>
                      <w:sz w:val="18"/>
                      <w:szCs w:val="18"/>
                    </w:rPr>
                    <w:t>一类区□</w:t>
                  </w:r>
                </w:p>
              </w:tc>
              <w:tc>
                <w:tcPr>
                  <w:tcW w:w="2561"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二类区</w:t>
                  </w:r>
                  <w:r>
                    <w:rPr>
                      <w:rFonts w:ascii="Times New Roman" w:hAnsi="Times New Roman" w:cs="Times New Roman"/>
                      <w:sz w:val="18"/>
                      <w:szCs w:val="18"/>
                    </w:rPr>
                    <w:sym w:font="Wingdings" w:char="00FE"/>
                  </w:r>
                </w:p>
              </w:tc>
              <w:tc>
                <w:tcPr>
                  <w:tcW w:w="1672" w:type="dxa"/>
                  <w:gridSpan w:val="5"/>
                  <w:vAlign w:val="center"/>
                </w:tcPr>
                <w:p>
                  <w:pPr>
                    <w:jc w:val="center"/>
                    <w:rPr>
                      <w:rFonts w:ascii="Times New Roman" w:hAnsi="Times New Roman" w:cs="Times New Roman"/>
                      <w:sz w:val="18"/>
                      <w:szCs w:val="18"/>
                    </w:rPr>
                  </w:pPr>
                  <w:r>
                    <w:rPr>
                      <w:rFonts w:ascii="Times New Roman" w:hAnsi="Times New Roman" w:cs="Times New Roman"/>
                      <w:sz w:val="18"/>
                      <w:szCs w:val="18"/>
                    </w:rPr>
                    <w:t>一类区和二类区□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环境基准年</w:t>
                  </w:r>
                </w:p>
              </w:tc>
              <w:tc>
                <w:tcPr>
                  <w:tcW w:w="6960" w:type="dxa"/>
                  <w:gridSpan w:val="19"/>
                  <w:vAlign w:val="center"/>
                </w:tcPr>
                <w:p>
                  <w:pPr>
                    <w:jc w:val="center"/>
                    <w:rPr>
                      <w:rFonts w:ascii="Times New Roman" w:hAnsi="Times New Roman" w:cs="Times New Roman"/>
                      <w:sz w:val="18"/>
                      <w:szCs w:val="18"/>
                    </w:rPr>
                  </w:pPr>
                  <w:r>
                    <w:rPr>
                      <w:rFonts w:ascii="Times New Roman" w:hAnsi="Times New Roman" w:cs="Times New Roman"/>
                      <w:sz w:val="18"/>
                      <w:szCs w:val="18"/>
                    </w:rPr>
                    <w:t>（ 2019）年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环境空气质量现状调查数据来源</w:t>
                  </w:r>
                </w:p>
              </w:tc>
              <w:tc>
                <w:tcPr>
                  <w:tcW w:w="2727" w:type="dxa"/>
                  <w:gridSpan w:val="6"/>
                  <w:vAlign w:val="center"/>
                </w:tcPr>
                <w:p>
                  <w:pPr>
                    <w:jc w:val="center"/>
                    <w:rPr>
                      <w:rFonts w:ascii="Times New Roman" w:hAnsi="Times New Roman" w:cs="Times New Roman"/>
                      <w:sz w:val="18"/>
                      <w:szCs w:val="18"/>
                    </w:rPr>
                  </w:pPr>
                  <w:r>
                    <w:rPr>
                      <w:rFonts w:ascii="Times New Roman" w:hAnsi="Times New Roman" w:cs="Times New Roman"/>
                      <w:sz w:val="18"/>
                      <w:szCs w:val="18"/>
                    </w:rPr>
                    <w:t>长期例行监测数据□</w:t>
                  </w:r>
                </w:p>
              </w:tc>
              <w:tc>
                <w:tcPr>
                  <w:tcW w:w="2991" w:type="dxa"/>
                  <w:gridSpan w:val="10"/>
                  <w:vAlign w:val="center"/>
                </w:tcPr>
                <w:p>
                  <w:pPr>
                    <w:jc w:val="center"/>
                    <w:rPr>
                      <w:rFonts w:ascii="Times New Roman" w:hAnsi="Times New Roman" w:cs="Times New Roman"/>
                      <w:sz w:val="18"/>
                      <w:szCs w:val="18"/>
                    </w:rPr>
                  </w:pPr>
                  <w:r>
                    <w:rPr>
                      <w:rFonts w:ascii="Times New Roman" w:hAnsi="Times New Roman" w:cs="Times New Roman"/>
                      <w:sz w:val="18"/>
                      <w:szCs w:val="18"/>
                    </w:rPr>
                    <w:t>主管部门发布的数据</w:t>
                  </w:r>
                  <w:r>
                    <w:rPr>
                      <w:rFonts w:ascii="Times New Roman" w:hAnsi="Times New Roman" w:cs="Times New Roman"/>
                      <w:sz w:val="18"/>
                      <w:szCs w:val="18"/>
                    </w:rPr>
                    <w:sym w:font="Wingdings" w:char="00FE"/>
                  </w:r>
                </w:p>
              </w:tc>
              <w:tc>
                <w:tcPr>
                  <w:tcW w:w="1242"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现状补充监测□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现状评价</w:t>
                  </w:r>
                </w:p>
              </w:tc>
              <w:tc>
                <w:tcPr>
                  <w:tcW w:w="4170" w:type="dxa"/>
                  <w:gridSpan w:val="10"/>
                  <w:vAlign w:val="center"/>
                </w:tcPr>
                <w:p>
                  <w:pPr>
                    <w:jc w:val="center"/>
                    <w:rPr>
                      <w:rFonts w:ascii="Times New Roman" w:hAnsi="Times New Roman" w:cs="Times New Roman"/>
                      <w:sz w:val="18"/>
                      <w:szCs w:val="18"/>
                    </w:rPr>
                  </w:pPr>
                  <w:r>
                    <w:rPr>
                      <w:rFonts w:ascii="Times New Roman" w:hAnsi="Times New Roman" w:cs="Times New Roman"/>
                      <w:sz w:val="18"/>
                      <w:szCs w:val="18"/>
                    </w:rPr>
                    <w:t>达标区□</w:t>
                  </w:r>
                </w:p>
              </w:tc>
              <w:tc>
                <w:tcPr>
                  <w:tcW w:w="2790" w:type="dxa"/>
                  <w:gridSpan w:val="9"/>
                  <w:vAlign w:val="center"/>
                </w:tcPr>
                <w:p>
                  <w:pPr>
                    <w:jc w:val="center"/>
                    <w:rPr>
                      <w:rFonts w:ascii="Times New Roman" w:hAnsi="Times New Roman" w:cs="Times New Roman"/>
                      <w:sz w:val="18"/>
                      <w:szCs w:val="18"/>
                    </w:rPr>
                  </w:pPr>
                  <w:r>
                    <w:rPr>
                      <w:rFonts w:ascii="Times New Roman" w:hAnsi="Times New Roman" w:cs="Times New Roman"/>
                      <w:sz w:val="18"/>
                      <w:szCs w:val="18"/>
                    </w:rPr>
                    <w:t>不达标区</w:t>
                  </w:r>
                  <w:r>
                    <w:rPr>
                      <w:rFonts w:ascii="Times New Roman" w:hAnsi="Times New Roman" w:cs="Times New Roman"/>
                      <w:sz w:val="18"/>
                      <w:szCs w:val="18"/>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5" w:hRule="atLeast"/>
              </w:trPr>
              <w:tc>
                <w:tcPr>
                  <w:tcW w:w="638" w:type="dxa"/>
                  <w:vAlign w:val="center"/>
                </w:tcPr>
                <w:p>
                  <w:pPr>
                    <w:jc w:val="center"/>
                    <w:rPr>
                      <w:rFonts w:ascii="Times New Roman" w:hAnsi="Times New Roman" w:cs="Times New Roman"/>
                      <w:sz w:val="18"/>
                      <w:szCs w:val="18"/>
                    </w:rPr>
                  </w:pPr>
                  <w:r>
                    <w:rPr>
                      <w:rFonts w:ascii="Times New Roman" w:hAnsi="Times New Roman" w:cs="Times New Roman"/>
                      <w:sz w:val="18"/>
                      <w:szCs w:val="18"/>
                    </w:rPr>
                    <w:t>污染源调查</w:t>
                  </w: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调查内容</w:t>
                  </w:r>
                </w:p>
              </w:tc>
              <w:tc>
                <w:tcPr>
                  <w:tcW w:w="2424" w:type="dxa"/>
                  <w:gridSpan w:val="5"/>
                  <w:vAlign w:val="center"/>
                </w:tcPr>
                <w:p>
                  <w:pPr>
                    <w:jc w:val="center"/>
                    <w:rPr>
                      <w:rFonts w:ascii="Times New Roman" w:hAnsi="Times New Roman" w:cs="Times New Roman"/>
                      <w:sz w:val="18"/>
                      <w:szCs w:val="18"/>
                    </w:rPr>
                  </w:pPr>
                  <w:r>
                    <w:rPr>
                      <w:rFonts w:ascii="Times New Roman" w:hAnsi="Times New Roman" w:cs="Times New Roman"/>
                      <w:sz w:val="18"/>
                      <w:szCs w:val="18"/>
                    </w:rPr>
                    <w:t>本项目正常排放源</w:t>
                  </w:r>
                  <w:r>
                    <w:rPr>
                      <w:rFonts w:ascii="Times New Roman" w:hAnsi="Times New Roman" w:cs="Times New Roman"/>
                      <w:sz w:val="18"/>
                      <w:szCs w:val="18"/>
                    </w:rPr>
                    <w:sym w:font="Wingdings" w:char="00FE"/>
                  </w:r>
                </w:p>
                <w:p>
                  <w:pPr>
                    <w:jc w:val="center"/>
                    <w:rPr>
                      <w:rFonts w:ascii="Times New Roman" w:hAnsi="Times New Roman" w:cs="Times New Roman"/>
                      <w:sz w:val="18"/>
                      <w:szCs w:val="18"/>
                    </w:rPr>
                  </w:pPr>
                  <w:r>
                    <w:rPr>
                      <w:rFonts w:ascii="Times New Roman" w:hAnsi="Times New Roman" w:cs="Times New Roman"/>
                      <w:sz w:val="18"/>
                      <w:szCs w:val="18"/>
                    </w:rPr>
                    <w:t>本项目非正常排放源□</w:t>
                  </w:r>
                </w:p>
                <w:p>
                  <w:pPr>
                    <w:jc w:val="center"/>
                    <w:rPr>
                      <w:rFonts w:ascii="Times New Roman" w:hAnsi="Times New Roman" w:cs="Times New Roman"/>
                      <w:sz w:val="18"/>
                      <w:szCs w:val="18"/>
                    </w:rPr>
                  </w:pPr>
                  <w:r>
                    <w:rPr>
                      <w:rFonts w:ascii="Times New Roman" w:hAnsi="Times New Roman" w:cs="Times New Roman"/>
                      <w:sz w:val="18"/>
                      <w:szCs w:val="18"/>
                    </w:rPr>
                    <w:t>现有污染源□</w:t>
                  </w:r>
                </w:p>
              </w:tc>
              <w:tc>
                <w:tcPr>
                  <w:tcW w:w="1746" w:type="dxa"/>
                  <w:gridSpan w:val="5"/>
                  <w:vAlign w:val="center"/>
                </w:tcPr>
                <w:p>
                  <w:pPr>
                    <w:jc w:val="center"/>
                    <w:rPr>
                      <w:rFonts w:ascii="Times New Roman" w:hAnsi="Times New Roman" w:cs="Times New Roman"/>
                      <w:sz w:val="18"/>
                      <w:szCs w:val="18"/>
                    </w:rPr>
                  </w:pPr>
                  <w:r>
                    <w:rPr>
                      <w:rFonts w:ascii="Times New Roman" w:hAnsi="Times New Roman" w:cs="Times New Roman"/>
                      <w:sz w:val="18"/>
                      <w:szCs w:val="18"/>
                    </w:rPr>
                    <w:t>拟替代的污染源□</w:t>
                  </w:r>
                </w:p>
              </w:tc>
              <w:tc>
                <w:tcPr>
                  <w:tcW w:w="1763" w:type="dxa"/>
                  <w:gridSpan w:val="7"/>
                  <w:vAlign w:val="center"/>
                </w:tcPr>
                <w:p>
                  <w:pPr>
                    <w:jc w:val="center"/>
                    <w:rPr>
                      <w:rFonts w:ascii="Times New Roman" w:hAnsi="Times New Roman" w:cs="Times New Roman"/>
                      <w:sz w:val="18"/>
                      <w:szCs w:val="18"/>
                    </w:rPr>
                  </w:pPr>
                  <w:r>
                    <w:rPr>
                      <w:rFonts w:ascii="Times New Roman" w:hAnsi="Times New Roman" w:cs="Times New Roman"/>
                      <w:sz w:val="18"/>
                      <w:szCs w:val="18"/>
                    </w:rPr>
                    <w:t>其他在建、拟建项目污染源□</w:t>
                  </w:r>
                </w:p>
              </w:tc>
              <w:tc>
                <w:tcPr>
                  <w:tcW w:w="1027" w:type="dxa"/>
                  <w:gridSpan w:val="2"/>
                  <w:vAlign w:val="center"/>
                </w:tcPr>
                <w:p>
                  <w:pPr>
                    <w:jc w:val="center"/>
                    <w:rPr>
                      <w:rFonts w:ascii="Times New Roman" w:hAnsi="Times New Roman" w:cs="Times New Roman"/>
                      <w:sz w:val="18"/>
                      <w:szCs w:val="18"/>
                    </w:rPr>
                  </w:pPr>
                  <w:r>
                    <w:rPr>
                      <w:rFonts w:ascii="Times New Roman" w:hAnsi="Times New Roman" w:cs="Times New Roman"/>
                      <w:sz w:val="18"/>
                      <w:szCs w:val="18"/>
                    </w:rPr>
                    <w:t>区域污染源□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638"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大气环境影响预测与评价</w:t>
                  </w: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预测模型</w:t>
                  </w:r>
                </w:p>
              </w:tc>
              <w:tc>
                <w:tcPr>
                  <w:tcW w:w="1130" w:type="dxa"/>
                  <w:vAlign w:val="center"/>
                </w:tcPr>
                <w:p>
                  <w:pPr>
                    <w:jc w:val="center"/>
                    <w:rPr>
                      <w:rFonts w:ascii="Times New Roman" w:hAnsi="Times New Roman" w:cs="Times New Roman"/>
                      <w:sz w:val="18"/>
                      <w:szCs w:val="18"/>
                    </w:rPr>
                  </w:pPr>
                  <w:r>
                    <w:rPr>
                      <w:rFonts w:ascii="Times New Roman" w:hAnsi="Times New Roman" w:cs="Times New Roman"/>
                      <w:sz w:val="18"/>
                      <w:szCs w:val="18"/>
                    </w:rPr>
                    <w:t>AERMOD□</w:t>
                  </w:r>
                </w:p>
              </w:tc>
              <w:tc>
                <w:tcPr>
                  <w:tcW w:w="816"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ADMS</w:t>
                  </w:r>
                </w:p>
                <w:p>
                  <w:pPr>
                    <w:jc w:val="center"/>
                    <w:rPr>
                      <w:rFonts w:ascii="Times New Roman" w:hAnsi="Times New Roman" w:cs="Times New Roman"/>
                      <w:sz w:val="18"/>
                      <w:szCs w:val="18"/>
                    </w:rPr>
                  </w:pPr>
                  <w:r>
                    <w:rPr>
                      <w:rFonts w:ascii="Times New Roman" w:hAnsi="Times New Roman" w:cs="Times New Roman"/>
                      <w:sz w:val="18"/>
                      <w:szCs w:val="18"/>
                    </w:rPr>
                    <w:t>□</w:t>
                  </w:r>
                </w:p>
              </w:tc>
              <w:tc>
                <w:tcPr>
                  <w:tcW w:w="1443"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AUSTAL2000</w:t>
                  </w:r>
                </w:p>
                <w:p>
                  <w:pPr>
                    <w:jc w:val="center"/>
                    <w:rPr>
                      <w:rFonts w:ascii="Times New Roman" w:hAnsi="Times New Roman" w:cs="Times New Roman"/>
                      <w:sz w:val="18"/>
                      <w:szCs w:val="18"/>
                    </w:rPr>
                  </w:pPr>
                  <w:r>
                    <w:rPr>
                      <w:rFonts w:ascii="Times New Roman" w:hAnsi="Times New Roman" w:cs="Times New Roman"/>
                      <w:sz w:val="18"/>
                      <w:szCs w:val="18"/>
                    </w:rPr>
                    <w:t>□</w:t>
                  </w:r>
                </w:p>
              </w:tc>
              <w:tc>
                <w:tcPr>
                  <w:tcW w:w="1411" w:type="dxa"/>
                  <w:gridSpan w:val="5"/>
                  <w:vAlign w:val="center"/>
                </w:tcPr>
                <w:p>
                  <w:pPr>
                    <w:jc w:val="center"/>
                    <w:rPr>
                      <w:rFonts w:ascii="Times New Roman" w:hAnsi="Times New Roman" w:cs="Times New Roman"/>
                      <w:sz w:val="18"/>
                      <w:szCs w:val="18"/>
                    </w:rPr>
                  </w:pPr>
                  <w:r>
                    <w:rPr>
                      <w:rFonts w:ascii="Times New Roman" w:hAnsi="Times New Roman" w:cs="Times New Roman"/>
                      <w:sz w:val="18"/>
                      <w:szCs w:val="18"/>
                    </w:rPr>
                    <w:t>EDMS/AEDT</w:t>
                  </w:r>
                </w:p>
                <w:p>
                  <w:pPr>
                    <w:jc w:val="center"/>
                    <w:rPr>
                      <w:rFonts w:ascii="Times New Roman" w:hAnsi="Times New Roman" w:cs="Times New Roman"/>
                      <w:sz w:val="18"/>
                      <w:szCs w:val="18"/>
                    </w:rPr>
                  </w:pPr>
                  <w:r>
                    <w:rPr>
                      <w:rFonts w:ascii="Times New Roman" w:hAnsi="Times New Roman" w:cs="Times New Roman"/>
                      <w:sz w:val="18"/>
                      <w:szCs w:val="18"/>
                    </w:rPr>
                    <w:t>□</w:t>
                  </w:r>
                </w:p>
              </w:tc>
              <w:tc>
                <w:tcPr>
                  <w:tcW w:w="1133" w:type="dxa"/>
                  <w:gridSpan w:val="5"/>
                  <w:vAlign w:val="center"/>
                </w:tcPr>
                <w:p>
                  <w:pPr>
                    <w:jc w:val="center"/>
                    <w:rPr>
                      <w:rFonts w:ascii="Times New Roman" w:hAnsi="Times New Roman" w:cs="Times New Roman"/>
                      <w:sz w:val="18"/>
                      <w:szCs w:val="18"/>
                    </w:rPr>
                  </w:pPr>
                  <w:r>
                    <w:rPr>
                      <w:rFonts w:ascii="Times New Roman" w:hAnsi="Times New Roman" w:cs="Times New Roman"/>
                      <w:sz w:val="18"/>
                      <w:szCs w:val="18"/>
                    </w:rPr>
                    <w:t>CALPUFF</w:t>
                  </w:r>
                </w:p>
                <w:p>
                  <w:pPr>
                    <w:jc w:val="center"/>
                    <w:rPr>
                      <w:rFonts w:ascii="Times New Roman" w:hAnsi="Times New Roman" w:cs="Times New Roman"/>
                      <w:sz w:val="18"/>
                      <w:szCs w:val="18"/>
                    </w:rPr>
                  </w:pPr>
                  <w:r>
                    <w:rPr>
                      <w:rFonts w:ascii="Times New Roman" w:hAnsi="Times New Roman" w:cs="Times New Roman"/>
                      <w:sz w:val="18"/>
                      <w:szCs w:val="18"/>
                    </w:rPr>
                    <w:t>□</w:t>
                  </w:r>
                </w:p>
              </w:tc>
              <w:tc>
                <w:tcPr>
                  <w:tcW w:w="604" w:type="dxa"/>
                  <w:vAlign w:val="center"/>
                </w:tcPr>
                <w:p>
                  <w:pPr>
                    <w:jc w:val="center"/>
                    <w:rPr>
                      <w:rFonts w:ascii="Times New Roman" w:hAnsi="Times New Roman" w:cs="Times New Roman"/>
                      <w:sz w:val="18"/>
                      <w:szCs w:val="18"/>
                    </w:rPr>
                  </w:pPr>
                  <w:r>
                    <w:rPr>
                      <w:rFonts w:ascii="Times New Roman" w:hAnsi="Times New Roman" w:cs="Times New Roman"/>
                      <w:sz w:val="18"/>
                      <w:szCs w:val="18"/>
                    </w:rPr>
                    <w:t>网络模型</w:t>
                  </w:r>
                </w:p>
                <w:p>
                  <w:pPr>
                    <w:jc w:val="center"/>
                    <w:rPr>
                      <w:rFonts w:ascii="Times New Roman" w:hAnsi="Times New Roman" w:cs="Times New Roman"/>
                      <w:sz w:val="18"/>
                      <w:szCs w:val="18"/>
                    </w:rPr>
                  </w:pPr>
                  <w:r>
                    <w:rPr>
                      <w:rFonts w:ascii="Times New Roman" w:hAnsi="Times New Roman" w:cs="Times New Roman"/>
                      <w:sz w:val="18"/>
                      <w:szCs w:val="18"/>
                    </w:rPr>
                    <w:t>□</w:t>
                  </w:r>
                </w:p>
              </w:tc>
              <w:tc>
                <w:tcPr>
                  <w:tcW w:w="423" w:type="dxa"/>
                  <w:vAlign w:val="center"/>
                </w:tcPr>
                <w:p>
                  <w:pPr>
                    <w:jc w:val="center"/>
                    <w:rPr>
                      <w:rFonts w:ascii="Times New Roman" w:hAnsi="Times New Roman" w:cs="Times New Roman"/>
                      <w:sz w:val="18"/>
                      <w:szCs w:val="18"/>
                    </w:rPr>
                  </w:pPr>
                  <w:r>
                    <w:rPr>
                      <w:rFonts w:ascii="Times New Roman" w:hAnsi="Times New Roman" w:cs="Times New Roman"/>
                      <w:sz w:val="18"/>
                      <w:szCs w:val="18"/>
                    </w:rPr>
                    <w:t>其他</w:t>
                  </w:r>
                </w:p>
                <w:p>
                  <w:pPr>
                    <w:jc w:val="center"/>
                    <w:rPr>
                      <w:rFonts w:ascii="Times New Roman" w:hAnsi="Times New Roman" w:cs="Times New Roman"/>
                      <w:sz w:val="18"/>
                      <w:szCs w:val="18"/>
                    </w:rPr>
                  </w:pPr>
                  <w:r>
                    <w:rPr>
                      <w:rFonts w:ascii="Times New Roman" w:hAnsi="Times New Roman" w:cs="Times New Roman"/>
                      <w:sz w:val="18"/>
                      <w:szCs w:val="18"/>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预测范围</w:t>
                  </w:r>
                </w:p>
              </w:tc>
              <w:tc>
                <w:tcPr>
                  <w:tcW w:w="1946" w:type="dxa"/>
                  <w:gridSpan w:val="4"/>
                  <w:vAlign w:val="center"/>
                </w:tcPr>
                <w:p>
                  <w:pPr>
                    <w:jc w:val="center"/>
                    <w:rPr>
                      <w:rFonts w:ascii="Times New Roman" w:hAnsi="Times New Roman" w:cs="Times New Roman"/>
                      <w:sz w:val="18"/>
                      <w:szCs w:val="18"/>
                    </w:rPr>
                  </w:pPr>
                  <w:r>
                    <w:rPr>
                      <w:rFonts w:ascii="Times New Roman" w:hAnsi="Times New Roman" w:cs="Times New Roman"/>
                      <w:sz w:val="18"/>
                      <w:szCs w:val="18"/>
                    </w:rPr>
                    <w:t>边长≥50km□</w:t>
                  </w:r>
                </w:p>
              </w:tc>
              <w:tc>
                <w:tcPr>
                  <w:tcW w:w="3987" w:type="dxa"/>
                  <w:gridSpan w:val="13"/>
                  <w:vAlign w:val="center"/>
                </w:tcPr>
                <w:p>
                  <w:pPr>
                    <w:jc w:val="center"/>
                    <w:rPr>
                      <w:rFonts w:ascii="Times New Roman" w:hAnsi="Times New Roman" w:cs="Times New Roman"/>
                      <w:sz w:val="18"/>
                      <w:szCs w:val="18"/>
                    </w:rPr>
                  </w:pPr>
                  <w:r>
                    <w:rPr>
                      <w:rFonts w:ascii="Times New Roman" w:hAnsi="Times New Roman" w:cs="Times New Roman"/>
                      <w:sz w:val="18"/>
                      <w:szCs w:val="18"/>
                    </w:rPr>
                    <w:t>边长5~50km□</w:t>
                  </w:r>
                </w:p>
              </w:tc>
              <w:tc>
                <w:tcPr>
                  <w:tcW w:w="1027" w:type="dxa"/>
                  <w:gridSpan w:val="2"/>
                  <w:vAlign w:val="center"/>
                </w:tcPr>
                <w:p>
                  <w:pPr>
                    <w:jc w:val="center"/>
                    <w:rPr>
                      <w:rFonts w:ascii="Times New Roman" w:hAnsi="Times New Roman" w:cs="Times New Roman"/>
                      <w:sz w:val="18"/>
                      <w:szCs w:val="18"/>
                    </w:rPr>
                  </w:pPr>
                  <w:r>
                    <w:rPr>
                      <w:rFonts w:ascii="Times New Roman" w:hAnsi="Times New Roman" w:cs="Times New Roman"/>
                      <w:sz w:val="18"/>
                      <w:szCs w:val="18"/>
                    </w:rPr>
                    <w:t>边长=5km□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预测因子</w:t>
                  </w:r>
                </w:p>
              </w:tc>
              <w:tc>
                <w:tcPr>
                  <w:tcW w:w="3402"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预测因子（）</w:t>
                  </w:r>
                </w:p>
              </w:tc>
              <w:tc>
                <w:tcPr>
                  <w:tcW w:w="3558" w:type="dxa"/>
                  <w:gridSpan w:val="11"/>
                  <w:vAlign w:val="center"/>
                </w:tcPr>
                <w:p>
                  <w:pPr>
                    <w:jc w:val="center"/>
                    <w:rPr>
                      <w:rFonts w:ascii="Times New Roman" w:hAnsi="Times New Roman" w:cs="Times New Roman"/>
                      <w:sz w:val="18"/>
                      <w:szCs w:val="18"/>
                    </w:rPr>
                  </w:pPr>
                  <w:r>
                    <w:rPr>
                      <w:rFonts w:ascii="Times New Roman" w:hAnsi="Times New Roman" w:cs="Times New Roman"/>
                      <w:sz w:val="18"/>
                      <w:szCs w:val="18"/>
                    </w:rPr>
                    <w:t>包括二次PM</w:t>
                  </w:r>
                  <w:r>
                    <w:rPr>
                      <w:rFonts w:ascii="Times New Roman" w:hAnsi="Times New Roman" w:cs="Times New Roman"/>
                      <w:sz w:val="18"/>
                      <w:szCs w:val="18"/>
                      <w:vertAlign w:val="subscript"/>
                    </w:rPr>
                    <w:t>2.5</w:t>
                  </w:r>
                  <w:r>
                    <w:rPr>
                      <w:rFonts w:ascii="Times New Roman" w:hAnsi="Times New Roman" w:cs="Times New Roman"/>
                      <w:sz w:val="18"/>
                      <w:szCs w:val="18"/>
                    </w:rPr>
                    <w:t>□</w:t>
                  </w:r>
                </w:p>
                <w:p>
                  <w:pPr>
                    <w:jc w:val="center"/>
                    <w:rPr>
                      <w:rFonts w:ascii="Times New Roman" w:hAnsi="Times New Roman" w:cs="Times New Roman"/>
                      <w:sz w:val="18"/>
                      <w:szCs w:val="18"/>
                    </w:rPr>
                  </w:pPr>
                  <w:r>
                    <w:rPr>
                      <w:rFonts w:ascii="Times New Roman" w:hAnsi="Times New Roman" w:cs="Times New Roman"/>
                      <w:sz w:val="18"/>
                      <w:szCs w:val="18"/>
                    </w:rPr>
                    <w:t>不包括二次PM</w:t>
                  </w:r>
                  <w:r>
                    <w:rPr>
                      <w:rFonts w:ascii="Times New Roman" w:hAnsi="Times New Roman" w:cs="Times New Roman"/>
                      <w:sz w:val="18"/>
                      <w:szCs w:val="18"/>
                      <w:vertAlign w:val="subscript"/>
                    </w:rPr>
                    <w:t>2.5</w:t>
                  </w:r>
                  <w:r>
                    <w:rPr>
                      <w:rFonts w:ascii="Times New Roman" w:hAnsi="Times New Roman" w:cs="Times New Roman"/>
                      <w:sz w:val="18"/>
                      <w:szCs w:val="18"/>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正常排放短期浓度贡献值</w:t>
                  </w:r>
                </w:p>
              </w:tc>
              <w:tc>
                <w:tcPr>
                  <w:tcW w:w="3402"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本项目</w:t>
                  </w:r>
                  <w:r>
                    <w:rPr>
                      <w:rFonts w:ascii="Times New Roman" w:hAnsi="Times New Roman" w:cs="Times New Roman"/>
                      <w:sz w:val="18"/>
                      <w:szCs w:val="18"/>
                    </w:rPr>
                    <w:t>最大占标率≤100％</w:t>
                  </w:r>
                  <w:r>
                    <w:rPr>
                      <w:rFonts w:ascii="Times New Roman" w:hAnsi="Times New Roman" w:cs="Times New Roman"/>
                      <w:sz w:val="18"/>
                      <w:szCs w:val="18"/>
                    </w:rPr>
                    <w:sym w:font="Wingdings" w:char="00A8"/>
                  </w:r>
                </w:p>
              </w:tc>
              <w:tc>
                <w:tcPr>
                  <w:tcW w:w="3558" w:type="dxa"/>
                  <w:gridSpan w:val="11"/>
                  <w:vAlign w:val="center"/>
                </w:tcPr>
                <w:p>
                  <w:pPr>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本项目</w:t>
                  </w:r>
                  <w:r>
                    <w:rPr>
                      <w:rFonts w:ascii="Times New Roman" w:hAnsi="Times New Roman" w:cs="Times New Roman"/>
                      <w:sz w:val="18"/>
                      <w:szCs w:val="18"/>
                    </w:rPr>
                    <w:t>最大占标率＞100％□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8" w:type="dxa"/>
                  <w:vMerge w:val="continue"/>
                  <w:vAlign w:val="center"/>
                </w:tcPr>
                <w:p>
                  <w:pPr>
                    <w:jc w:val="center"/>
                    <w:rPr>
                      <w:rFonts w:ascii="Times New Roman" w:hAnsi="Times New Roman" w:cs="Times New Roman"/>
                      <w:sz w:val="18"/>
                      <w:szCs w:val="18"/>
                    </w:rPr>
                  </w:pPr>
                </w:p>
              </w:tc>
              <w:tc>
                <w:tcPr>
                  <w:tcW w:w="1243"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正常排放年均浓度贡献值</w:t>
                  </w:r>
                </w:p>
              </w:tc>
              <w:tc>
                <w:tcPr>
                  <w:tcW w:w="1327" w:type="dxa"/>
                  <w:gridSpan w:val="2"/>
                  <w:vAlign w:val="center"/>
                </w:tcPr>
                <w:p>
                  <w:pPr>
                    <w:jc w:val="center"/>
                    <w:rPr>
                      <w:rFonts w:ascii="Times New Roman" w:hAnsi="Times New Roman" w:cs="Times New Roman"/>
                      <w:sz w:val="18"/>
                      <w:szCs w:val="18"/>
                    </w:rPr>
                  </w:pPr>
                  <w:r>
                    <w:rPr>
                      <w:rFonts w:ascii="Times New Roman" w:hAnsi="Times New Roman" w:cs="Times New Roman"/>
                      <w:sz w:val="18"/>
                      <w:szCs w:val="18"/>
                    </w:rPr>
                    <w:t>一类区</w:t>
                  </w:r>
                </w:p>
              </w:tc>
              <w:tc>
                <w:tcPr>
                  <w:tcW w:w="2075" w:type="dxa"/>
                  <w:gridSpan w:val="6"/>
                  <w:vAlign w:val="center"/>
                </w:tcPr>
                <w:p>
                  <w:pPr>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本项目</w:t>
                  </w:r>
                  <w:r>
                    <w:rPr>
                      <w:rFonts w:ascii="Times New Roman" w:hAnsi="Times New Roman" w:cs="Times New Roman"/>
                      <w:sz w:val="18"/>
                      <w:szCs w:val="18"/>
                    </w:rPr>
                    <w:t>最大占标率≤10％□</w:t>
                  </w:r>
                </w:p>
              </w:tc>
              <w:tc>
                <w:tcPr>
                  <w:tcW w:w="3558" w:type="dxa"/>
                  <w:gridSpan w:val="11"/>
                  <w:vAlign w:val="center"/>
                </w:tcPr>
                <w:p>
                  <w:pPr>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本项目</w:t>
                  </w:r>
                  <w:r>
                    <w:rPr>
                      <w:rFonts w:ascii="Times New Roman" w:hAnsi="Times New Roman" w:cs="Times New Roman"/>
                      <w:sz w:val="18"/>
                      <w:szCs w:val="18"/>
                    </w:rPr>
                    <w:t>最大占标率＞10％□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8" w:type="dxa"/>
                  <w:vMerge w:val="continue"/>
                  <w:vAlign w:val="center"/>
                </w:tcPr>
                <w:p>
                  <w:pPr>
                    <w:jc w:val="center"/>
                    <w:rPr>
                      <w:rFonts w:ascii="Times New Roman" w:hAnsi="Times New Roman" w:cs="Times New Roman"/>
                      <w:sz w:val="18"/>
                      <w:szCs w:val="18"/>
                    </w:rPr>
                  </w:pPr>
                </w:p>
              </w:tc>
              <w:tc>
                <w:tcPr>
                  <w:tcW w:w="1243" w:type="dxa"/>
                  <w:vMerge w:val="continue"/>
                  <w:vAlign w:val="center"/>
                </w:tcPr>
                <w:p>
                  <w:pPr>
                    <w:jc w:val="center"/>
                    <w:rPr>
                      <w:rFonts w:ascii="Times New Roman" w:hAnsi="Times New Roman" w:cs="Times New Roman"/>
                      <w:sz w:val="18"/>
                      <w:szCs w:val="18"/>
                    </w:rPr>
                  </w:pPr>
                </w:p>
              </w:tc>
              <w:tc>
                <w:tcPr>
                  <w:tcW w:w="1327" w:type="dxa"/>
                  <w:gridSpan w:val="2"/>
                  <w:vAlign w:val="center"/>
                </w:tcPr>
                <w:p>
                  <w:pPr>
                    <w:jc w:val="center"/>
                    <w:rPr>
                      <w:rFonts w:ascii="Times New Roman" w:hAnsi="Times New Roman" w:cs="Times New Roman"/>
                      <w:sz w:val="18"/>
                      <w:szCs w:val="18"/>
                    </w:rPr>
                  </w:pPr>
                  <w:r>
                    <w:rPr>
                      <w:rFonts w:ascii="Times New Roman" w:hAnsi="Times New Roman" w:cs="Times New Roman"/>
                      <w:sz w:val="18"/>
                      <w:szCs w:val="18"/>
                    </w:rPr>
                    <w:t>二类区</w:t>
                  </w:r>
                </w:p>
              </w:tc>
              <w:tc>
                <w:tcPr>
                  <w:tcW w:w="2075" w:type="dxa"/>
                  <w:gridSpan w:val="6"/>
                  <w:vAlign w:val="center"/>
                </w:tcPr>
                <w:p>
                  <w:pPr>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本项目</w:t>
                  </w:r>
                  <w:r>
                    <w:rPr>
                      <w:rFonts w:ascii="Times New Roman" w:hAnsi="Times New Roman" w:cs="Times New Roman"/>
                      <w:sz w:val="18"/>
                      <w:szCs w:val="18"/>
                    </w:rPr>
                    <w:t>最大占标率≤30％□</w:t>
                  </w:r>
                </w:p>
              </w:tc>
              <w:tc>
                <w:tcPr>
                  <w:tcW w:w="3558" w:type="dxa"/>
                  <w:gridSpan w:val="11"/>
                  <w:vAlign w:val="center"/>
                </w:tcPr>
                <w:p>
                  <w:pPr>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本项目</w:t>
                  </w:r>
                  <w:r>
                    <w:rPr>
                      <w:rFonts w:ascii="Times New Roman" w:hAnsi="Times New Roman" w:cs="Times New Roman"/>
                      <w:sz w:val="18"/>
                      <w:szCs w:val="18"/>
                    </w:rPr>
                    <w:t>最大占标率＞30％□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非正常排放1h浓度贡献值</w:t>
                  </w:r>
                </w:p>
              </w:tc>
              <w:tc>
                <w:tcPr>
                  <w:tcW w:w="1729"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非正常持续时长</w:t>
                  </w:r>
                </w:p>
                <w:p>
                  <w:pPr>
                    <w:ind w:firstLine="180" w:firstLineChars="100"/>
                    <w:jc w:val="center"/>
                    <w:rPr>
                      <w:rFonts w:ascii="Times New Roman" w:hAnsi="Times New Roman" w:cs="Times New Roman"/>
                      <w:sz w:val="18"/>
                      <w:szCs w:val="18"/>
                    </w:rPr>
                  </w:pPr>
                  <w:r>
                    <w:rPr>
                      <w:rFonts w:ascii="Times New Roman" w:hAnsi="Times New Roman" w:cs="Times New Roman"/>
                      <w:sz w:val="18"/>
                      <w:szCs w:val="18"/>
                    </w:rPr>
                    <w:t>（ ）h</w:t>
                  </w:r>
                </w:p>
              </w:tc>
              <w:tc>
                <w:tcPr>
                  <w:tcW w:w="3192" w:type="dxa"/>
                  <w:gridSpan w:val="10"/>
                  <w:vAlign w:val="center"/>
                </w:tcPr>
                <w:p>
                  <w:pPr>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非正常</w:t>
                  </w:r>
                  <w:r>
                    <w:rPr>
                      <w:rFonts w:ascii="Times New Roman" w:hAnsi="Times New Roman" w:cs="Times New Roman"/>
                      <w:sz w:val="18"/>
                      <w:szCs w:val="18"/>
                    </w:rPr>
                    <w:t>占标率≤100％□</w:t>
                  </w:r>
                </w:p>
              </w:tc>
              <w:tc>
                <w:tcPr>
                  <w:tcW w:w="2039" w:type="dxa"/>
                  <w:gridSpan w:val="6"/>
                  <w:vAlign w:val="center"/>
                </w:tcPr>
                <w:p>
                  <w:pPr>
                    <w:ind w:firstLine="360" w:firstLineChars="200"/>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非正常</w:t>
                  </w:r>
                  <w:r>
                    <w:rPr>
                      <w:rFonts w:ascii="Times New Roman" w:hAnsi="Times New Roman" w:cs="Times New Roman"/>
                      <w:sz w:val="18"/>
                      <w:szCs w:val="18"/>
                    </w:rPr>
                    <w:t>占标率＞100％□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保证率日平均浓度和年平均浓度叠加值</w:t>
                  </w:r>
                </w:p>
              </w:tc>
              <w:tc>
                <w:tcPr>
                  <w:tcW w:w="3402"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叠加</w:t>
                  </w:r>
                  <w:r>
                    <w:rPr>
                      <w:rFonts w:ascii="Times New Roman" w:hAnsi="Times New Roman" w:cs="Times New Roman"/>
                      <w:sz w:val="18"/>
                      <w:szCs w:val="18"/>
                    </w:rPr>
                    <w:t>达标□</w:t>
                  </w:r>
                </w:p>
              </w:tc>
              <w:tc>
                <w:tcPr>
                  <w:tcW w:w="3558" w:type="dxa"/>
                  <w:gridSpan w:val="11"/>
                  <w:vAlign w:val="center"/>
                </w:tcPr>
                <w:p>
                  <w:pPr>
                    <w:jc w:val="center"/>
                    <w:rPr>
                      <w:rFonts w:ascii="Times New Roman" w:hAnsi="Times New Roman" w:cs="Times New Roman"/>
                      <w:sz w:val="18"/>
                      <w:szCs w:val="18"/>
                    </w:rPr>
                  </w:pPr>
                  <w:r>
                    <w:rPr>
                      <w:rFonts w:ascii="Times New Roman" w:hAnsi="Times New Roman" w:cs="Times New Roman"/>
                      <w:sz w:val="18"/>
                      <w:szCs w:val="18"/>
                    </w:rPr>
                    <w:t>C</w:t>
                  </w:r>
                  <w:r>
                    <w:rPr>
                      <w:rFonts w:ascii="Times New Roman" w:hAnsi="Times New Roman" w:cs="Times New Roman"/>
                      <w:sz w:val="18"/>
                      <w:szCs w:val="18"/>
                      <w:vertAlign w:val="subscript"/>
                    </w:rPr>
                    <w:t>叠加</w:t>
                  </w:r>
                  <w:r>
                    <w:rPr>
                      <w:rFonts w:ascii="Times New Roman" w:hAnsi="Times New Roman" w:cs="Times New Roman"/>
                      <w:sz w:val="18"/>
                      <w:szCs w:val="18"/>
                    </w:rPr>
                    <w:t>不达标□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区域环境质量的整体变化情况</w:t>
                  </w:r>
                </w:p>
              </w:tc>
              <w:tc>
                <w:tcPr>
                  <w:tcW w:w="3402"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k≤-20％□</w:t>
                  </w:r>
                </w:p>
              </w:tc>
              <w:tc>
                <w:tcPr>
                  <w:tcW w:w="3558" w:type="dxa"/>
                  <w:gridSpan w:val="11"/>
                  <w:vAlign w:val="center"/>
                </w:tcPr>
                <w:p>
                  <w:pPr>
                    <w:jc w:val="center"/>
                    <w:rPr>
                      <w:rFonts w:ascii="Times New Roman" w:hAnsi="Times New Roman" w:cs="Times New Roman"/>
                      <w:sz w:val="18"/>
                      <w:szCs w:val="18"/>
                    </w:rPr>
                  </w:pPr>
                  <w:r>
                    <w:rPr>
                      <w:rFonts w:ascii="Times New Roman" w:hAnsi="Times New Roman" w:cs="Times New Roman"/>
                      <w:sz w:val="18"/>
                      <w:szCs w:val="18"/>
                    </w:rPr>
                    <w:t>K＞-20％□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trPr>
              <w:tc>
                <w:tcPr>
                  <w:tcW w:w="638"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环境监测计划</w:t>
                  </w: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污染源监测</w:t>
                  </w:r>
                </w:p>
              </w:tc>
              <w:tc>
                <w:tcPr>
                  <w:tcW w:w="3402"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监测因子：（非甲烷总烃、颗粒物）</w:t>
                  </w:r>
                </w:p>
              </w:tc>
              <w:tc>
                <w:tcPr>
                  <w:tcW w:w="2531" w:type="dxa"/>
                  <w:gridSpan w:val="9"/>
                  <w:vAlign w:val="center"/>
                </w:tcPr>
                <w:p>
                  <w:pPr>
                    <w:jc w:val="center"/>
                    <w:rPr>
                      <w:rFonts w:ascii="Times New Roman" w:hAnsi="Times New Roman" w:cs="Times New Roman"/>
                      <w:sz w:val="18"/>
                      <w:szCs w:val="18"/>
                    </w:rPr>
                  </w:pPr>
                  <w:r>
                    <w:rPr>
                      <w:rFonts w:ascii="Times New Roman" w:hAnsi="Times New Roman" w:cs="Times New Roman"/>
                      <w:sz w:val="18"/>
                      <w:szCs w:val="18"/>
                    </w:rPr>
                    <w:t>有组织废气监测□</w:t>
                  </w:r>
                </w:p>
                <w:p>
                  <w:pPr>
                    <w:jc w:val="center"/>
                    <w:rPr>
                      <w:rFonts w:ascii="Times New Roman" w:hAnsi="Times New Roman" w:cs="Times New Roman"/>
                      <w:sz w:val="18"/>
                      <w:szCs w:val="18"/>
                    </w:rPr>
                  </w:pPr>
                  <w:r>
                    <w:rPr>
                      <w:rFonts w:ascii="Times New Roman" w:hAnsi="Times New Roman" w:cs="Times New Roman"/>
                      <w:sz w:val="18"/>
                      <w:szCs w:val="18"/>
                    </w:rPr>
                    <w:t>无组织废气监测</w:t>
                  </w:r>
                  <w:r>
                    <w:rPr>
                      <w:rFonts w:ascii="Times New Roman" w:hAnsi="Times New Roman" w:cs="Times New Roman"/>
                      <w:sz w:val="18"/>
                      <w:szCs w:val="18"/>
                    </w:rPr>
                    <w:sym w:font="Wingdings" w:char="00FE"/>
                  </w:r>
                </w:p>
              </w:tc>
              <w:tc>
                <w:tcPr>
                  <w:tcW w:w="1027" w:type="dxa"/>
                  <w:gridSpan w:val="2"/>
                  <w:vAlign w:val="center"/>
                </w:tcPr>
                <w:p>
                  <w:pPr>
                    <w:jc w:val="center"/>
                    <w:rPr>
                      <w:rFonts w:ascii="Times New Roman" w:hAnsi="Times New Roman" w:cs="Times New Roman"/>
                      <w:sz w:val="18"/>
                      <w:szCs w:val="18"/>
                    </w:rPr>
                  </w:pPr>
                  <w:r>
                    <w:rPr>
                      <w:rFonts w:ascii="Times New Roman" w:hAnsi="Times New Roman" w:cs="Times New Roman"/>
                      <w:sz w:val="18"/>
                      <w:szCs w:val="18"/>
                    </w:rPr>
                    <w:t>无检测□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环境质量监测</w:t>
                  </w:r>
                </w:p>
              </w:tc>
              <w:tc>
                <w:tcPr>
                  <w:tcW w:w="3402" w:type="dxa"/>
                  <w:gridSpan w:val="8"/>
                  <w:vAlign w:val="center"/>
                </w:tcPr>
                <w:p>
                  <w:pPr>
                    <w:jc w:val="center"/>
                    <w:rPr>
                      <w:rFonts w:ascii="Times New Roman" w:hAnsi="Times New Roman" w:cs="Times New Roman"/>
                      <w:sz w:val="18"/>
                      <w:szCs w:val="18"/>
                    </w:rPr>
                  </w:pPr>
                  <w:r>
                    <w:rPr>
                      <w:rFonts w:ascii="Times New Roman" w:hAnsi="Times New Roman" w:cs="Times New Roman"/>
                      <w:sz w:val="18"/>
                      <w:szCs w:val="18"/>
                    </w:rPr>
                    <w:t>监测因子：（       ）</w:t>
                  </w:r>
                </w:p>
              </w:tc>
              <w:tc>
                <w:tcPr>
                  <w:tcW w:w="2531" w:type="dxa"/>
                  <w:gridSpan w:val="9"/>
                  <w:vAlign w:val="center"/>
                </w:tcPr>
                <w:p>
                  <w:pPr>
                    <w:jc w:val="center"/>
                    <w:rPr>
                      <w:rFonts w:ascii="Times New Roman" w:hAnsi="Times New Roman" w:cs="Times New Roman"/>
                      <w:sz w:val="18"/>
                      <w:szCs w:val="18"/>
                    </w:rPr>
                  </w:pPr>
                  <w:r>
                    <w:rPr>
                      <w:rFonts w:ascii="Times New Roman" w:hAnsi="Times New Roman" w:cs="Times New Roman"/>
                      <w:sz w:val="18"/>
                      <w:szCs w:val="18"/>
                    </w:rPr>
                    <w:t>监测点位数（   ）</w:t>
                  </w:r>
                </w:p>
              </w:tc>
              <w:tc>
                <w:tcPr>
                  <w:tcW w:w="1027" w:type="dxa"/>
                  <w:gridSpan w:val="2"/>
                  <w:vAlign w:val="center"/>
                </w:tcPr>
                <w:p>
                  <w:pPr>
                    <w:jc w:val="center"/>
                    <w:rPr>
                      <w:rFonts w:ascii="Times New Roman" w:hAnsi="Times New Roman" w:cs="Times New Roman"/>
                      <w:sz w:val="18"/>
                      <w:szCs w:val="18"/>
                    </w:rPr>
                  </w:pPr>
                  <w:r>
                    <w:rPr>
                      <w:rFonts w:ascii="Times New Roman" w:hAnsi="Times New Roman" w:cs="Times New Roman"/>
                      <w:sz w:val="18"/>
                      <w:szCs w:val="18"/>
                    </w:rPr>
                    <w:t>无检测</w:t>
                  </w:r>
                  <w:r>
                    <w:rPr>
                      <w:rFonts w:ascii="Times New Roman" w:hAnsi="Times New Roman" w:cs="Times New Roman"/>
                      <w:sz w:val="18"/>
                      <w:szCs w:val="18"/>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38"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评价结论</w:t>
                  </w: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环境影响</w:t>
                  </w:r>
                </w:p>
              </w:tc>
              <w:tc>
                <w:tcPr>
                  <w:tcW w:w="6960" w:type="dxa"/>
                  <w:gridSpan w:val="19"/>
                  <w:vAlign w:val="center"/>
                </w:tcPr>
                <w:p>
                  <w:pPr>
                    <w:jc w:val="center"/>
                    <w:rPr>
                      <w:rFonts w:ascii="Times New Roman" w:hAnsi="Times New Roman" w:cs="Times New Roman"/>
                      <w:sz w:val="18"/>
                      <w:szCs w:val="18"/>
                    </w:rPr>
                  </w:pPr>
                  <w:r>
                    <w:rPr>
                      <w:rFonts w:ascii="Times New Roman" w:hAnsi="Times New Roman" w:cs="Times New Roman"/>
                      <w:sz w:val="18"/>
                      <w:szCs w:val="18"/>
                    </w:rPr>
                    <w:t>可以接受</w:t>
                  </w:r>
                  <w:r>
                    <w:rPr>
                      <w:rFonts w:ascii="Times New Roman" w:hAnsi="Times New Roman" w:cs="Times New Roman"/>
                      <w:sz w:val="18"/>
                      <w:szCs w:val="18"/>
                    </w:rPr>
                    <w:sym w:font="Wingdings" w:char="00FE"/>
                  </w:r>
                  <w:r>
                    <w:rPr>
                      <w:rFonts w:ascii="Times New Roman" w:hAnsi="Times New Roman" w:cs="Times New Roman"/>
                      <w:sz w:val="18"/>
                      <w:szCs w:val="18"/>
                    </w:rPr>
                    <w:t xml:space="preserve">                不可以接受□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大气环境防护距离</w:t>
                  </w:r>
                </w:p>
              </w:tc>
              <w:tc>
                <w:tcPr>
                  <w:tcW w:w="6960" w:type="dxa"/>
                  <w:gridSpan w:val="19"/>
                  <w:vAlign w:val="center"/>
                </w:tcPr>
                <w:p>
                  <w:pPr>
                    <w:jc w:val="center"/>
                    <w:rPr>
                      <w:rFonts w:ascii="Times New Roman" w:hAnsi="Times New Roman" w:cs="Times New Roman"/>
                      <w:sz w:val="18"/>
                      <w:szCs w:val="18"/>
                    </w:rPr>
                  </w:pPr>
                  <w:r>
                    <w:rPr>
                      <w:rFonts w:ascii="Times New Roman" w:hAnsi="Times New Roman" w:cs="Times New Roman"/>
                      <w:sz w:val="18"/>
                      <w:szCs w:val="18"/>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8" w:type="dxa"/>
                  <w:vMerge w:val="continue"/>
                  <w:vAlign w:val="center"/>
                </w:tcPr>
                <w:p>
                  <w:pPr>
                    <w:jc w:val="center"/>
                    <w:rPr>
                      <w:rFonts w:ascii="Times New Roman" w:hAnsi="Times New Roman" w:cs="Times New Roman"/>
                      <w:sz w:val="18"/>
                      <w:szCs w:val="18"/>
                    </w:rPr>
                  </w:pPr>
                </w:p>
              </w:tc>
              <w:tc>
                <w:tcPr>
                  <w:tcW w:w="1243" w:type="dxa"/>
                  <w:vAlign w:val="center"/>
                </w:tcPr>
                <w:p>
                  <w:pPr>
                    <w:jc w:val="center"/>
                    <w:rPr>
                      <w:rFonts w:ascii="Times New Roman" w:hAnsi="Times New Roman" w:cs="Times New Roman"/>
                      <w:sz w:val="18"/>
                      <w:szCs w:val="18"/>
                    </w:rPr>
                  </w:pPr>
                  <w:r>
                    <w:rPr>
                      <w:rFonts w:ascii="Times New Roman" w:hAnsi="Times New Roman" w:cs="Times New Roman"/>
                      <w:sz w:val="18"/>
                      <w:szCs w:val="18"/>
                    </w:rPr>
                    <w:t>污染源年排放量</w:t>
                  </w:r>
                </w:p>
              </w:tc>
              <w:tc>
                <w:tcPr>
                  <w:tcW w:w="1729" w:type="dxa"/>
                  <w:gridSpan w:val="3"/>
                  <w:vAlign w:val="center"/>
                </w:tcPr>
                <w:p>
                  <w:pPr>
                    <w:jc w:val="center"/>
                    <w:rPr>
                      <w:rFonts w:ascii="Times New Roman" w:hAnsi="Times New Roman" w:cs="Times New Roman"/>
                      <w:sz w:val="18"/>
                      <w:szCs w:val="18"/>
                    </w:rPr>
                  </w:pPr>
                  <w:r>
                    <w:rPr>
                      <w:rFonts w:ascii="Times New Roman" w:hAnsi="Times New Roman" w:cs="Times New Roman"/>
                      <w:sz w:val="18"/>
                      <w:szCs w:val="18"/>
                    </w:rPr>
                    <w:t>SO</w:t>
                  </w:r>
                  <w:r>
                    <w:rPr>
                      <w:rFonts w:ascii="Times New Roman" w:hAnsi="Times New Roman" w:cs="Times New Roman"/>
                      <w:sz w:val="18"/>
                      <w:szCs w:val="18"/>
                      <w:vertAlign w:val="subscript"/>
                    </w:rPr>
                    <w:t>2</w:t>
                  </w:r>
                  <w:r>
                    <w:rPr>
                      <w:rFonts w:ascii="Times New Roman" w:hAnsi="Times New Roman" w:cs="Times New Roman"/>
                      <w:sz w:val="18"/>
                      <w:szCs w:val="18"/>
                    </w:rPr>
                    <w:t>（   ）t/a</w:t>
                  </w:r>
                </w:p>
              </w:tc>
              <w:tc>
                <w:tcPr>
                  <w:tcW w:w="1673" w:type="dxa"/>
                  <w:gridSpan w:val="5"/>
                  <w:vAlign w:val="center"/>
                </w:tcPr>
                <w:p>
                  <w:pPr>
                    <w:jc w:val="center"/>
                    <w:rPr>
                      <w:rFonts w:ascii="Times New Roman" w:hAnsi="Times New Roman" w:cs="Times New Roman"/>
                      <w:sz w:val="18"/>
                      <w:szCs w:val="18"/>
                    </w:rPr>
                  </w:pPr>
                  <w:r>
                    <w:rPr>
                      <w:rFonts w:ascii="Times New Roman" w:hAnsi="Times New Roman" w:cs="Times New Roman"/>
                      <w:sz w:val="18"/>
                      <w:szCs w:val="18"/>
                    </w:rPr>
                    <w:t>NO</w:t>
                  </w:r>
                  <w:r>
                    <w:rPr>
                      <w:rFonts w:ascii="Times New Roman" w:hAnsi="Times New Roman" w:cs="Times New Roman"/>
                      <w:sz w:val="18"/>
                      <w:szCs w:val="18"/>
                      <w:vertAlign w:val="subscript"/>
                    </w:rPr>
                    <w:t>X</w:t>
                  </w:r>
                  <w:r>
                    <w:rPr>
                      <w:rFonts w:ascii="Times New Roman" w:hAnsi="Times New Roman" w:cs="Times New Roman"/>
                      <w:sz w:val="18"/>
                      <w:szCs w:val="18"/>
                    </w:rPr>
                    <w:t>（  ）t/a</w:t>
                  </w:r>
                </w:p>
              </w:tc>
              <w:tc>
                <w:tcPr>
                  <w:tcW w:w="2168" w:type="dxa"/>
                  <w:gridSpan w:val="7"/>
                  <w:vAlign w:val="center"/>
                </w:tcPr>
                <w:p>
                  <w:pPr>
                    <w:jc w:val="center"/>
                    <w:rPr>
                      <w:rFonts w:ascii="Times New Roman" w:hAnsi="Times New Roman" w:cs="Times New Roman"/>
                      <w:color w:val="000000"/>
                      <w:sz w:val="18"/>
                      <w:szCs w:val="18"/>
                    </w:rPr>
                  </w:pPr>
                  <w:r>
                    <w:rPr>
                      <w:rFonts w:ascii="Times New Roman" w:hAnsi="Times New Roman" w:cs="Times New Roman"/>
                      <w:color w:val="000000"/>
                      <w:sz w:val="18"/>
                      <w:szCs w:val="18"/>
                    </w:rPr>
                    <w:t>颗粒物 （0.0041t/a）</w:t>
                  </w:r>
                </w:p>
              </w:tc>
              <w:tc>
                <w:tcPr>
                  <w:tcW w:w="1390" w:type="dxa"/>
                  <w:gridSpan w:val="4"/>
                  <w:vAlign w:val="center"/>
                </w:tcPr>
                <w:p>
                  <w:pPr>
                    <w:jc w:val="center"/>
                    <w:rPr>
                      <w:rFonts w:ascii="Times New Roman" w:hAnsi="Times New Roman" w:cs="Times New Roman"/>
                      <w:color w:val="000000"/>
                      <w:sz w:val="18"/>
                      <w:szCs w:val="18"/>
                    </w:rPr>
                  </w:pPr>
                  <w:r>
                    <w:rPr>
                      <w:rFonts w:ascii="Times New Roman" w:hAnsi="Times New Roman" w:cs="Times New Roman"/>
                      <w:color w:val="000000"/>
                      <w:sz w:val="18"/>
                      <w:szCs w:val="18"/>
                    </w:rPr>
                    <w:t>VOC</w:t>
                  </w:r>
                  <w:r>
                    <w:rPr>
                      <w:rFonts w:ascii="Times New Roman" w:hAnsi="Times New Roman" w:cs="Times New Roman"/>
                      <w:color w:val="000000"/>
                      <w:sz w:val="18"/>
                      <w:szCs w:val="18"/>
                      <w:vertAlign w:val="subscript"/>
                    </w:rPr>
                    <w:t>S</w:t>
                  </w:r>
                  <w:r>
                    <w:rPr>
                      <w:rFonts w:ascii="Times New Roman" w:hAnsi="Times New Roman" w:cs="Times New Roman"/>
                      <w:color w:val="000000"/>
                      <w:sz w:val="18"/>
                      <w:szCs w:val="18"/>
                    </w:rPr>
                    <w:t>0.0036t/a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8841" w:type="dxa"/>
                  <w:gridSpan w:val="21"/>
                  <w:vAlign w:val="center"/>
                </w:tcPr>
                <w:p>
                  <w:pPr>
                    <w:jc w:val="center"/>
                    <w:rPr>
                      <w:rFonts w:ascii="Times New Roman" w:hAnsi="Times New Roman" w:cs="Times New Roman"/>
                      <w:sz w:val="18"/>
                      <w:szCs w:val="18"/>
                    </w:rPr>
                  </w:pPr>
                  <w:r>
                    <w:rPr>
                      <w:rFonts w:ascii="Times New Roman" w:hAnsi="Times New Roman" w:cs="Times New Roman"/>
                      <w:sz w:val="18"/>
                      <w:szCs w:val="18"/>
                    </w:rPr>
                    <w:t>注： “□” 为勾选项，填 “√”;“（）”为内容填写项</w:t>
                  </w:r>
                </w:p>
              </w:tc>
            </w:tr>
          </w:tbl>
          <w:p>
            <w:pPr>
              <w:spacing w:line="360" w:lineRule="auto"/>
              <w:ind w:firstLine="482"/>
              <w:rPr>
                <w:rFonts w:ascii="Times New Roman" w:hAnsi="Times New Roman" w:cs="Times New Roman"/>
                <w:b/>
                <w:sz w:val="24"/>
                <w:szCs w:val="20"/>
              </w:rPr>
            </w:pPr>
            <w:r>
              <w:rPr>
                <w:rFonts w:ascii="Times New Roman" w:hAnsi="Times New Roman" w:cs="Times New Roman"/>
                <w:b/>
                <w:sz w:val="24"/>
                <w:szCs w:val="20"/>
              </w:rPr>
              <w:t>3、声环境影响分析</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本项目噪声主要来源于设备的运转噪声，其噪声源强在75-85dB(A)之间，针对以上噪声设备，本项目主要采取以下措施对其降噪：</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项目按照工业设备安装的有关规范，合理布局；</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（1）生产设备都将设置于生产车间内，利用围墙和门窗对其隔声；</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（2）对生产设备安装减震垫，采取减振、消声措施；</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（3）合理安排高噪声设备位置，尽量将其安置在远离敏感点的位置，利用距离衰减减少产噪设备对敏感点声环境的影响；</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（4）严格控制生产时间，夜间不生产；</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（5）加强公司人员管理，正确规范操作设备；</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（6）加强机械设备的日常维护，减少不必要的噪声源发生。</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综合上述，新建项目所有的设备均安置于厂界车间内，设计降噪量达20dB(A)以上。</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建设项目选择东、西、南、北厂界作为关注点，根据声环境评价导则（HJ2.4-2009）的规定，选取预测模式，应用过程中将根据具体情况作必要简化，计算过程如下：</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（1）声环境影响预测模式</w:t>
            </w:r>
          </w:p>
          <w:p>
            <w:pPr>
              <w:snapToGrid w:val="0"/>
              <w:spacing w:line="360" w:lineRule="auto"/>
              <w:ind w:firstLine="480" w:firstLineChars="200"/>
              <w:jc w:val="center"/>
              <w:rPr>
                <w:rFonts w:ascii="Times New Roman" w:hAnsi="Times New Roman" w:cs="Times New Roman"/>
                <w:sz w:val="24"/>
              </w:rPr>
            </w:pPr>
            <w:r>
              <w:rPr>
                <w:rFonts w:ascii="Times New Roman" w:hAnsi="Times New Roman" w:cs="Times New Roman"/>
                <w:sz w:val="24"/>
              </w:rPr>
              <w:object>
                <v:shape id="_x0000_i1028" o:spt="75" type="#_x0000_t75" style="height:15.5pt;width:87.45pt;" o:ole="t" filled="f" o:preferrelative="t" stroked="f" coordsize="21600,21600">
                  <v:path/>
                  <v:fill on="f" focussize="0,0"/>
                  <v:stroke on="f" joinstyle="miter"/>
                  <v:imagedata r:id="rId15" o:title=""/>
                  <o:lock v:ext="edit" aspectratio="t"/>
                  <w10:wrap type="none"/>
                  <w10:anchorlock/>
                </v:shape>
                <o:OLEObject Type="Embed" ProgID="Equation.3" ShapeID="_x0000_i1028" DrawAspect="Content" ObjectID="_1468075728" r:id="rId14">
                  <o:LockedField>false</o:LockedField>
                </o:OLEObject>
              </w:objec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式中：L</w:t>
            </w:r>
            <w:r>
              <w:rPr>
                <w:rFonts w:ascii="Times New Roman" w:hAnsi="Times New Roman" w:cs="Times New Roman"/>
                <w:sz w:val="24"/>
                <w:vertAlign w:val="subscript"/>
              </w:rPr>
              <w:t>A(r)</w:t>
            </w:r>
            <w:r>
              <w:rPr>
                <w:rFonts w:ascii="Times New Roman" w:hAnsi="Times New Roman" w:cs="Times New Roman"/>
                <w:sz w:val="24"/>
              </w:rPr>
              <w:t>——预测点r处A声级，dB(A)；</w:t>
            </w:r>
          </w:p>
          <w:p>
            <w:pPr>
              <w:snapToGrid w:val="0"/>
              <w:spacing w:line="360" w:lineRule="auto"/>
              <w:ind w:firstLine="1200" w:firstLineChars="500"/>
              <w:jc w:val="left"/>
              <w:rPr>
                <w:rFonts w:ascii="Times New Roman" w:hAnsi="Times New Roman" w:cs="Times New Roman"/>
                <w:sz w:val="24"/>
              </w:rPr>
            </w:pPr>
            <w:r>
              <w:rPr>
                <w:rFonts w:ascii="Times New Roman" w:hAnsi="Times New Roman" w:cs="Times New Roman"/>
                <w:sz w:val="24"/>
              </w:rPr>
              <w:t>L</w:t>
            </w:r>
            <w:r>
              <w:rPr>
                <w:rFonts w:ascii="Times New Roman" w:hAnsi="Times New Roman" w:cs="Times New Roman"/>
                <w:sz w:val="24"/>
                <w:vertAlign w:val="subscript"/>
              </w:rPr>
              <w:t>A(r0)</w:t>
            </w:r>
            <w:r>
              <w:rPr>
                <w:rFonts w:ascii="Times New Roman" w:hAnsi="Times New Roman" w:cs="Times New Roman"/>
                <w:sz w:val="24"/>
              </w:rPr>
              <w:t>——r0处A声级，dB(A)；</w:t>
            </w:r>
          </w:p>
          <w:p>
            <w:pPr>
              <w:snapToGrid w:val="0"/>
              <w:spacing w:line="360" w:lineRule="auto"/>
              <w:ind w:firstLine="1200" w:firstLineChars="500"/>
              <w:jc w:val="left"/>
              <w:rPr>
                <w:rFonts w:ascii="Times New Roman" w:hAnsi="Times New Roman" w:cs="Times New Roman"/>
                <w:sz w:val="24"/>
              </w:rPr>
            </w:pPr>
            <w:r>
              <w:rPr>
                <w:rFonts w:ascii="Times New Roman" w:hAnsi="Times New Roman" w:cs="Times New Roman"/>
                <w:sz w:val="24"/>
              </w:rPr>
              <w:t>A—倍频带衰减，dB（A）；</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（2）建设项目声源在预测点产生的等效声级贡献值(Leqg)计算公式：</w:t>
            </w:r>
          </w:p>
          <w:p>
            <w:pPr>
              <w:snapToGrid w:val="0"/>
              <w:spacing w:line="360" w:lineRule="auto"/>
              <w:ind w:firstLine="480" w:firstLineChars="200"/>
              <w:jc w:val="center"/>
              <w:rPr>
                <w:rFonts w:ascii="Times New Roman" w:hAnsi="Times New Roman" w:cs="Times New Roman"/>
                <w:sz w:val="24"/>
              </w:rPr>
            </w:pPr>
            <w:r>
              <w:rPr>
                <w:rFonts w:ascii="Times New Roman" w:hAnsi="Times New Roman" w:cs="Times New Roman"/>
                <w:sz w:val="24"/>
              </w:rPr>
              <w:object>
                <v:shape id="_x0000_i1029" o:spt="75" type="#_x0000_t75" style="height:31pt;width:128.5pt;" o:ole="t" filled="f" o:preferrelative="t" stroked="f" coordsize="21600,21600">
                  <v:path/>
                  <v:fill on="f" focussize="0,0"/>
                  <v:stroke on="f" joinstyle="miter"/>
                  <v:imagedata r:id="rId17" o:title=""/>
                  <o:lock v:ext="edit" aspectratio="t"/>
                  <w10:wrap type="none"/>
                  <w10:anchorlock/>
                </v:shape>
                <o:OLEObject Type="Embed" ProgID="Equation.3" ShapeID="_x0000_i1029" DrawAspect="Content" ObjectID="_1468075729" r:id="rId16">
                  <o:LockedField>false</o:LockedField>
                </o:OLEObject>
              </w:objec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式中：L</w:t>
            </w:r>
            <w:r>
              <w:rPr>
                <w:rFonts w:ascii="Times New Roman" w:hAnsi="Times New Roman" w:cs="Times New Roman"/>
                <w:sz w:val="24"/>
                <w:vertAlign w:val="subscript"/>
              </w:rPr>
              <w:t>eqg</w:t>
            </w:r>
            <w:r>
              <w:rPr>
                <w:rFonts w:ascii="Times New Roman" w:hAnsi="Times New Roman" w:cs="Times New Roman"/>
                <w:sz w:val="24"/>
              </w:rPr>
              <w:t>—建设项目声源在预测点的等效声级贡献值，dB(A)；</w:t>
            </w:r>
          </w:p>
          <w:p>
            <w:pPr>
              <w:snapToGrid w:val="0"/>
              <w:spacing w:line="360" w:lineRule="auto"/>
              <w:ind w:firstLine="1200" w:firstLineChars="500"/>
              <w:rPr>
                <w:rFonts w:ascii="Times New Roman" w:hAnsi="Times New Roman" w:cs="Times New Roman"/>
                <w:sz w:val="24"/>
              </w:rPr>
            </w:pPr>
            <w:r>
              <w:rPr>
                <w:rFonts w:ascii="Times New Roman" w:hAnsi="Times New Roman" w:cs="Times New Roman"/>
                <w:sz w:val="24"/>
              </w:rPr>
              <w:t>L</w:t>
            </w:r>
            <w:r>
              <w:rPr>
                <w:rFonts w:ascii="Times New Roman" w:hAnsi="Times New Roman" w:cs="Times New Roman"/>
                <w:sz w:val="24"/>
                <w:vertAlign w:val="subscript"/>
              </w:rPr>
              <w:t>Ai</w:t>
            </w:r>
            <w:r>
              <w:rPr>
                <w:rFonts w:ascii="Times New Roman" w:hAnsi="Times New Roman" w:cs="Times New Roman"/>
                <w:sz w:val="24"/>
              </w:rPr>
              <w:t>—i声源在预测点产生的A声级，dB(A)；</w:t>
            </w:r>
          </w:p>
          <w:p>
            <w:pPr>
              <w:snapToGrid w:val="0"/>
              <w:spacing w:line="360" w:lineRule="auto"/>
              <w:ind w:firstLine="1200" w:firstLineChars="500"/>
              <w:rPr>
                <w:rFonts w:ascii="Times New Roman" w:hAnsi="Times New Roman" w:cs="Times New Roman"/>
                <w:sz w:val="24"/>
              </w:rPr>
            </w:pPr>
            <w:r>
              <w:rPr>
                <w:rFonts w:ascii="Times New Roman" w:hAnsi="Times New Roman" w:cs="Times New Roman"/>
                <w:sz w:val="24"/>
              </w:rPr>
              <w:t>T—预测计算的时间段，s；</w:t>
            </w:r>
          </w:p>
          <w:p>
            <w:pPr>
              <w:snapToGrid w:val="0"/>
              <w:spacing w:line="360" w:lineRule="auto"/>
              <w:ind w:firstLine="1200" w:firstLineChars="500"/>
              <w:rPr>
                <w:rFonts w:ascii="Times New Roman" w:hAnsi="Times New Roman" w:cs="Times New Roman"/>
                <w:sz w:val="24"/>
              </w:rPr>
            </w:pPr>
            <w:r>
              <w:rPr>
                <w:rFonts w:ascii="Times New Roman" w:hAnsi="Times New Roman" w:cs="Times New Roman"/>
                <w:sz w:val="24"/>
              </w:rPr>
              <w:t>ti—i声源在T时段内的运行时间，s。</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（3）预测点的预测等效声级(Leq)计算公式：</w:t>
            </w:r>
          </w:p>
          <w:p>
            <w:pPr>
              <w:snapToGrid w:val="0"/>
              <w:spacing w:line="360" w:lineRule="auto"/>
              <w:ind w:firstLine="480" w:firstLineChars="200"/>
              <w:jc w:val="center"/>
              <w:rPr>
                <w:rFonts w:ascii="Times New Roman" w:hAnsi="Times New Roman" w:cs="Times New Roman"/>
                <w:sz w:val="24"/>
              </w:rPr>
            </w:pPr>
            <w:r>
              <w:rPr>
                <w:rFonts w:ascii="Times New Roman" w:hAnsi="Times New Roman" w:cs="Times New Roman"/>
                <w:sz w:val="24"/>
              </w:rPr>
              <w:object>
                <v:shape id="_x0000_i1030" o:spt="75" type="#_x0000_t75" style="height:21.05pt;width:140.7pt;" o:ole="t" filled="f" o:preferrelative="t" stroked="f" coordsize="21600,21600">
                  <v:path/>
                  <v:fill on="f" focussize="0,0"/>
                  <v:stroke on="f" joinstyle="miter"/>
                  <v:imagedata r:id="rId19" o:title=""/>
                  <o:lock v:ext="edit" aspectratio="t"/>
                  <w10:wrap type="none"/>
                  <w10:anchorlock/>
                </v:shape>
                <o:OLEObject Type="Embed" ProgID="Equation.3" ShapeID="_x0000_i1030" DrawAspect="Content" ObjectID="_1468075730" r:id="rId18">
                  <o:LockedField>false</o:LockedField>
                </o:OLEObject>
              </w:objec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式中：L</w:t>
            </w:r>
            <w:r>
              <w:rPr>
                <w:rFonts w:ascii="Times New Roman" w:hAnsi="Times New Roman" w:cs="Times New Roman"/>
                <w:sz w:val="24"/>
                <w:vertAlign w:val="subscript"/>
              </w:rPr>
              <w:t>eqg</w:t>
            </w:r>
            <w:r>
              <w:rPr>
                <w:rFonts w:ascii="Times New Roman" w:hAnsi="Times New Roman" w:cs="Times New Roman"/>
                <w:sz w:val="24"/>
              </w:rPr>
              <w:t>—建设项目声源在预测点的等效声级贡献值，dB(A)；</w:t>
            </w:r>
          </w:p>
          <w:p>
            <w:pPr>
              <w:snapToGrid w:val="0"/>
              <w:spacing w:line="360" w:lineRule="auto"/>
              <w:ind w:firstLine="1200" w:firstLineChars="500"/>
              <w:rPr>
                <w:rFonts w:ascii="Times New Roman" w:hAnsi="Times New Roman" w:cs="Times New Roman"/>
                <w:sz w:val="24"/>
              </w:rPr>
            </w:pPr>
            <w:r>
              <w:rPr>
                <w:rFonts w:ascii="Times New Roman" w:hAnsi="Times New Roman" w:cs="Times New Roman"/>
                <w:sz w:val="24"/>
              </w:rPr>
              <w:t>L</w:t>
            </w:r>
            <w:r>
              <w:rPr>
                <w:rFonts w:ascii="Times New Roman" w:hAnsi="Times New Roman" w:cs="Times New Roman"/>
                <w:sz w:val="24"/>
                <w:vertAlign w:val="subscript"/>
              </w:rPr>
              <w:t>eqb</w:t>
            </w:r>
            <w:r>
              <w:rPr>
                <w:rFonts w:ascii="Times New Roman" w:hAnsi="Times New Roman" w:cs="Times New Roman"/>
                <w:sz w:val="24"/>
              </w:rPr>
              <w:t>—预测点的背景值，dB(A)</w:t>
            </w:r>
            <w:r>
              <w:rPr>
                <w:rFonts w:ascii="Times New Roman" w:hAnsi="Times New Roman" w:cs="Times New Roman"/>
                <w:sz w:val="24"/>
              </w:rPr>
              <w:object>
                <v:shape id="_x0000_i1031" o:spt="75" type="#_x0000_t75" style="height:16.6pt;width:72pt;" o:ole="t" filled="f" o:preferrelative="t" stroked="f" coordsize="21600,21600">
                  <v:path/>
                  <v:fill on="f" focussize="0,0"/>
                  <v:stroke on="f" joinstyle="miter"/>
                  <v:imagedata r:id="rId21" o:title=""/>
                  <o:lock v:ext="edit" aspectratio="t"/>
                  <w10:wrap type="none"/>
                  <w10:anchorlock/>
                </v:shape>
                <o:OLEObject Type="Embed" ProgID="Equation.3" ShapeID="_x0000_i1031" DrawAspect="Content" ObjectID="_1468075731" r:id="rId20">
                  <o:LockedField>false</o:LockedField>
                </o:OLEObject>
              </w:objec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（4）在环境噪声预测中各噪声源作为点声源处理，故几何发散衰减：</w:t>
            </w:r>
          </w:p>
          <w:p>
            <w:pPr>
              <w:snapToGrid w:val="0"/>
              <w:spacing w:line="360" w:lineRule="auto"/>
              <w:ind w:firstLine="480" w:firstLineChars="200"/>
              <w:jc w:val="center"/>
              <w:rPr>
                <w:rFonts w:ascii="Times New Roman" w:hAnsi="Times New Roman" w:cs="Times New Roman"/>
                <w:sz w:val="24"/>
              </w:rPr>
            </w:pPr>
            <w:r>
              <w:rPr>
                <w:rFonts w:ascii="Times New Roman" w:hAnsi="Times New Roman" w:cs="Times New Roman"/>
                <w:sz w:val="24"/>
              </w:rPr>
              <w:object>
                <v:shape id="_x0000_i1032" o:spt="75" type="#_x0000_t75" style="height:18.85pt;width:88.65pt;" o:ole="t" filled="f" o:preferrelative="t" stroked="f" coordsize="21600,21600">
                  <v:path/>
                  <v:fill on="f" focussize="0,0"/>
                  <v:stroke on="f" joinstyle="miter"/>
                  <v:imagedata r:id="rId23" o:title=""/>
                  <o:lock v:ext="edit" aspectratio="t"/>
                  <w10:wrap type="none"/>
                  <w10:anchorlock/>
                </v:shape>
                <o:OLEObject Type="Embed" ProgID="Equation.3" ShapeID="_x0000_i1032" DrawAspect="Content" ObjectID="_1468075732" r:id="rId22">
                  <o:LockedField>false</o:LockedField>
                </o:OLEObject>
              </w:objec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式中：A</w:t>
            </w:r>
            <w:r>
              <w:rPr>
                <w:rFonts w:ascii="Times New Roman" w:hAnsi="Times New Roman" w:cs="Times New Roman"/>
                <w:sz w:val="24"/>
                <w:vertAlign w:val="subscript"/>
              </w:rPr>
              <w:t>div</w:t>
            </w:r>
            <w:r>
              <w:rPr>
                <w:rFonts w:ascii="Times New Roman" w:hAnsi="Times New Roman" w:cs="Times New Roman"/>
                <w:sz w:val="24"/>
              </w:rPr>
              <w:t>——几何发散衰减；</w:t>
            </w:r>
          </w:p>
          <w:p>
            <w:pPr>
              <w:snapToGrid w:val="0"/>
              <w:spacing w:line="360" w:lineRule="auto"/>
              <w:ind w:firstLine="1200" w:firstLineChars="500"/>
              <w:rPr>
                <w:rFonts w:ascii="Times New Roman" w:hAnsi="Times New Roman" w:cs="Times New Roman"/>
                <w:sz w:val="24"/>
              </w:rPr>
            </w:pPr>
            <w:r>
              <w:rPr>
                <w:rFonts w:ascii="Times New Roman" w:hAnsi="Times New Roman" w:cs="Times New Roman"/>
                <w:sz w:val="24"/>
              </w:rPr>
              <w:t>r0——噪声合成点与噪声源的距离，m；</w:t>
            </w:r>
          </w:p>
          <w:p>
            <w:pPr>
              <w:snapToGrid w:val="0"/>
              <w:spacing w:line="360" w:lineRule="auto"/>
              <w:ind w:firstLine="1200" w:firstLineChars="500"/>
              <w:rPr>
                <w:rFonts w:ascii="Times New Roman" w:hAnsi="Times New Roman" w:cs="Times New Roman"/>
                <w:sz w:val="24"/>
              </w:rPr>
            </w:pPr>
            <w:r>
              <w:rPr>
                <w:rFonts w:ascii="Times New Roman" w:hAnsi="Times New Roman" w:cs="Times New Roman"/>
                <w:sz w:val="24"/>
              </w:rPr>
              <w:t>r——预测点与噪声源的距离，m。</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建设项目建成后全厂噪声影响预测结果见表</w:t>
            </w:r>
          </w:p>
          <w:p>
            <w:pPr>
              <w:snapToGrid w:val="0"/>
              <w:spacing w:line="360" w:lineRule="auto"/>
              <w:ind w:firstLine="482" w:firstLineChars="200"/>
              <w:jc w:val="center"/>
              <w:rPr>
                <w:rFonts w:ascii="Times New Roman" w:hAnsi="Times New Roman" w:cs="Times New Roman"/>
                <w:b/>
                <w:bCs/>
                <w:sz w:val="24"/>
              </w:rPr>
            </w:pPr>
            <w:r>
              <w:rPr>
                <w:rFonts w:ascii="Times New Roman" w:hAnsi="Times New Roman" w:cs="Times New Roman"/>
                <w:b/>
                <w:bCs/>
                <w:sz w:val="24"/>
              </w:rPr>
              <w:t>表7-13 噪声影响预测结果</w:t>
            </w:r>
          </w:p>
          <w:tbl>
            <w:tblPr>
              <w:tblStyle w:val="3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4"/>
              <w:gridCol w:w="2334"/>
              <w:gridCol w:w="1780"/>
              <w:gridCol w:w="2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7" w:type="pct"/>
                  <w:vAlign w:val="bottom"/>
                </w:tcPr>
                <w:p>
                  <w:pPr>
                    <w:jc w:val="center"/>
                    <w:rPr>
                      <w:rFonts w:ascii="Times New Roman" w:hAnsi="Times New Roman" w:cs="Times New Roman"/>
                      <w:b/>
                      <w:bCs/>
                      <w:szCs w:val="21"/>
                    </w:rPr>
                  </w:pPr>
                  <w:r>
                    <w:rPr>
                      <w:rFonts w:ascii="Times New Roman" w:hAnsi="Times New Roman" w:cs="Times New Roman"/>
                      <w:b/>
                      <w:bCs/>
                      <w:szCs w:val="21"/>
                    </w:rPr>
                    <w:t>点位</w:t>
                  </w:r>
                </w:p>
              </w:tc>
              <w:tc>
                <w:tcPr>
                  <w:tcW w:w="1288" w:type="pct"/>
                  <w:vAlign w:val="bottom"/>
                </w:tcPr>
                <w:p>
                  <w:pPr>
                    <w:jc w:val="center"/>
                    <w:rPr>
                      <w:rFonts w:ascii="Times New Roman" w:hAnsi="Times New Roman" w:cs="Times New Roman"/>
                      <w:b/>
                      <w:bCs/>
                      <w:szCs w:val="21"/>
                    </w:rPr>
                  </w:pPr>
                  <w:r>
                    <w:rPr>
                      <w:rFonts w:ascii="Times New Roman" w:hAnsi="Times New Roman" w:cs="Times New Roman"/>
                      <w:b/>
                      <w:bCs/>
                      <w:szCs w:val="21"/>
                    </w:rPr>
                    <w:t>贡献值</w:t>
                  </w:r>
                </w:p>
              </w:tc>
              <w:tc>
                <w:tcPr>
                  <w:tcW w:w="982" w:type="pct"/>
                  <w:vAlign w:val="bottom"/>
                </w:tcPr>
                <w:p>
                  <w:pPr>
                    <w:jc w:val="center"/>
                    <w:rPr>
                      <w:rFonts w:ascii="Times New Roman" w:hAnsi="Times New Roman" w:cs="Times New Roman"/>
                      <w:b/>
                      <w:bCs/>
                      <w:szCs w:val="21"/>
                    </w:rPr>
                  </w:pPr>
                  <w:r>
                    <w:rPr>
                      <w:rFonts w:ascii="Times New Roman" w:hAnsi="Times New Roman" w:cs="Times New Roman"/>
                      <w:b/>
                      <w:bCs/>
                      <w:szCs w:val="21"/>
                    </w:rPr>
                    <w:t>达标情况</w:t>
                  </w:r>
                </w:p>
              </w:tc>
              <w:tc>
                <w:tcPr>
                  <w:tcW w:w="1341" w:type="pct"/>
                  <w:vAlign w:val="bottom"/>
                </w:tcPr>
                <w:p>
                  <w:pPr>
                    <w:jc w:val="center"/>
                    <w:rPr>
                      <w:rFonts w:ascii="Times New Roman" w:hAnsi="Times New Roman" w:cs="Times New Roman"/>
                      <w:b/>
                      <w:bCs/>
                      <w:szCs w:val="21"/>
                    </w:rPr>
                  </w:pPr>
                  <w:r>
                    <w:rPr>
                      <w:rFonts w:ascii="Times New Roman" w:hAnsi="Times New Roman" w:cs="Times New Roman"/>
                      <w:b/>
                      <w:bCs/>
                      <w:szCs w:val="21"/>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87" w:type="pct"/>
                  <w:vAlign w:val="bottom"/>
                </w:tcPr>
                <w:p>
                  <w:pPr>
                    <w:jc w:val="center"/>
                    <w:rPr>
                      <w:rFonts w:ascii="Times New Roman" w:hAnsi="Times New Roman" w:cs="Times New Roman"/>
                      <w:color w:val="000000"/>
                      <w:szCs w:val="21"/>
                    </w:rPr>
                  </w:pPr>
                  <w:r>
                    <w:rPr>
                      <w:rFonts w:ascii="Times New Roman" w:hAnsi="Times New Roman" w:cs="Times New Roman"/>
                      <w:color w:val="000000"/>
                      <w:szCs w:val="21"/>
                    </w:rPr>
                    <w:t>N1东厂界</w:t>
                  </w:r>
                </w:p>
              </w:tc>
              <w:tc>
                <w:tcPr>
                  <w:tcW w:w="1288" w:type="pct"/>
                  <w:vAlign w:val="bottom"/>
                </w:tcPr>
                <w:p>
                  <w:pPr>
                    <w:jc w:val="center"/>
                    <w:rPr>
                      <w:rFonts w:ascii="Times New Roman" w:hAnsi="Times New Roman" w:cs="Times New Roman"/>
                      <w:szCs w:val="21"/>
                    </w:rPr>
                  </w:pPr>
                  <w:r>
                    <w:rPr>
                      <w:rFonts w:ascii="Times New Roman" w:hAnsi="Times New Roman" w:cs="Times New Roman"/>
                      <w:szCs w:val="21"/>
                    </w:rPr>
                    <w:t>6.36</w:t>
                  </w:r>
                </w:p>
              </w:tc>
              <w:tc>
                <w:tcPr>
                  <w:tcW w:w="982" w:type="pct"/>
                  <w:vAlign w:val="bottom"/>
                </w:tcPr>
                <w:p>
                  <w:pPr>
                    <w:jc w:val="center"/>
                    <w:rPr>
                      <w:rFonts w:ascii="Times New Roman" w:hAnsi="Times New Roman" w:cs="Times New Roman"/>
                      <w:color w:val="000000"/>
                      <w:szCs w:val="21"/>
                    </w:rPr>
                  </w:pPr>
                  <w:r>
                    <w:rPr>
                      <w:rFonts w:ascii="Times New Roman" w:hAnsi="Times New Roman" w:cs="Times New Roman"/>
                      <w:color w:val="000000"/>
                      <w:szCs w:val="21"/>
                    </w:rPr>
                    <w:t>达标</w:t>
                  </w:r>
                </w:p>
              </w:tc>
              <w:tc>
                <w:tcPr>
                  <w:tcW w:w="1341" w:type="pct"/>
                  <w:vMerge w:val="restart"/>
                  <w:vAlign w:val="center"/>
                </w:tcPr>
                <w:p>
                  <w:pPr>
                    <w:jc w:val="center"/>
                    <w:rPr>
                      <w:rFonts w:ascii="Times New Roman" w:hAnsi="Times New Roman" w:cs="Times New Roman"/>
                      <w:szCs w:val="21"/>
                    </w:rPr>
                  </w:pPr>
                  <w:r>
                    <w:rPr>
                      <w:rFonts w:ascii="Times New Roman" w:hAnsi="Times New Roman" w:cs="Times New Roman"/>
                      <w:szCs w:val="21"/>
                    </w:rPr>
                    <w:t>3类昼间≤65dB（A）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7" w:type="pct"/>
                  <w:vAlign w:val="bottom"/>
                </w:tcPr>
                <w:p>
                  <w:pPr>
                    <w:jc w:val="center"/>
                    <w:rPr>
                      <w:rFonts w:ascii="Times New Roman" w:hAnsi="Times New Roman" w:cs="Times New Roman"/>
                      <w:color w:val="000000"/>
                      <w:szCs w:val="21"/>
                    </w:rPr>
                  </w:pPr>
                  <w:r>
                    <w:rPr>
                      <w:rFonts w:ascii="Times New Roman" w:hAnsi="Times New Roman" w:cs="Times New Roman"/>
                      <w:color w:val="000000"/>
                      <w:szCs w:val="21"/>
                    </w:rPr>
                    <w:t>N2南厂界</w:t>
                  </w:r>
                </w:p>
              </w:tc>
              <w:tc>
                <w:tcPr>
                  <w:tcW w:w="1288" w:type="pct"/>
                  <w:vAlign w:val="bottom"/>
                </w:tcPr>
                <w:p>
                  <w:pPr>
                    <w:jc w:val="center"/>
                    <w:rPr>
                      <w:rFonts w:ascii="Times New Roman" w:hAnsi="Times New Roman" w:cs="Times New Roman"/>
                      <w:szCs w:val="21"/>
                    </w:rPr>
                  </w:pPr>
                  <w:r>
                    <w:rPr>
                      <w:rFonts w:ascii="Times New Roman" w:hAnsi="Times New Roman" w:cs="Times New Roman"/>
                      <w:szCs w:val="21"/>
                    </w:rPr>
                    <w:t>18.23</w:t>
                  </w:r>
                </w:p>
              </w:tc>
              <w:tc>
                <w:tcPr>
                  <w:tcW w:w="982" w:type="pct"/>
                  <w:vAlign w:val="bottom"/>
                </w:tcPr>
                <w:p>
                  <w:pPr>
                    <w:jc w:val="center"/>
                    <w:rPr>
                      <w:rFonts w:ascii="Times New Roman" w:hAnsi="Times New Roman" w:cs="Times New Roman"/>
                      <w:color w:val="000000"/>
                      <w:szCs w:val="21"/>
                    </w:rPr>
                  </w:pPr>
                  <w:r>
                    <w:rPr>
                      <w:rFonts w:ascii="Times New Roman" w:hAnsi="Times New Roman" w:cs="Times New Roman"/>
                      <w:color w:val="000000"/>
                      <w:szCs w:val="21"/>
                    </w:rPr>
                    <w:t>达标</w:t>
                  </w:r>
                </w:p>
              </w:tc>
              <w:tc>
                <w:tcPr>
                  <w:tcW w:w="1341" w:type="pct"/>
                  <w:vMerge w:val="continue"/>
                  <w:vAlign w:val="bottom"/>
                </w:tcPr>
                <w:p>
                  <w:pPr>
                    <w:snapToGrid w:val="0"/>
                    <w:spacing w:line="360" w:lineRule="auto"/>
                    <w:ind w:firstLine="480" w:firstLineChars="200"/>
                    <w:jc w:val="center"/>
                    <w:rPr>
                      <w:rFonts w:ascii="Times New Roman" w:hAnsi="Times New Roman"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7" w:type="pct"/>
                  <w:vAlign w:val="bottom"/>
                </w:tcPr>
                <w:p>
                  <w:pPr>
                    <w:jc w:val="center"/>
                    <w:rPr>
                      <w:rFonts w:ascii="Times New Roman" w:hAnsi="Times New Roman" w:cs="Times New Roman"/>
                      <w:color w:val="000000"/>
                      <w:szCs w:val="21"/>
                    </w:rPr>
                  </w:pPr>
                  <w:r>
                    <w:rPr>
                      <w:rFonts w:ascii="Times New Roman" w:hAnsi="Times New Roman" w:cs="Times New Roman"/>
                      <w:color w:val="000000"/>
                      <w:szCs w:val="21"/>
                    </w:rPr>
                    <w:t>N3西厂界</w:t>
                  </w:r>
                </w:p>
              </w:tc>
              <w:tc>
                <w:tcPr>
                  <w:tcW w:w="1288" w:type="pct"/>
                  <w:vAlign w:val="bottom"/>
                </w:tcPr>
                <w:p>
                  <w:pPr>
                    <w:jc w:val="center"/>
                    <w:rPr>
                      <w:rFonts w:ascii="Times New Roman" w:hAnsi="Times New Roman" w:cs="Times New Roman"/>
                      <w:szCs w:val="21"/>
                    </w:rPr>
                  </w:pPr>
                  <w:r>
                    <w:rPr>
                      <w:rFonts w:ascii="Times New Roman" w:hAnsi="Times New Roman" w:cs="Times New Roman"/>
                      <w:szCs w:val="21"/>
                    </w:rPr>
                    <w:t>23.36</w:t>
                  </w:r>
                </w:p>
              </w:tc>
              <w:tc>
                <w:tcPr>
                  <w:tcW w:w="982" w:type="pct"/>
                  <w:vAlign w:val="bottom"/>
                </w:tcPr>
                <w:p>
                  <w:pPr>
                    <w:jc w:val="center"/>
                    <w:rPr>
                      <w:rFonts w:ascii="Times New Roman" w:hAnsi="Times New Roman" w:cs="Times New Roman"/>
                      <w:color w:val="000000"/>
                      <w:szCs w:val="21"/>
                    </w:rPr>
                  </w:pPr>
                  <w:r>
                    <w:rPr>
                      <w:rFonts w:ascii="Times New Roman" w:hAnsi="Times New Roman" w:cs="Times New Roman"/>
                      <w:color w:val="000000"/>
                      <w:szCs w:val="21"/>
                    </w:rPr>
                    <w:t>达标</w:t>
                  </w:r>
                </w:p>
              </w:tc>
              <w:tc>
                <w:tcPr>
                  <w:tcW w:w="1341" w:type="pct"/>
                  <w:vMerge w:val="continue"/>
                  <w:vAlign w:val="bottom"/>
                </w:tcPr>
                <w:p>
                  <w:pPr>
                    <w:snapToGrid w:val="0"/>
                    <w:spacing w:line="360" w:lineRule="auto"/>
                    <w:ind w:firstLine="480" w:firstLineChars="200"/>
                    <w:jc w:val="center"/>
                    <w:rPr>
                      <w:rFonts w:ascii="Times New Roman" w:hAnsi="Times New Roman"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7" w:type="pct"/>
                  <w:vAlign w:val="bottom"/>
                </w:tcPr>
                <w:p>
                  <w:pPr>
                    <w:jc w:val="center"/>
                    <w:rPr>
                      <w:rFonts w:ascii="Times New Roman" w:hAnsi="Times New Roman" w:cs="Times New Roman"/>
                      <w:color w:val="000000"/>
                      <w:szCs w:val="21"/>
                    </w:rPr>
                  </w:pPr>
                  <w:r>
                    <w:rPr>
                      <w:rFonts w:ascii="Times New Roman" w:hAnsi="Times New Roman" w:cs="Times New Roman"/>
                      <w:color w:val="000000"/>
                      <w:szCs w:val="21"/>
                    </w:rPr>
                    <w:t>N4北厂界</w:t>
                  </w:r>
                </w:p>
              </w:tc>
              <w:tc>
                <w:tcPr>
                  <w:tcW w:w="1288" w:type="pct"/>
                  <w:vAlign w:val="bottom"/>
                </w:tcPr>
                <w:p>
                  <w:pPr>
                    <w:jc w:val="center"/>
                    <w:rPr>
                      <w:rFonts w:ascii="Times New Roman" w:hAnsi="Times New Roman" w:cs="Times New Roman"/>
                      <w:szCs w:val="21"/>
                    </w:rPr>
                  </w:pPr>
                  <w:r>
                    <w:rPr>
                      <w:rFonts w:ascii="Times New Roman" w:hAnsi="Times New Roman" w:cs="Times New Roman"/>
                      <w:szCs w:val="21"/>
                    </w:rPr>
                    <w:t>20.25</w:t>
                  </w:r>
                </w:p>
              </w:tc>
              <w:tc>
                <w:tcPr>
                  <w:tcW w:w="982" w:type="pct"/>
                  <w:vAlign w:val="bottom"/>
                </w:tcPr>
                <w:p>
                  <w:pPr>
                    <w:jc w:val="center"/>
                    <w:rPr>
                      <w:rFonts w:ascii="Times New Roman" w:hAnsi="Times New Roman" w:cs="Times New Roman"/>
                      <w:color w:val="000000"/>
                      <w:szCs w:val="21"/>
                    </w:rPr>
                  </w:pPr>
                  <w:r>
                    <w:rPr>
                      <w:rFonts w:ascii="Times New Roman" w:hAnsi="Times New Roman" w:cs="Times New Roman"/>
                      <w:color w:val="000000"/>
                      <w:szCs w:val="21"/>
                    </w:rPr>
                    <w:t>达标</w:t>
                  </w:r>
                </w:p>
              </w:tc>
              <w:tc>
                <w:tcPr>
                  <w:tcW w:w="1341" w:type="pct"/>
                  <w:vMerge w:val="continue"/>
                  <w:vAlign w:val="bottom"/>
                </w:tcPr>
                <w:p>
                  <w:pPr>
                    <w:snapToGrid w:val="0"/>
                    <w:spacing w:line="360" w:lineRule="auto"/>
                    <w:ind w:firstLine="480" w:firstLineChars="200"/>
                    <w:jc w:val="center"/>
                    <w:rPr>
                      <w:rFonts w:ascii="Times New Roman" w:hAnsi="Times New Roman" w:cs="Times New Roman"/>
                      <w:sz w:val="24"/>
                    </w:rPr>
                  </w:pPr>
                </w:p>
              </w:tc>
            </w:tr>
          </w:tbl>
          <w:p>
            <w:pPr>
              <w:snapToGrid w:val="0"/>
              <w:spacing w:line="360" w:lineRule="auto"/>
              <w:ind w:firstLine="480" w:firstLineChars="200"/>
              <w:rPr>
                <w:rFonts w:ascii="Times New Roman" w:hAnsi="Times New Roman" w:cs="Times New Roman"/>
                <w:b/>
                <w:sz w:val="24"/>
              </w:rPr>
            </w:pPr>
            <w:r>
              <w:rPr>
                <w:rFonts w:ascii="Times New Roman" w:hAnsi="Times New Roman" w:cs="Times New Roman"/>
                <w:sz w:val="24"/>
              </w:rPr>
              <w:t>经预测，项目厂界噪声满足《工业企业厂界环境噪声排放标准》（GB12348－2008）3类标准，</w:t>
            </w:r>
            <w:r>
              <w:rPr>
                <w:rFonts w:ascii="Times New Roman" w:hAnsi="Times New Roman" w:cs="Times New Roman"/>
                <w:color w:val="000000"/>
                <w:sz w:val="24"/>
              </w:rPr>
              <w:t>正常生产情况下</w:t>
            </w:r>
            <w:r>
              <w:rPr>
                <w:rFonts w:ascii="Times New Roman" w:hAnsi="Times New Roman" w:cs="Times New Roman"/>
                <w:sz w:val="24"/>
              </w:rPr>
              <w:t>，对项目地及周围声环境不会产生影响。</w:t>
            </w:r>
          </w:p>
          <w:p>
            <w:pPr>
              <w:spacing w:line="360" w:lineRule="auto"/>
              <w:ind w:firstLine="482" w:firstLineChars="200"/>
              <w:rPr>
                <w:rFonts w:ascii="Times New Roman" w:hAnsi="Times New Roman" w:cs="Times New Roman"/>
                <w:sz w:val="24"/>
              </w:rPr>
            </w:pPr>
            <w:r>
              <w:rPr>
                <w:rFonts w:ascii="Times New Roman" w:hAnsi="Times New Roman" w:cs="Times New Roman"/>
                <w:b/>
                <w:sz w:val="24"/>
              </w:rPr>
              <w:t>4、固体废弃物影响分析</w:t>
            </w:r>
          </w:p>
          <w:p>
            <w:pPr>
              <w:spacing w:line="360" w:lineRule="auto"/>
              <w:ind w:firstLine="480" w:firstLineChars="200"/>
              <w:outlineLvl w:val="1"/>
              <w:rPr>
                <w:rFonts w:ascii="Times New Roman" w:hAnsi="Times New Roman" w:cs="Times New Roman"/>
                <w:sz w:val="24"/>
                <w:szCs w:val="20"/>
              </w:rPr>
            </w:pPr>
            <w:r>
              <w:rPr>
                <w:rFonts w:ascii="Times New Roman" w:hAnsi="Times New Roman" w:cs="Times New Roman"/>
                <w:sz w:val="24"/>
              </w:rPr>
              <w:t>本项目固体废物包括一般固废、危险固废及员工生活垃圾。</w:t>
            </w:r>
          </w:p>
          <w:p>
            <w:pPr>
              <w:jc w:val="center"/>
              <w:rPr>
                <w:rFonts w:ascii="Times New Roman" w:hAnsi="Times New Roman" w:cs="Times New Roman"/>
                <w:b/>
                <w:sz w:val="24"/>
              </w:rPr>
            </w:pPr>
          </w:p>
          <w:p>
            <w:pPr>
              <w:jc w:val="center"/>
              <w:rPr>
                <w:rFonts w:ascii="Times New Roman" w:hAnsi="Times New Roman" w:cs="Times New Roman"/>
                <w:b/>
                <w:sz w:val="24"/>
              </w:rPr>
            </w:pPr>
          </w:p>
          <w:p>
            <w:pPr>
              <w:jc w:val="center"/>
              <w:rPr>
                <w:rFonts w:ascii="Times New Roman" w:hAnsi="Times New Roman" w:cs="Times New Roman"/>
                <w:b/>
                <w:sz w:val="24"/>
              </w:rPr>
            </w:pPr>
          </w:p>
          <w:p>
            <w:pPr>
              <w:jc w:val="center"/>
              <w:rPr>
                <w:rFonts w:ascii="Times New Roman" w:hAnsi="Times New Roman" w:cs="Times New Roman"/>
                <w:b/>
                <w:sz w:val="24"/>
              </w:rPr>
            </w:pPr>
          </w:p>
          <w:p>
            <w:pPr>
              <w:jc w:val="center"/>
              <w:rPr>
                <w:rFonts w:ascii="Times New Roman" w:hAnsi="Times New Roman" w:cs="Times New Roman"/>
                <w:b/>
                <w:sz w:val="24"/>
              </w:rPr>
            </w:pPr>
          </w:p>
          <w:p>
            <w:pPr>
              <w:jc w:val="center"/>
              <w:rPr>
                <w:rFonts w:ascii="Times New Roman" w:hAnsi="Times New Roman" w:cs="Times New Roman"/>
                <w:b/>
                <w:sz w:val="24"/>
              </w:rPr>
            </w:pPr>
          </w:p>
          <w:p>
            <w:pPr>
              <w:jc w:val="center"/>
              <w:rPr>
                <w:rFonts w:ascii="Times New Roman" w:hAnsi="Times New Roman" w:cs="Times New Roman"/>
                <w:b/>
                <w:sz w:val="24"/>
              </w:rPr>
            </w:pPr>
          </w:p>
          <w:p>
            <w:pPr>
              <w:jc w:val="center"/>
              <w:rPr>
                <w:rFonts w:ascii="Times New Roman" w:hAnsi="Times New Roman" w:cs="Times New Roman"/>
                <w:b/>
                <w:sz w:val="24"/>
              </w:rPr>
            </w:pPr>
          </w:p>
          <w:p>
            <w:pPr>
              <w:jc w:val="center"/>
              <w:rPr>
                <w:rFonts w:ascii="Times New Roman" w:hAnsi="Times New Roman" w:cs="Times New Roman"/>
                <w:b/>
                <w:sz w:val="24"/>
              </w:rPr>
            </w:pPr>
            <w:r>
              <w:rPr>
                <w:rFonts w:ascii="Times New Roman" w:hAnsi="Times New Roman" w:cs="Times New Roman"/>
                <w:b/>
                <w:sz w:val="24"/>
              </w:rPr>
              <w:t>表7-14  本项目固体废弃物分析结果汇总表</w:t>
            </w:r>
          </w:p>
          <w:tbl>
            <w:tblPr>
              <w:tblStyle w:val="36"/>
              <w:tblW w:w="91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4"/>
              <w:gridCol w:w="1205"/>
              <w:gridCol w:w="1418"/>
              <w:gridCol w:w="1345"/>
              <w:gridCol w:w="1246"/>
              <w:gridCol w:w="1094"/>
              <w:gridCol w:w="1276"/>
              <w:gridCol w:w="10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26" w:hRule="atLeast"/>
                <w:jc w:val="center"/>
              </w:trPr>
              <w:tc>
                <w:tcPr>
                  <w:tcW w:w="544" w:type="dxa"/>
                  <w:vAlign w:val="center"/>
                </w:tcPr>
                <w:p>
                  <w:pPr>
                    <w:jc w:val="center"/>
                    <w:rPr>
                      <w:rFonts w:ascii="Times New Roman" w:hAnsi="Times New Roman" w:cs="Times New Roman"/>
                      <w:b/>
                      <w:bCs/>
                    </w:rPr>
                  </w:pPr>
                  <w:r>
                    <w:rPr>
                      <w:rFonts w:ascii="Times New Roman" w:hAnsi="Times New Roman" w:cs="Times New Roman"/>
                      <w:b/>
                      <w:bCs/>
                    </w:rPr>
                    <w:t>序号</w:t>
                  </w:r>
                </w:p>
              </w:tc>
              <w:tc>
                <w:tcPr>
                  <w:tcW w:w="1205" w:type="dxa"/>
                  <w:vAlign w:val="center"/>
                </w:tcPr>
                <w:p>
                  <w:pPr>
                    <w:jc w:val="center"/>
                    <w:rPr>
                      <w:rFonts w:ascii="Times New Roman" w:hAnsi="Times New Roman" w:cs="Times New Roman"/>
                      <w:b/>
                      <w:bCs/>
                    </w:rPr>
                  </w:pPr>
                  <w:r>
                    <w:rPr>
                      <w:rFonts w:ascii="Times New Roman" w:hAnsi="Times New Roman" w:cs="Times New Roman"/>
                      <w:b/>
                    </w:rPr>
                    <w:t>固废名称</w:t>
                  </w:r>
                </w:p>
              </w:tc>
              <w:tc>
                <w:tcPr>
                  <w:tcW w:w="1418" w:type="dxa"/>
                  <w:vAlign w:val="center"/>
                </w:tcPr>
                <w:p>
                  <w:pPr>
                    <w:jc w:val="center"/>
                    <w:rPr>
                      <w:rFonts w:ascii="Times New Roman" w:hAnsi="Times New Roman" w:cs="Times New Roman"/>
                      <w:b/>
                      <w:bCs/>
                    </w:rPr>
                  </w:pPr>
                  <w:r>
                    <w:rPr>
                      <w:rFonts w:ascii="Times New Roman" w:hAnsi="Times New Roman" w:cs="Times New Roman"/>
                      <w:b/>
                    </w:rPr>
                    <w:t>属性（危险废物、一般工业固废或待鉴别）</w:t>
                  </w:r>
                </w:p>
              </w:tc>
              <w:tc>
                <w:tcPr>
                  <w:tcW w:w="1345" w:type="dxa"/>
                  <w:tcBorders>
                    <w:right w:val="single" w:color="000000" w:sz="4" w:space="0"/>
                  </w:tcBorders>
                  <w:vAlign w:val="center"/>
                </w:tcPr>
                <w:p>
                  <w:pPr>
                    <w:jc w:val="center"/>
                    <w:rPr>
                      <w:rFonts w:ascii="Times New Roman" w:hAnsi="Times New Roman" w:cs="Times New Roman"/>
                      <w:b/>
                      <w:bCs/>
                    </w:rPr>
                  </w:pPr>
                  <w:r>
                    <w:rPr>
                      <w:rFonts w:ascii="Times New Roman" w:hAnsi="Times New Roman" w:cs="Times New Roman"/>
                      <w:b/>
                    </w:rPr>
                    <w:t>产生工序</w:t>
                  </w:r>
                </w:p>
              </w:tc>
              <w:tc>
                <w:tcPr>
                  <w:tcW w:w="1246" w:type="dxa"/>
                  <w:tcBorders>
                    <w:left w:val="single" w:color="000000" w:sz="4" w:space="0"/>
                    <w:right w:val="single" w:color="000000" w:sz="4" w:space="0"/>
                  </w:tcBorders>
                  <w:vAlign w:val="center"/>
                </w:tcPr>
                <w:p>
                  <w:pPr>
                    <w:jc w:val="center"/>
                    <w:rPr>
                      <w:rFonts w:ascii="Times New Roman" w:hAnsi="Times New Roman" w:cs="Times New Roman"/>
                      <w:b/>
                      <w:bCs/>
                    </w:rPr>
                  </w:pPr>
                  <w:r>
                    <w:rPr>
                      <w:rFonts w:ascii="Times New Roman" w:hAnsi="Times New Roman" w:cs="Times New Roman"/>
                      <w:b/>
                    </w:rPr>
                    <w:t>代码</w:t>
                  </w:r>
                </w:p>
              </w:tc>
              <w:tc>
                <w:tcPr>
                  <w:tcW w:w="1094" w:type="dxa"/>
                  <w:tcBorders>
                    <w:left w:val="single" w:color="000000" w:sz="4" w:space="0"/>
                    <w:right w:val="single" w:color="000000" w:sz="4" w:space="0"/>
                  </w:tcBorders>
                  <w:vAlign w:val="center"/>
                </w:tcPr>
                <w:p>
                  <w:pPr>
                    <w:jc w:val="center"/>
                    <w:rPr>
                      <w:rFonts w:ascii="Times New Roman" w:hAnsi="Times New Roman" w:cs="Times New Roman"/>
                      <w:b/>
                      <w:bCs/>
                    </w:rPr>
                  </w:pPr>
                  <w:r>
                    <w:rPr>
                      <w:rFonts w:ascii="Times New Roman" w:hAnsi="Times New Roman" w:cs="Times New Roman"/>
                      <w:b/>
                      <w:bCs/>
                    </w:rPr>
                    <w:t>产生量</w:t>
                  </w:r>
                </w:p>
                <w:p>
                  <w:pPr>
                    <w:jc w:val="center"/>
                    <w:rPr>
                      <w:rFonts w:ascii="Times New Roman" w:hAnsi="Times New Roman" w:cs="Times New Roman"/>
                      <w:b/>
                      <w:bCs/>
                    </w:rPr>
                  </w:pPr>
                  <w:r>
                    <w:rPr>
                      <w:rFonts w:ascii="Times New Roman" w:hAnsi="Times New Roman" w:cs="Times New Roman"/>
                      <w:b/>
                      <w:bCs/>
                    </w:rPr>
                    <w:t>t/a</w:t>
                  </w:r>
                </w:p>
              </w:tc>
              <w:tc>
                <w:tcPr>
                  <w:tcW w:w="1276" w:type="dxa"/>
                  <w:tcBorders>
                    <w:left w:val="single" w:color="000000" w:sz="4" w:space="0"/>
                  </w:tcBorders>
                  <w:vAlign w:val="center"/>
                </w:tcPr>
                <w:p>
                  <w:pPr>
                    <w:jc w:val="center"/>
                    <w:rPr>
                      <w:rFonts w:ascii="Times New Roman" w:hAnsi="Times New Roman" w:cs="Times New Roman"/>
                      <w:b/>
                      <w:bCs/>
                    </w:rPr>
                  </w:pPr>
                  <w:r>
                    <w:rPr>
                      <w:rFonts w:ascii="Times New Roman" w:hAnsi="Times New Roman" w:cs="Times New Roman"/>
                      <w:b/>
                      <w:bCs/>
                    </w:rPr>
                    <w:t>利用处置方式</w:t>
                  </w:r>
                </w:p>
              </w:tc>
              <w:tc>
                <w:tcPr>
                  <w:tcW w:w="1038" w:type="dxa"/>
                  <w:tcBorders>
                    <w:left w:val="single" w:color="000000" w:sz="4" w:space="0"/>
                  </w:tcBorders>
                  <w:vAlign w:val="center"/>
                </w:tcPr>
                <w:p>
                  <w:pPr>
                    <w:jc w:val="center"/>
                    <w:rPr>
                      <w:rFonts w:ascii="Times New Roman" w:hAnsi="Times New Roman" w:cs="Times New Roman"/>
                      <w:b/>
                      <w:bCs/>
                    </w:rPr>
                  </w:pPr>
                  <w:r>
                    <w:rPr>
                      <w:rFonts w:ascii="Times New Roman" w:hAnsi="Times New Roman" w:cs="Times New Roman"/>
                      <w:b/>
                      <w:bCs/>
                    </w:rPr>
                    <w:t>利用处置单位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9" w:hRule="atLeast"/>
                <w:jc w:val="center"/>
              </w:trPr>
              <w:tc>
                <w:tcPr>
                  <w:tcW w:w="544" w:type="dxa"/>
                  <w:vAlign w:val="center"/>
                </w:tcPr>
                <w:p>
                  <w:pPr>
                    <w:jc w:val="center"/>
                    <w:rPr>
                      <w:rFonts w:ascii="Times New Roman" w:hAnsi="Times New Roman" w:cs="Times New Roman"/>
                      <w:b/>
                      <w:bCs/>
                    </w:rPr>
                  </w:pPr>
                  <w:r>
                    <w:rPr>
                      <w:rFonts w:ascii="Times New Roman" w:hAnsi="Times New Roman" w:cs="Times New Roman"/>
                      <w:kern w:val="0"/>
                      <w:szCs w:val="21"/>
                    </w:rPr>
                    <w:t>1</w:t>
                  </w:r>
                </w:p>
              </w:tc>
              <w:tc>
                <w:tcPr>
                  <w:tcW w:w="1205" w:type="dxa"/>
                  <w:vAlign w:val="center"/>
                </w:tcPr>
                <w:p>
                  <w:pPr>
                    <w:autoSpaceDE w:val="0"/>
                    <w:autoSpaceDN w:val="0"/>
                    <w:adjustRightInd w:val="0"/>
                    <w:jc w:val="center"/>
                    <w:rPr>
                      <w:rFonts w:ascii="Times New Roman" w:hAnsi="Times New Roman" w:cs="Times New Roman"/>
                      <w:kern w:val="0"/>
                      <w:szCs w:val="21"/>
                    </w:rPr>
                  </w:pPr>
                  <w:r>
                    <w:rPr>
                      <w:rFonts w:ascii="Times New Roman" w:hAnsi="Times New Roman" w:cs="Times New Roman"/>
                      <w:kern w:val="0"/>
                      <w:szCs w:val="21"/>
                    </w:rPr>
                    <w:t>金属边角料及碎屑</w:t>
                  </w:r>
                </w:p>
              </w:tc>
              <w:tc>
                <w:tcPr>
                  <w:tcW w:w="1418" w:type="dxa"/>
                  <w:vAlign w:val="center"/>
                </w:tcPr>
                <w:p>
                  <w:pPr>
                    <w:jc w:val="center"/>
                    <w:rPr>
                      <w:rFonts w:ascii="Times New Roman" w:hAnsi="Times New Roman" w:cs="Times New Roman"/>
                      <w:szCs w:val="21"/>
                    </w:rPr>
                  </w:pPr>
                  <w:r>
                    <w:rPr>
                      <w:rFonts w:ascii="Times New Roman" w:hAnsi="Times New Roman" w:cs="Times New Roman"/>
                      <w:szCs w:val="21"/>
                    </w:rPr>
                    <w:t>一般固废</w:t>
                  </w:r>
                </w:p>
              </w:tc>
              <w:tc>
                <w:tcPr>
                  <w:tcW w:w="1345" w:type="dxa"/>
                  <w:vMerge w:val="restart"/>
                  <w:vAlign w:val="center"/>
                </w:tcPr>
                <w:p>
                  <w:pPr>
                    <w:jc w:val="center"/>
                    <w:rPr>
                      <w:rFonts w:ascii="Times New Roman" w:hAnsi="Times New Roman" w:cs="Times New Roman"/>
                      <w:szCs w:val="21"/>
                    </w:rPr>
                  </w:pPr>
                  <w:r>
                    <w:rPr>
                      <w:rFonts w:ascii="Times New Roman" w:hAnsi="Times New Roman" w:cs="Times New Roman"/>
                      <w:szCs w:val="21"/>
                    </w:rPr>
                    <w:t>机加工</w:t>
                  </w:r>
                </w:p>
              </w:tc>
              <w:tc>
                <w:tcPr>
                  <w:tcW w:w="1246" w:type="dxa"/>
                  <w:tcBorders>
                    <w:left w:val="single" w:color="000000" w:sz="4" w:space="0"/>
                    <w:right w:val="single" w:color="000000" w:sz="4" w:space="0"/>
                  </w:tcBorders>
                  <w:vAlign w:val="center"/>
                </w:tcPr>
                <w:p>
                  <w:pPr>
                    <w:jc w:val="center"/>
                    <w:rPr>
                      <w:rFonts w:ascii="Times New Roman" w:hAnsi="Times New Roman" w:cs="Times New Roman"/>
                      <w:b/>
                      <w:bCs/>
                    </w:rPr>
                  </w:pPr>
                  <w:r>
                    <w:rPr>
                      <w:rFonts w:ascii="Times New Roman" w:hAnsi="Times New Roman" w:cs="Times New Roman"/>
                    </w:rPr>
                    <w:t>86</w:t>
                  </w:r>
                </w:p>
              </w:tc>
              <w:tc>
                <w:tcPr>
                  <w:tcW w:w="1094"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20</w:t>
                  </w:r>
                </w:p>
              </w:tc>
              <w:tc>
                <w:tcPr>
                  <w:tcW w:w="1276" w:type="dxa"/>
                  <w:tcBorders>
                    <w:left w:val="single" w:color="000000" w:sz="4" w:space="0"/>
                  </w:tcBorders>
                  <w:vAlign w:val="center"/>
                </w:tcPr>
                <w:p>
                  <w:pPr>
                    <w:jc w:val="center"/>
                    <w:rPr>
                      <w:rFonts w:ascii="Times New Roman" w:hAnsi="Times New Roman" w:cs="Times New Roman"/>
                      <w:b/>
                    </w:rPr>
                  </w:pPr>
                  <w:r>
                    <w:rPr>
                      <w:rFonts w:ascii="Times New Roman" w:hAnsi="Times New Roman" w:cs="Times New Roman"/>
                      <w:szCs w:val="21"/>
                    </w:rPr>
                    <w:t>集中收集后外售</w:t>
                  </w:r>
                </w:p>
              </w:tc>
              <w:tc>
                <w:tcPr>
                  <w:tcW w:w="1038" w:type="dxa"/>
                  <w:vMerge w:val="restart"/>
                  <w:tcBorders>
                    <w:left w:val="single" w:color="000000" w:sz="4" w:space="0"/>
                  </w:tcBorders>
                  <w:vAlign w:val="center"/>
                </w:tcPr>
                <w:p>
                  <w:pPr>
                    <w:jc w:val="center"/>
                    <w:rPr>
                      <w:rFonts w:ascii="Times New Roman" w:hAnsi="Times New Roman" w:cs="Times New Roman"/>
                      <w:b/>
                    </w:rPr>
                  </w:pPr>
                  <w:r>
                    <w:rPr>
                      <w:rFonts w:ascii="Times New Roman" w:hAnsi="Times New Roman" w:cs="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30" w:hRule="atLeast"/>
                <w:jc w:val="center"/>
              </w:trPr>
              <w:tc>
                <w:tcPr>
                  <w:tcW w:w="544" w:type="dxa"/>
                  <w:vAlign w:val="center"/>
                </w:tcPr>
                <w:p>
                  <w:pPr>
                    <w:jc w:val="center"/>
                    <w:rPr>
                      <w:rFonts w:ascii="Times New Roman" w:hAnsi="Times New Roman" w:cs="Times New Roman"/>
                    </w:rPr>
                  </w:pPr>
                  <w:r>
                    <w:rPr>
                      <w:rFonts w:ascii="Times New Roman" w:hAnsi="Times New Roman" w:cs="Times New Roman"/>
                    </w:rPr>
                    <w:t>2</w:t>
                  </w:r>
                </w:p>
              </w:tc>
              <w:tc>
                <w:tcPr>
                  <w:tcW w:w="1205" w:type="dxa"/>
                  <w:vAlign w:val="center"/>
                </w:tcPr>
                <w:p>
                  <w:pPr>
                    <w:autoSpaceDE w:val="0"/>
                    <w:autoSpaceDN w:val="0"/>
                    <w:adjustRightInd w:val="0"/>
                    <w:jc w:val="center"/>
                    <w:rPr>
                      <w:rFonts w:ascii="Times New Roman" w:hAnsi="Times New Roman" w:cs="Times New Roman"/>
                      <w:kern w:val="0"/>
                      <w:szCs w:val="21"/>
                    </w:rPr>
                  </w:pPr>
                  <w:r>
                    <w:rPr>
                      <w:rFonts w:ascii="Times New Roman" w:hAnsi="Times New Roman" w:cs="Times New Roman"/>
                      <w:kern w:val="0"/>
                      <w:szCs w:val="21"/>
                    </w:rPr>
                    <w:t>废切削液</w:t>
                  </w:r>
                </w:p>
              </w:tc>
              <w:tc>
                <w:tcPr>
                  <w:tcW w:w="1418" w:type="dxa"/>
                  <w:vMerge w:val="restart"/>
                  <w:vAlign w:val="center"/>
                </w:tcPr>
                <w:p>
                  <w:pPr>
                    <w:autoSpaceDE w:val="0"/>
                    <w:autoSpaceDN w:val="0"/>
                    <w:adjustRightInd w:val="0"/>
                    <w:jc w:val="center"/>
                    <w:rPr>
                      <w:rFonts w:ascii="Times New Roman" w:hAnsi="Times New Roman" w:cs="Times New Roman"/>
                      <w:kern w:val="0"/>
                      <w:szCs w:val="21"/>
                    </w:rPr>
                  </w:pPr>
                  <w:r>
                    <w:rPr>
                      <w:rFonts w:ascii="Times New Roman" w:hAnsi="Times New Roman" w:cs="Times New Roman"/>
                      <w:kern w:val="0"/>
                      <w:szCs w:val="21"/>
                    </w:rPr>
                    <w:t>危险固废</w:t>
                  </w:r>
                </w:p>
              </w:tc>
              <w:tc>
                <w:tcPr>
                  <w:tcW w:w="1345" w:type="dxa"/>
                  <w:vMerge w:val="continue"/>
                  <w:vAlign w:val="center"/>
                </w:tcPr>
                <w:p>
                  <w:pPr>
                    <w:jc w:val="center"/>
                    <w:rPr>
                      <w:rFonts w:ascii="Times New Roman" w:hAnsi="Times New Roman" w:cs="Times New Roman"/>
                    </w:rPr>
                  </w:pPr>
                </w:p>
              </w:tc>
              <w:tc>
                <w:tcPr>
                  <w:tcW w:w="1246" w:type="dxa"/>
                  <w:tcBorders>
                    <w:left w:val="single" w:color="000000" w:sz="4" w:space="0"/>
                    <w:right w:val="single" w:color="000000" w:sz="4" w:space="0"/>
                  </w:tcBorders>
                  <w:vAlign w:val="center"/>
                </w:tcPr>
                <w:p>
                  <w:pPr>
                    <w:jc w:val="center"/>
                    <w:rPr>
                      <w:rFonts w:ascii="Times New Roman" w:hAnsi="Times New Roman" w:cs="Times New Roman"/>
                    </w:rPr>
                  </w:pPr>
                  <w:r>
                    <w:rPr>
                      <w:rFonts w:ascii="Times New Roman" w:hAnsi="Times New Roman" w:cs="Times New Roman"/>
                      <w:kern w:val="0"/>
                      <w:szCs w:val="21"/>
                    </w:rPr>
                    <w:t>900-006-09</w:t>
                  </w:r>
                </w:p>
              </w:tc>
              <w:tc>
                <w:tcPr>
                  <w:tcW w:w="1094"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w:t>
                  </w:r>
                </w:p>
              </w:tc>
              <w:tc>
                <w:tcPr>
                  <w:tcW w:w="1276" w:type="dxa"/>
                  <w:vMerge w:val="restart"/>
                  <w:tcBorders>
                    <w:left w:val="single" w:color="000000" w:sz="4" w:space="0"/>
                  </w:tcBorders>
                  <w:vAlign w:val="center"/>
                </w:tcPr>
                <w:p>
                  <w:pPr>
                    <w:jc w:val="center"/>
                    <w:rPr>
                      <w:rFonts w:ascii="Times New Roman" w:hAnsi="Times New Roman" w:cs="Times New Roman"/>
                      <w:szCs w:val="21"/>
                    </w:rPr>
                  </w:pPr>
                  <w:r>
                    <w:rPr>
                      <w:rFonts w:ascii="Times New Roman" w:hAnsi="Times New Roman" w:cs="Times New Roman"/>
                      <w:kern w:val="0"/>
                      <w:szCs w:val="21"/>
                    </w:rPr>
                    <w:t>委托有资质单位处理</w:t>
                  </w:r>
                </w:p>
              </w:tc>
              <w:tc>
                <w:tcPr>
                  <w:tcW w:w="1038" w:type="dxa"/>
                  <w:vMerge w:val="continue"/>
                  <w:tcBorders>
                    <w:left w:val="single" w:color="000000" w:sz="4" w:space="0"/>
                  </w:tcBorders>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544" w:type="dxa"/>
                  <w:vAlign w:val="center"/>
                </w:tcPr>
                <w:p>
                  <w:pPr>
                    <w:jc w:val="center"/>
                    <w:rPr>
                      <w:rFonts w:ascii="Times New Roman" w:hAnsi="Times New Roman" w:cs="Times New Roman"/>
                    </w:rPr>
                  </w:pPr>
                  <w:r>
                    <w:rPr>
                      <w:rFonts w:ascii="Times New Roman" w:hAnsi="Times New Roman" w:cs="Times New Roman"/>
                    </w:rPr>
                    <w:t>3</w:t>
                  </w:r>
                </w:p>
              </w:tc>
              <w:tc>
                <w:tcPr>
                  <w:tcW w:w="1205" w:type="dxa"/>
                  <w:vAlign w:val="center"/>
                </w:tcPr>
                <w:p>
                  <w:pPr>
                    <w:autoSpaceDE w:val="0"/>
                    <w:autoSpaceDN w:val="0"/>
                    <w:adjustRightInd w:val="0"/>
                    <w:jc w:val="center"/>
                    <w:rPr>
                      <w:rFonts w:ascii="Times New Roman" w:hAnsi="Times New Roman" w:cs="Times New Roman"/>
                      <w:kern w:val="0"/>
                      <w:szCs w:val="21"/>
                    </w:rPr>
                  </w:pPr>
                  <w:r>
                    <w:rPr>
                      <w:rFonts w:ascii="Times New Roman" w:hAnsi="Times New Roman" w:cs="Times New Roman"/>
                      <w:kern w:val="0"/>
                      <w:szCs w:val="21"/>
                    </w:rPr>
                    <w:t>废包装桶</w:t>
                  </w:r>
                </w:p>
              </w:tc>
              <w:tc>
                <w:tcPr>
                  <w:tcW w:w="1418" w:type="dxa"/>
                  <w:vMerge w:val="continue"/>
                  <w:vAlign w:val="center"/>
                </w:tcPr>
                <w:p>
                  <w:pPr>
                    <w:autoSpaceDE w:val="0"/>
                    <w:autoSpaceDN w:val="0"/>
                    <w:adjustRightInd w:val="0"/>
                    <w:jc w:val="center"/>
                    <w:rPr>
                      <w:rFonts w:ascii="Times New Roman" w:hAnsi="Times New Roman" w:cs="Times New Roman"/>
                      <w:kern w:val="0"/>
                      <w:szCs w:val="21"/>
                    </w:rPr>
                  </w:pPr>
                </w:p>
              </w:tc>
              <w:tc>
                <w:tcPr>
                  <w:tcW w:w="1345" w:type="dxa"/>
                  <w:vAlign w:val="center"/>
                </w:tcPr>
                <w:p>
                  <w:pPr>
                    <w:jc w:val="center"/>
                    <w:rPr>
                      <w:rFonts w:ascii="Times New Roman" w:hAnsi="Times New Roman" w:cs="Times New Roman"/>
                    </w:rPr>
                  </w:pPr>
                  <w:r>
                    <w:rPr>
                      <w:rFonts w:ascii="Times New Roman" w:hAnsi="Times New Roman" w:cs="Times New Roman"/>
                    </w:rPr>
                    <w:t>基础油、切削液油桶，导轨油桶，防锈液油桶</w:t>
                  </w:r>
                </w:p>
              </w:tc>
              <w:tc>
                <w:tcPr>
                  <w:tcW w:w="1246" w:type="dxa"/>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900-041-49</w:t>
                  </w:r>
                </w:p>
              </w:tc>
              <w:tc>
                <w:tcPr>
                  <w:tcW w:w="1094"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0.015</w:t>
                  </w:r>
                </w:p>
              </w:tc>
              <w:tc>
                <w:tcPr>
                  <w:tcW w:w="1276" w:type="dxa"/>
                  <w:vMerge w:val="continue"/>
                  <w:tcBorders>
                    <w:left w:val="single" w:color="000000" w:sz="4" w:space="0"/>
                  </w:tcBorders>
                  <w:vAlign w:val="center"/>
                </w:tcPr>
                <w:p>
                  <w:pPr>
                    <w:jc w:val="center"/>
                    <w:rPr>
                      <w:rFonts w:ascii="Times New Roman" w:hAnsi="Times New Roman" w:cs="Times New Roman"/>
                      <w:szCs w:val="21"/>
                    </w:rPr>
                  </w:pPr>
                </w:p>
              </w:tc>
              <w:tc>
                <w:tcPr>
                  <w:tcW w:w="1038" w:type="dxa"/>
                  <w:vMerge w:val="continue"/>
                  <w:tcBorders>
                    <w:left w:val="single" w:color="000000" w:sz="4" w:space="0"/>
                  </w:tcBorders>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544" w:type="dxa"/>
                  <w:vAlign w:val="center"/>
                </w:tcPr>
                <w:p>
                  <w:pPr>
                    <w:jc w:val="center"/>
                    <w:rPr>
                      <w:rFonts w:ascii="Times New Roman" w:hAnsi="Times New Roman" w:cs="Times New Roman"/>
                    </w:rPr>
                  </w:pPr>
                  <w:r>
                    <w:rPr>
                      <w:rFonts w:ascii="Times New Roman" w:hAnsi="Times New Roman" w:cs="Times New Roman"/>
                    </w:rPr>
                    <w:t>4</w:t>
                  </w:r>
                </w:p>
              </w:tc>
              <w:tc>
                <w:tcPr>
                  <w:tcW w:w="1205" w:type="dxa"/>
                  <w:vAlign w:val="center"/>
                </w:tcPr>
                <w:p>
                  <w:pPr>
                    <w:autoSpaceDE w:val="0"/>
                    <w:autoSpaceDN w:val="0"/>
                    <w:adjustRightInd w:val="0"/>
                    <w:jc w:val="center"/>
                    <w:rPr>
                      <w:rFonts w:ascii="Times New Roman" w:hAnsi="Times New Roman" w:cs="Times New Roman"/>
                      <w:kern w:val="0"/>
                      <w:szCs w:val="21"/>
                    </w:rPr>
                  </w:pPr>
                  <w:r>
                    <w:rPr>
                      <w:rFonts w:ascii="Times New Roman" w:hAnsi="Times New Roman" w:cs="Times New Roman"/>
                      <w:kern w:val="0"/>
                      <w:szCs w:val="21"/>
                    </w:rPr>
                    <w:t>生活垃圾</w:t>
                  </w:r>
                </w:p>
              </w:tc>
              <w:tc>
                <w:tcPr>
                  <w:tcW w:w="1418" w:type="dxa"/>
                  <w:vAlign w:val="center"/>
                </w:tcPr>
                <w:p>
                  <w:pPr>
                    <w:autoSpaceDE w:val="0"/>
                    <w:autoSpaceDN w:val="0"/>
                    <w:adjustRightInd w:val="0"/>
                    <w:jc w:val="center"/>
                    <w:rPr>
                      <w:rFonts w:ascii="Times New Roman" w:hAnsi="Times New Roman" w:cs="Times New Roman"/>
                      <w:kern w:val="0"/>
                      <w:szCs w:val="21"/>
                    </w:rPr>
                  </w:pPr>
                  <w:r>
                    <w:rPr>
                      <w:rFonts w:ascii="Times New Roman" w:hAnsi="Times New Roman" w:cs="Times New Roman"/>
                      <w:kern w:val="0"/>
                      <w:szCs w:val="21"/>
                    </w:rPr>
                    <w:t>/</w:t>
                  </w:r>
                </w:p>
              </w:tc>
              <w:tc>
                <w:tcPr>
                  <w:tcW w:w="1345" w:type="dxa"/>
                  <w:vAlign w:val="center"/>
                </w:tcPr>
                <w:p>
                  <w:pPr>
                    <w:jc w:val="center"/>
                    <w:rPr>
                      <w:rFonts w:ascii="Times New Roman" w:hAnsi="Times New Roman" w:cs="Times New Roman"/>
                      <w:b/>
                      <w:bCs/>
                    </w:rPr>
                  </w:pPr>
                  <w:r>
                    <w:rPr>
                      <w:rFonts w:ascii="Times New Roman" w:hAnsi="Times New Roman" w:cs="Times New Roman"/>
                    </w:rPr>
                    <w:t>职工生活</w:t>
                  </w:r>
                </w:p>
              </w:tc>
              <w:tc>
                <w:tcPr>
                  <w:tcW w:w="1246" w:type="dxa"/>
                  <w:tcBorders>
                    <w:left w:val="single" w:color="000000" w:sz="4" w:space="0"/>
                    <w:right w:val="single" w:color="000000" w:sz="4" w:space="0"/>
                  </w:tcBorders>
                  <w:vAlign w:val="center"/>
                </w:tcPr>
                <w:p>
                  <w:pPr>
                    <w:jc w:val="center"/>
                    <w:rPr>
                      <w:rFonts w:ascii="Times New Roman" w:hAnsi="Times New Roman" w:cs="Times New Roman"/>
                    </w:rPr>
                  </w:pPr>
                  <w:r>
                    <w:rPr>
                      <w:rFonts w:ascii="Times New Roman" w:hAnsi="Times New Roman" w:cs="Times New Roman"/>
                    </w:rPr>
                    <w:t>99</w:t>
                  </w:r>
                </w:p>
              </w:tc>
              <w:tc>
                <w:tcPr>
                  <w:tcW w:w="1094"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w:t>
                  </w:r>
                </w:p>
              </w:tc>
              <w:tc>
                <w:tcPr>
                  <w:tcW w:w="1276" w:type="dxa"/>
                  <w:vMerge w:val="continue"/>
                  <w:tcBorders>
                    <w:left w:val="single" w:color="000000" w:sz="4" w:space="0"/>
                  </w:tcBorders>
                  <w:vAlign w:val="center"/>
                </w:tcPr>
                <w:p>
                  <w:pPr>
                    <w:jc w:val="center"/>
                    <w:rPr>
                      <w:rFonts w:ascii="Times New Roman" w:hAnsi="Times New Roman" w:cs="Times New Roman"/>
                    </w:rPr>
                  </w:pPr>
                </w:p>
              </w:tc>
              <w:tc>
                <w:tcPr>
                  <w:tcW w:w="1038" w:type="dxa"/>
                  <w:vMerge w:val="continue"/>
                  <w:tcBorders>
                    <w:left w:val="single" w:color="000000" w:sz="4" w:space="0"/>
                  </w:tcBorders>
                  <w:vAlign w:val="center"/>
                </w:tcPr>
                <w:p>
                  <w:pPr>
                    <w:jc w:val="center"/>
                    <w:rPr>
                      <w:rFonts w:ascii="Times New Roman" w:hAnsi="Times New Roman" w:cs="Times New Roman"/>
                    </w:rPr>
                  </w:pPr>
                </w:p>
              </w:tc>
            </w:tr>
          </w:tbl>
          <w:p>
            <w:pPr>
              <w:autoSpaceDE w:val="0"/>
              <w:autoSpaceDN w:val="0"/>
              <w:adjustRightInd w:val="0"/>
              <w:spacing w:line="360" w:lineRule="auto"/>
              <w:ind w:firstLine="482" w:firstLineChars="200"/>
              <w:rPr>
                <w:rFonts w:ascii="Times New Roman" w:hAnsi="Times New Roman" w:cs="Times New Roman"/>
                <w:b/>
                <w:bCs/>
                <w:kern w:val="0"/>
                <w:sz w:val="24"/>
              </w:rPr>
            </w:pPr>
            <w:r>
              <w:rPr>
                <w:rFonts w:ascii="Times New Roman" w:hAnsi="Times New Roman" w:cs="Times New Roman"/>
                <w:b/>
                <w:bCs/>
                <w:kern w:val="0"/>
                <w:sz w:val="24"/>
              </w:rPr>
              <w:t>4.1一般固废贮运要求</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本项目生产过程中产生的金属边角料及碎屑属于一般固废，集中收集后外售。</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kern w:val="0"/>
                <w:sz w:val="24"/>
              </w:rPr>
              <w:t>本项目一般工业固体废物的暂存场所需按照《一般工业固体废物贮存、处置场污染控制标准》</w:t>
            </w:r>
            <w:r>
              <w:rPr>
                <w:rFonts w:ascii="Times New Roman" w:hAnsi="Times New Roman" w:cs="Times New Roman"/>
                <w:sz w:val="24"/>
              </w:rPr>
              <w:t>（GB18599-2001）及</w:t>
            </w:r>
            <w:r>
              <w:rPr>
                <w:rFonts w:ascii="Times New Roman" w:hAnsi="Times New Roman" w:cs="Times New Roman"/>
                <w:kern w:val="0"/>
                <w:sz w:val="24"/>
              </w:rPr>
              <w:t>2013年修</w:t>
            </w:r>
            <w:r>
              <w:rPr>
                <w:rFonts w:ascii="Times New Roman" w:hAnsi="Times New Roman" w:cs="Times New Roman"/>
                <w:sz w:val="24"/>
              </w:rPr>
              <w:t>改单的要求建设，具体要求如下：</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（1）一般工业固体废物贮存、处置场，禁止危险废物和生活垃圾混入。</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（2）贮存、处置场使用单位，应建立检查维护制度。</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经上述处理过程，本项目一般固废不会对周围环境产生影响。</w:t>
            </w:r>
          </w:p>
          <w:p>
            <w:pPr>
              <w:snapToGrid w:val="0"/>
              <w:spacing w:line="360" w:lineRule="auto"/>
              <w:ind w:firstLine="482" w:firstLineChars="200"/>
              <w:rPr>
                <w:rFonts w:ascii="Times New Roman" w:hAnsi="Times New Roman" w:cs="Times New Roman"/>
                <w:b/>
                <w:bCs/>
                <w:sz w:val="24"/>
              </w:rPr>
            </w:pPr>
            <w:r>
              <w:rPr>
                <w:rFonts w:ascii="Times New Roman" w:hAnsi="Times New Roman" w:cs="Times New Roman"/>
                <w:b/>
                <w:bCs/>
                <w:sz w:val="24"/>
              </w:rPr>
              <w:t>4.2危险固废环境影响分析</w:t>
            </w:r>
          </w:p>
          <w:p>
            <w:pPr>
              <w:snapToGrid w:val="0"/>
              <w:spacing w:line="360" w:lineRule="auto"/>
              <w:ind w:firstLine="482" w:firstLineChars="200"/>
              <w:rPr>
                <w:rFonts w:ascii="Times New Roman" w:hAnsi="Times New Roman" w:cs="Times New Roman"/>
                <w:b/>
                <w:bCs/>
                <w:sz w:val="24"/>
              </w:rPr>
            </w:pPr>
            <w:r>
              <w:rPr>
                <w:rFonts w:ascii="Times New Roman" w:hAnsi="Times New Roman" w:cs="Times New Roman"/>
                <w:b/>
                <w:bCs/>
                <w:sz w:val="24"/>
              </w:rPr>
              <w:t>（1）危险废物贮存场所（设施）环境影响分析：</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本项目营运期产生危险废物暂存于危废暂存点，委托有资质单位处置。</w:t>
            </w:r>
          </w:p>
          <w:p>
            <w:pPr>
              <w:pStyle w:val="16"/>
              <w:spacing w:after="0" w:line="360" w:lineRule="auto"/>
              <w:ind w:firstLine="480" w:firstLineChars="200"/>
              <w:rPr>
                <w:sz w:val="24"/>
              </w:rPr>
            </w:pPr>
            <w:r>
              <w:rPr>
                <w:sz w:val="24"/>
              </w:rPr>
              <w:t>危废暂存区选址所在区域地质结构稳定，地震强度4度，满足地震烈度不超过7级36的要求；危废暂存间底部高于地下水最高水位；且不位于溶洞区或易遭受严重自然灾害如洪水、滑坡、泥石流、潮汐等影响的地区及易燃、易爆等危险品仓库、高压输电线路防护区域。</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公司位于陆家镇，</w:t>
            </w:r>
            <w:r>
              <w:rPr>
                <w:rFonts w:ascii="Times New Roman" w:hAnsi="Times New Roman" w:cs="Times New Roman"/>
                <w:caps/>
                <w:sz w:val="24"/>
              </w:rPr>
              <w:t>最近的环境敏感点为东北侧距本项目552米处的美吉特工业博览城住宅。</w:t>
            </w:r>
            <w:r>
              <w:rPr>
                <w:rFonts w:ascii="Times New Roman" w:hAnsi="Times New Roman" w:cs="Times New Roman"/>
                <w:sz w:val="24"/>
              </w:rPr>
              <w:t>同时，企业对危废暂存点地面进行了防漏防渗防腐处理以降低危险废物贮存风险。</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本项目废包装桶产生周期为1次/年，产生量为0.144t/a，废切削液产生周期为1次/年，产生量为0.5t/a，废导轨油产生周期为1次/年，产生量为0.1t/a，委托有资质的单位处理。</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本项目年需周转危废量0.744t，考虑每年周转1次，则危废量约0.744t/a。项目依托现有危险废物暂存点，建筑面积10m</w:t>
            </w:r>
            <w:r>
              <w:rPr>
                <w:rFonts w:ascii="Times New Roman" w:hAnsi="Times New Roman" w:cs="Times New Roman"/>
                <w:sz w:val="24"/>
                <w:vertAlign w:val="superscript"/>
              </w:rPr>
              <w:t>2</w:t>
            </w:r>
            <w:r>
              <w:rPr>
                <w:rFonts w:ascii="Times New Roman" w:hAnsi="Times New Roman" w:cs="Times New Roman"/>
                <w:sz w:val="24"/>
              </w:rPr>
              <w:t>，危险废物最大储存量约为2t。因此从固态危废暂存点面积角度考虑，本项目危废暂存点是可行的。</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综上所述，本项目固废经采取上述处置措施后全部处置，实现固废“零排放”，在建设单位按照相关文件要求加强固体废物管理的情况下，本项目固废对外环境影响不大。</w:t>
            </w:r>
          </w:p>
          <w:p>
            <w:pPr>
              <w:snapToGrid w:val="0"/>
              <w:spacing w:line="360" w:lineRule="auto"/>
              <w:ind w:firstLine="482" w:firstLineChars="200"/>
              <w:rPr>
                <w:rFonts w:ascii="Times New Roman" w:hAnsi="Times New Roman" w:cs="Times New Roman"/>
                <w:b/>
                <w:bCs/>
                <w:sz w:val="24"/>
              </w:rPr>
            </w:pPr>
            <w:r>
              <w:rPr>
                <w:rFonts w:ascii="Times New Roman" w:hAnsi="Times New Roman" w:cs="Times New Roman"/>
                <w:b/>
                <w:bCs/>
                <w:sz w:val="24"/>
              </w:rPr>
              <w:t>（2）运输过程的环境影响分析：</w:t>
            </w:r>
          </w:p>
          <w:p>
            <w:pPr>
              <w:snapToGrid w:val="0"/>
              <w:spacing w:line="360" w:lineRule="auto"/>
              <w:ind w:firstLine="482" w:firstLineChars="200"/>
              <w:rPr>
                <w:rFonts w:ascii="Times New Roman" w:hAnsi="Times New Roman" w:cs="Times New Roman"/>
                <w:sz w:val="24"/>
              </w:rPr>
            </w:pPr>
            <w:r>
              <w:rPr>
                <w:rFonts w:ascii="Times New Roman" w:hAnsi="Times New Roman" w:cs="Times New Roman"/>
                <w:b/>
                <w:sz w:val="24"/>
              </w:rPr>
              <w:t>厂区内部运输：</w:t>
            </w:r>
            <w:r>
              <w:rPr>
                <w:rFonts w:ascii="Times New Roman" w:hAnsi="Times New Roman" w:cs="Times New Roman"/>
                <w:sz w:val="24"/>
              </w:rPr>
              <w:t>本项目危废产生于线切割过程，从危废产生情况分析，本项目拟将危废暂存点设置在车间南边过道边，因此，从危废产生工艺环节运输到贮存场所仅在厂区内部运输，且车间地面均做好防渗防漏等措施，因此，厂区内危废从产生工艺环节运输至贮存场所影响较小。</w:t>
            </w:r>
          </w:p>
          <w:p>
            <w:pPr>
              <w:snapToGrid w:val="0"/>
              <w:spacing w:line="360" w:lineRule="auto"/>
              <w:ind w:firstLine="482" w:firstLineChars="200"/>
              <w:rPr>
                <w:rFonts w:ascii="Times New Roman" w:hAnsi="Times New Roman" w:cs="Times New Roman"/>
                <w:sz w:val="24"/>
              </w:rPr>
            </w:pPr>
            <w:r>
              <w:rPr>
                <w:rFonts w:ascii="Times New Roman" w:hAnsi="Times New Roman" w:cs="Times New Roman"/>
                <w:b/>
                <w:bCs/>
                <w:sz w:val="24"/>
              </w:rPr>
              <w:t>厂区处置场所：</w:t>
            </w:r>
            <w:r>
              <w:rPr>
                <w:rFonts w:ascii="Times New Roman" w:hAnsi="Times New Roman" w:cs="Times New Roman"/>
                <w:sz w:val="24"/>
              </w:rPr>
              <w:t>本项目危险废物运输均为公路运输，由有资质单位专用运输车辆负责接收本项目危废，专业运输车辆严格按照危险废物运输管理规定运输，一般情况下，在运输途中不会产生物料的散落或泄漏，不会对沿途环境造成不利影响。可能会发生物料泄漏主要是由交通事故而引起的，使危险废物撒落在路面，如果得不到及时处理时，或遇到下雨，会造成事故局部地区的固废污染和地表水体污染，且本项目需运输的危险废物，具有易挥发的特点，还可能会对大气环境产生一定影响。</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交通事故引发的环境污染属于突发环境污染事故，其没有固定的排放方式和排放途径，事故发生的时间、地点、环境具有很大的不确定性，发生突然，在瞬时或短时间内大量的排出污染物质，易对环境造成污染。为确保运输途中安全，减少并避免对周边环境及群众的影响。必须做到以下几点：</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①</w:t>
            </w:r>
            <w:r>
              <w:rPr>
                <w:rFonts w:ascii="Times New Roman" w:hAnsi="Times New Roman" w:cs="Times New Roman"/>
                <w:sz w:val="24"/>
              </w:rPr>
              <w:t xml:space="preserve"> 危废的装卸和运输，必须指派责任心强，熟知危险品一般性质和安全防范知识的人员承担；</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②</w:t>
            </w:r>
            <w:r>
              <w:rPr>
                <w:rFonts w:ascii="Times New Roman" w:hAnsi="Times New Roman" w:cs="Times New Roman"/>
                <w:sz w:val="24"/>
              </w:rPr>
              <w:t xml:space="preserve"> 装卸运输人员，应持有安全合格证，按运输危险物品的性质，佩戴好相应的防护用品，装卸时必须轻拿轻放，严禁撞击、翻滚、摔拖重压和摩擦，不得损毁包装容器，注意标志，堆放稳妥。</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③</w:t>
            </w:r>
            <w:r>
              <w:rPr>
                <w:rFonts w:ascii="Times New Roman" w:hAnsi="Times New Roman" w:cs="Times New Roman"/>
                <w:sz w:val="24"/>
              </w:rPr>
              <w:t xml:space="preserve"> 相互碰撞、接触易引起燃烧爆炸，或造成其它危害的化学危险物品，以及化学性质互相抵触的危险物品不得违反配装限制而在同一车上混装运输。</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④</w:t>
            </w:r>
            <w:r>
              <w:rPr>
                <w:rFonts w:ascii="Times New Roman" w:hAnsi="Times New Roman" w:cs="Times New Roman"/>
                <w:sz w:val="24"/>
              </w:rPr>
              <w:t xml:space="preserve"> 危废装运时不得人货混装。运输爆炸、剧毒和放射性危险物品，应指派专人押运，押运人员不得少于2人。</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⑤</w:t>
            </w:r>
            <w:r>
              <w:rPr>
                <w:rFonts w:ascii="Times New Roman" w:hAnsi="Times New Roman" w:cs="Times New Roman"/>
                <w:sz w:val="24"/>
              </w:rPr>
              <w:t xml:space="preserve"> 危废装卸装卸前后，对车厢、库房应进行通风和清扫，不得留有残渣。装过剧毒物品的车辆，卸后必须洗刷干净。</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⑥</w:t>
            </w:r>
            <w:r>
              <w:rPr>
                <w:rFonts w:ascii="Times New Roman" w:hAnsi="Times New Roman" w:cs="Times New Roman"/>
                <w:sz w:val="24"/>
              </w:rPr>
              <w:t xml:space="preserve"> 运输车辆应严格防止外来明火，尽可能选择路面平坦的道路，并且要严格按照规划好的路线运输，不得在繁华街道行驶和停留，行车中要保持车速、车距，严禁超速、超车和强行会车。</w:t>
            </w:r>
          </w:p>
          <w:p>
            <w:pPr>
              <w:snapToGrid w:val="0"/>
              <w:spacing w:line="360" w:lineRule="auto"/>
              <w:ind w:firstLine="482" w:firstLineChars="200"/>
              <w:rPr>
                <w:rFonts w:ascii="Times New Roman" w:hAnsi="Times New Roman" w:cs="Times New Roman"/>
                <w:sz w:val="24"/>
              </w:rPr>
            </w:pPr>
            <w:r>
              <w:rPr>
                <w:rFonts w:ascii="Times New Roman" w:hAnsi="Times New Roman" w:cs="Times New Roman"/>
                <w:b/>
                <w:bCs/>
                <w:sz w:val="24"/>
              </w:rPr>
              <w:t>（3）危废委托处置可行性分析：</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根据《国家危险废物名录》（2016）可知，本项目产生的废切削液和废包装桶属于HW49“其他废物”中900-006-09，900-041-49，废导轨油属于HW08“其他废物”中900-249-08，委托有资质单位集中处置。具体的危废处置单位详见市环境保护局官方网站http://sthjj.suzhou.gov.cn/szhbj/gfgl/xxgk_list.shtml。</w:t>
            </w:r>
          </w:p>
          <w:p>
            <w:pPr>
              <w:pStyle w:val="14"/>
              <w:adjustRightInd w:val="0"/>
              <w:snapToGrid w:val="0"/>
              <w:spacing w:line="360" w:lineRule="auto"/>
              <w:rPr>
                <w:rFonts w:ascii="Times New Roman" w:hAnsi="Times New Roman" w:cs="Times New Roman"/>
                <w:sz w:val="24"/>
              </w:rPr>
            </w:pPr>
            <w:r>
              <w:rPr>
                <w:rFonts w:ascii="Times New Roman" w:hAnsi="Times New Roman" w:cs="Times New Roman"/>
                <w:sz w:val="24"/>
              </w:rPr>
              <w:t xml:space="preserve">   本环评列出项目所在地周边可依托的部分危废处置单位信息，不作推荐，仅作处置能力评述。建设单位可以自由选择有资质的处置单位，由表7-15可以看出，本项目产生的危废种类可依托的处置资源较多，本项目危废最终合法化利用或处置，可靠、可行。</w:t>
            </w:r>
          </w:p>
          <w:p>
            <w:pPr>
              <w:pStyle w:val="19"/>
              <w:jc w:val="center"/>
              <w:rPr>
                <w:rFonts w:ascii="Times New Roman" w:hAnsi="Times New Roman" w:cs="Times New Roman"/>
                <w:b/>
                <w:sz w:val="24"/>
              </w:rPr>
            </w:pPr>
            <w:r>
              <w:rPr>
                <w:rFonts w:ascii="Times New Roman" w:hAnsi="Times New Roman" w:cs="Times New Roman"/>
                <w:b/>
                <w:sz w:val="24"/>
              </w:rPr>
              <w:t>表7-15  建设单位周边危废处置单位详情</w:t>
            </w:r>
          </w:p>
          <w:tbl>
            <w:tblPr>
              <w:tblStyle w:val="36"/>
              <w:tblW w:w="94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679"/>
              <w:gridCol w:w="1422"/>
              <w:gridCol w:w="1331"/>
              <w:gridCol w:w="1493"/>
              <w:gridCol w:w="4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4" w:hRule="atLeast"/>
                <w:jc w:val="center"/>
              </w:trPr>
              <w:tc>
                <w:tcPr>
                  <w:tcW w:w="679" w:type="dxa"/>
                  <w:vAlign w:val="center"/>
                </w:tcPr>
                <w:p>
                  <w:pPr>
                    <w:jc w:val="center"/>
                    <w:rPr>
                      <w:rFonts w:ascii="Times New Roman" w:hAnsi="Times New Roman" w:cs="Times New Roman"/>
                      <w:b/>
                      <w:szCs w:val="21"/>
                    </w:rPr>
                  </w:pPr>
                  <w:r>
                    <w:rPr>
                      <w:rFonts w:ascii="Times New Roman" w:hAnsi="Times New Roman" w:cs="Times New Roman"/>
                      <w:b/>
                      <w:szCs w:val="21"/>
                    </w:rPr>
                    <w:t>序号</w:t>
                  </w:r>
                </w:p>
              </w:tc>
              <w:tc>
                <w:tcPr>
                  <w:tcW w:w="1422" w:type="dxa"/>
                  <w:vAlign w:val="center"/>
                </w:tcPr>
                <w:p>
                  <w:pPr>
                    <w:pStyle w:val="6"/>
                    <w:ind w:left="2" w:leftChars="-7" w:hanging="17" w:hangingChars="8"/>
                    <w:jc w:val="center"/>
                    <w:rPr>
                      <w:rFonts w:ascii="Times New Roman" w:hAnsi="Times New Roman" w:cs="Times New Roman"/>
                      <w:b/>
                      <w:bCs/>
                      <w:szCs w:val="21"/>
                    </w:rPr>
                  </w:pPr>
                  <w:r>
                    <w:rPr>
                      <w:rFonts w:ascii="Times New Roman" w:hAnsi="Times New Roman" w:cs="Times New Roman"/>
                      <w:b/>
                      <w:bCs/>
                      <w:szCs w:val="21"/>
                    </w:rPr>
                    <w:t>单位名称</w:t>
                  </w:r>
                </w:p>
              </w:tc>
              <w:tc>
                <w:tcPr>
                  <w:tcW w:w="1331" w:type="dxa"/>
                  <w:vAlign w:val="center"/>
                </w:tcPr>
                <w:p>
                  <w:pPr>
                    <w:pStyle w:val="6"/>
                    <w:ind w:left="2" w:leftChars="-7" w:hanging="17" w:hangingChars="8"/>
                    <w:jc w:val="center"/>
                    <w:rPr>
                      <w:rFonts w:ascii="Times New Roman" w:hAnsi="Times New Roman" w:cs="Times New Roman"/>
                      <w:b/>
                      <w:bCs/>
                      <w:szCs w:val="21"/>
                    </w:rPr>
                  </w:pPr>
                  <w:r>
                    <w:rPr>
                      <w:rFonts w:ascii="Times New Roman" w:hAnsi="Times New Roman" w:cs="Times New Roman"/>
                      <w:b/>
                      <w:bCs/>
                      <w:szCs w:val="21"/>
                    </w:rPr>
                    <w:t>地址</w:t>
                  </w:r>
                </w:p>
              </w:tc>
              <w:tc>
                <w:tcPr>
                  <w:tcW w:w="1493" w:type="dxa"/>
                  <w:vAlign w:val="center"/>
                </w:tcPr>
                <w:p>
                  <w:pPr>
                    <w:pStyle w:val="6"/>
                    <w:ind w:left="2" w:leftChars="-7" w:hanging="17" w:hangingChars="8"/>
                    <w:jc w:val="center"/>
                    <w:rPr>
                      <w:rFonts w:ascii="Times New Roman" w:hAnsi="Times New Roman" w:cs="Times New Roman"/>
                      <w:b/>
                      <w:bCs/>
                      <w:szCs w:val="21"/>
                    </w:rPr>
                  </w:pPr>
                  <w:r>
                    <w:rPr>
                      <w:rFonts w:ascii="Times New Roman" w:hAnsi="Times New Roman" w:cs="Times New Roman"/>
                      <w:b/>
                      <w:bCs/>
                      <w:szCs w:val="21"/>
                    </w:rPr>
                    <w:t>联系电话</w:t>
                  </w:r>
                </w:p>
              </w:tc>
              <w:tc>
                <w:tcPr>
                  <w:tcW w:w="4492" w:type="dxa"/>
                  <w:vAlign w:val="center"/>
                </w:tcPr>
                <w:p>
                  <w:pPr>
                    <w:jc w:val="center"/>
                    <w:rPr>
                      <w:rFonts w:ascii="Times New Roman" w:hAnsi="Times New Roman" w:cs="Times New Roman"/>
                      <w:b/>
                      <w:szCs w:val="21"/>
                    </w:rPr>
                  </w:pPr>
                  <w:r>
                    <w:rPr>
                      <w:rFonts w:ascii="Times New Roman" w:hAnsi="Times New Roman" w:cs="Times New Roman"/>
                      <w:b/>
                      <w:bCs/>
                      <w:szCs w:val="21"/>
                    </w:rPr>
                    <w:t>核准处置能力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054" w:hRule="atLeast"/>
                <w:jc w:val="center"/>
              </w:trPr>
              <w:tc>
                <w:tcPr>
                  <w:tcW w:w="679" w:type="dxa"/>
                  <w:vAlign w:val="center"/>
                </w:tcPr>
                <w:p>
                  <w:pPr>
                    <w:jc w:val="center"/>
                    <w:rPr>
                      <w:rFonts w:ascii="Times New Roman" w:hAnsi="Times New Roman" w:cs="Times New Roman"/>
                      <w:szCs w:val="21"/>
                    </w:rPr>
                  </w:pPr>
                  <w:r>
                    <w:rPr>
                      <w:rFonts w:ascii="Times New Roman" w:hAnsi="Times New Roman" w:cs="Times New Roman"/>
                      <w:szCs w:val="21"/>
                    </w:rPr>
                    <w:t>1</w:t>
                  </w:r>
                </w:p>
              </w:tc>
              <w:tc>
                <w:tcPr>
                  <w:tcW w:w="1422" w:type="dxa"/>
                  <w:tcBorders>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张家港中鼎包装处置有限公司</w:t>
                  </w:r>
                </w:p>
              </w:tc>
              <w:tc>
                <w:tcPr>
                  <w:tcW w:w="1331" w:type="dxa"/>
                  <w:tcBorders>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张家港市金港镇晨港路</w:t>
                  </w:r>
                </w:p>
              </w:tc>
              <w:tc>
                <w:tcPr>
                  <w:tcW w:w="1493" w:type="dxa"/>
                  <w:vAlign w:val="center"/>
                </w:tcPr>
                <w:p>
                  <w:pPr>
                    <w:pStyle w:val="6"/>
                    <w:ind w:left="1" w:leftChars="-7" w:hanging="16" w:hangingChars="8"/>
                    <w:jc w:val="center"/>
                    <w:rPr>
                      <w:rFonts w:ascii="Times New Roman" w:hAnsi="Times New Roman" w:cs="Times New Roman"/>
                      <w:szCs w:val="21"/>
                    </w:rPr>
                  </w:pPr>
                  <w:r>
                    <w:rPr>
                      <w:rFonts w:ascii="Times New Roman" w:hAnsi="Times New Roman" w:cs="Times New Roman"/>
                      <w:szCs w:val="21"/>
                    </w:rPr>
                    <w:t>58777508、13706165522</w:t>
                  </w:r>
                </w:p>
              </w:tc>
              <w:tc>
                <w:tcPr>
                  <w:tcW w:w="4492" w:type="dxa"/>
                  <w:vAlign w:val="center"/>
                </w:tcPr>
                <w:p>
                  <w:pPr>
                    <w:ind w:left="17" w:hanging="16" w:hangingChars="8"/>
                    <w:jc w:val="center"/>
                    <w:rPr>
                      <w:rFonts w:ascii="Times New Roman" w:hAnsi="Times New Roman" w:cs="Times New Roman"/>
                      <w:kern w:val="0"/>
                    </w:rPr>
                  </w:pPr>
                  <w:r>
                    <w:rPr>
                      <w:rFonts w:ascii="Times New Roman" w:hAnsi="Times New Roman" w:cs="Times New Roman"/>
                      <w:kern w:val="0"/>
                    </w:rPr>
                    <w:t>清洗处置HW49其他废物〔900-041-49，仅含有机溶剂、矿物油、有机树脂、涂料、油漆、卤化物的200L包装桶15万只，仅含酸、碱、双氧水、无机类的IBC吨桶1万只〕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803" w:hRule="atLeast"/>
                <w:jc w:val="center"/>
              </w:trPr>
              <w:tc>
                <w:tcPr>
                  <w:tcW w:w="679" w:type="dxa"/>
                  <w:vAlign w:val="center"/>
                </w:tcPr>
                <w:p>
                  <w:pPr>
                    <w:jc w:val="center"/>
                    <w:rPr>
                      <w:rFonts w:ascii="Times New Roman" w:hAnsi="Times New Roman" w:cs="Times New Roman"/>
                      <w:szCs w:val="21"/>
                    </w:rPr>
                  </w:pPr>
                  <w:r>
                    <w:rPr>
                      <w:rFonts w:ascii="Times New Roman" w:hAnsi="Times New Roman" w:cs="Times New Roman"/>
                      <w:szCs w:val="21"/>
                    </w:rPr>
                    <w:t>2</w:t>
                  </w:r>
                </w:p>
              </w:tc>
              <w:tc>
                <w:tcPr>
                  <w:tcW w:w="1422" w:type="dxa"/>
                  <w:tcBorders>
                    <w:top w:val="single" w:color="auto" w:sz="4" w:space="0"/>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苏州市荣望环保科技有限公司</w:t>
                  </w:r>
                </w:p>
              </w:tc>
              <w:tc>
                <w:tcPr>
                  <w:tcW w:w="1331" w:type="dxa"/>
                  <w:tcBorders>
                    <w:top w:val="single" w:color="auto" w:sz="4" w:space="0"/>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相城区经济开发区上浜村</w:t>
                  </w:r>
                </w:p>
              </w:tc>
              <w:tc>
                <w:tcPr>
                  <w:tcW w:w="1493" w:type="dxa"/>
                  <w:vAlign w:val="center"/>
                </w:tcPr>
                <w:p>
                  <w:pPr>
                    <w:pStyle w:val="6"/>
                    <w:ind w:left="1" w:leftChars="-7" w:hanging="16" w:hangingChars="8"/>
                    <w:jc w:val="center"/>
                    <w:rPr>
                      <w:rFonts w:ascii="Times New Roman" w:hAnsi="Times New Roman" w:cs="Times New Roman"/>
                      <w:szCs w:val="21"/>
                    </w:rPr>
                  </w:pPr>
                  <w:r>
                    <w:rPr>
                      <w:rFonts w:ascii="Times New Roman" w:hAnsi="Times New Roman" w:cs="Times New Roman"/>
                      <w:szCs w:val="21"/>
                    </w:rPr>
                    <w:t>65796001</w:t>
                  </w:r>
                </w:p>
              </w:tc>
              <w:tc>
                <w:tcPr>
                  <w:tcW w:w="4492" w:type="dxa"/>
                  <w:vAlign w:val="center"/>
                </w:tcPr>
                <w:p>
                  <w:pPr>
                    <w:ind w:left="17" w:hanging="16" w:hangingChars="8"/>
                    <w:jc w:val="center"/>
                    <w:rPr>
                      <w:rFonts w:ascii="Times New Roman" w:hAnsi="Times New Roman" w:cs="Times New Roman"/>
                      <w:kern w:val="0"/>
                    </w:rPr>
                  </w:pPr>
                  <w:r>
                    <w:rPr>
                      <w:rFonts w:ascii="Times New Roman" w:hAnsi="Times New Roman" w:cs="Times New Roman"/>
                      <w:kern w:val="0"/>
                    </w:rPr>
                    <w:t>油/水/烃/水混合物或乳化液（HW09）、其他废物（HW49，仅限309-001-49、900-039-49、900-040-49、900-041-49、900-042-49、900-046-49、900-047-49、900-999-49）、废催化剂（HW50，仅限261-151-50、261-152-50、261-183-50、263-013-50、271-006-50、275-009-50、276-006-50、900-048-50）等处置量20000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822" w:hRule="atLeast"/>
                <w:jc w:val="center"/>
              </w:trPr>
              <w:tc>
                <w:tcPr>
                  <w:tcW w:w="679" w:type="dxa"/>
                  <w:vAlign w:val="center"/>
                </w:tcPr>
                <w:p>
                  <w:pPr>
                    <w:jc w:val="center"/>
                    <w:rPr>
                      <w:rFonts w:ascii="Times New Roman" w:hAnsi="Times New Roman" w:cs="Times New Roman"/>
                      <w:szCs w:val="21"/>
                    </w:rPr>
                  </w:pPr>
                  <w:r>
                    <w:rPr>
                      <w:rFonts w:ascii="Times New Roman" w:hAnsi="Times New Roman" w:cs="Times New Roman"/>
                      <w:szCs w:val="21"/>
                    </w:rPr>
                    <w:t>3</w:t>
                  </w:r>
                </w:p>
              </w:tc>
              <w:tc>
                <w:tcPr>
                  <w:tcW w:w="1422" w:type="dxa"/>
                  <w:tcBorders>
                    <w:top w:val="single" w:color="auto" w:sz="4" w:space="0"/>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光大环保（苏州）固废处置有限公司</w:t>
                  </w:r>
                </w:p>
              </w:tc>
              <w:tc>
                <w:tcPr>
                  <w:tcW w:w="1331" w:type="dxa"/>
                  <w:tcBorders>
                    <w:top w:val="single" w:color="auto" w:sz="4" w:space="0"/>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苏州市吴中区木渎镇七子村南侧</w:t>
                  </w:r>
                </w:p>
              </w:tc>
              <w:tc>
                <w:tcPr>
                  <w:tcW w:w="1493" w:type="dxa"/>
                  <w:vAlign w:val="center"/>
                </w:tcPr>
                <w:p>
                  <w:pPr>
                    <w:pStyle w:val="6"/>
                    <w:ind w:left="1" w:leftChars="-7" w:hanging="16" w:hangingChars="8"/>
                    <w:jc w:val="center"/>
                    <w:rPr>
                      <w:rFonts w:ascii="Times New Roman" w:hAnsi="Times New Roman" w:cs="Times New Roman"/>
                      <w:szCs w:val="21"/>
                    </w:rPr>
                  </w:pPr>
                  <w:r>
                    <w:rPr>
                      <w:rFonts w:ascii="Times New Roman" w:hAnsi="Times New Roman" w:cs="Times New Roman"/>
                      <w:szCs w:val="21"/>
                    </w:rPr>
                    <w:t>66573192、18913136242</w:t>
                  </w:r>
                </w:p>
              </w:tc>
              <w:tc>
                <w:tcPr>
                  <w:tcW w:w="4492" w:type="dxa"/>
                  <w:vAlign w:val="center"/>
                </w:tcPr>
                <w:p>
                  <w:pPr>
                    <w:widowControl/>
                    <w:jc w:val="center"/>
                    <w:textAlignment w:val="center"/>
                    <w:rPr>
                      <w:rFonts w:ascii="Times New Roman" w:hAnsi="Times New Roman" w:cs="Times New Roman"/>
                      <w:kern w:val="0"/>
                    </w:rPr>
                  </w:pPr>
                  <w:r>
                    <w:rPr>
                      <w:rFonts w:ascii="Times New Roman" w:hAnsi="Times New Roman" w:cs="Times New Roman"/>
                      <w:kern w:val="0"/>
                    </w:rPr>
                    <w:t>填埋处置HW07含氰废物、HW17表面处理废物、HW18焚烧处置残渣、HW19含金属羰基化合物废物、HW20含铍废物、HW21含铬废物、HW22含铜废物、HW23含锌废物、HW24含砷废物、HW25含硒废物、HW26含镉废物、HW27含锑废物、HW28含碲废物、HW30含铊废物、HW31含铅废物、HW32无机氟化物废物〔900-026-32、含无机氟的其他废物（900-000-32）〕、HW33无机氰化物废物、HW34废酸（仅251-014-34、261-057-34、900-349-34的酸渣）、HW35废碱（仅251-015-35、261-059-35、900-399-35）、HW36石棉废物、HW46含镍废物、HW47含钡废物、HW49其他废物〔仅危险废物物化处理过程中产生的废水处理污泥和残渣（900-000-49）、化工行业生产过程中产生的废活性炭（900-039-49）、无机化工行业生产过程中收集的粉尘（900-040-49）、离子交换树脂再生过程产生的污泥（900-046-49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822" w:hRule="atLeast"/>
                <w:jc w:val="center"/>
              </w:trPr>
              <w:tc>
                <w:tcPr>
                  <w:tcW w:w="679" w:type="dxa"/>
                  <w:vAlign w:val="center"/>
                </w:tcPr>
                <w:p>
                  <w:pPr>
                    <w:ind w:left="17" w:hanging="16" w:hangingChars="8"/>
                    <w:jc w:val="center"/>
                    <w:rPr>
                      <w:rFonts w:ascii="Times New Roman" w:hAnsi="Times New Roman" w:cs="Times New Roman"/>
                      <w:kern w:val="0"/>
                    </w:rPr>
                  </w:pPr>
                  <w:r>
                    <w:rPr>
                      <w:rFonts w:ascii="Times New Roman" w:hAnsi="Times New Roman" w:cs="Times New Roman"/>
                      <w:kern w:val="0"/>
                    </w:rPr>
                    <w:t>4</w:t>
                  </w:r>
                </w:p>
              </w:tc>
              <w:tc>
                <w:tcPr>
                  <w:tcW w:w="1422" w:type="dxa"/>
                  <w:tcBorders>
                    <w:top w:val="single" w:color="auto" w:sz="4" w:space="0"/>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苏州星火环境净化股份有限公司</w:t>
                  </w:r>
                </w:p>
              </w:tc>
              <w:tc>
                <w:tcPr>
                  <w:tcW w:w="1331" w:type="dxa"/>
                  <w:tcBorders>
                    <w:top w:val="single" w:color="auto" w:sz="4" w:space="0"/>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高新区塔园路新区第二污水厂内</w:t>
                  </w:r>
                </w:p>
              </w:tc>
              <w:tc>
                <w:tcPr>
                  <w:tcW w:w="1493" w:type="dxa"/>
                  <w:vAlign w:val="center"/>
                </w:tcPr>
                <w:p>
                  <w:pPr>
                    <w:jc w:val="center"/>
                    <w:rPr>
                      <w:rFonts w:ascii="Times New Roman" w:hAnsi="Times New Roman" w:cs="Times New Roman"/>
                      <w:szCs w:val="21"/>
                    </w:rPr>
                  </w:pPr>
                  <w:r>
                    <w:rPr>
                      <w:rFonts w:ascii="Times New Roman" w:hAnsi="Times New Roman" w:cs="Times New Roman"/>
                      <w:szCs w:val="21"/>
                    </w:rPr>
                    <w:t>88861888、13270979999</w:t>
                  </w:r>
                </w:p>
              </w:tc>
              <w:tc>
                <w:tcPr>
                  <w:tcW w:w="4492" w:type="dxa"/>
                  <w:vAlign w:val="center"/>
                </w:tcPr>
                <w:p>
                  <w:pPr>
                    <w:jc w:val="center"/>
                    <w:rPr>
                      <w:rFonts w:ascii="Times New Roman" w:hAnsi="Times New Roman" w:cs="Times New Roman"/>
                      <w:szCs w:val="21"/>
                    </w:rPr>
                  </w:pPr>
                  <w:r>
                    <w:rPr>
                      <w:rFonts w:ascii="Times New Roman" w:hAnsi="Times New Roman" w:cs="Times New Roman"/>
                      <w:szCs w:val="21"/>
                    </w:rPr>
                    <w:t>废矿物油（HW08），油/水、烃/水废乳化液（HW09）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822" w:hRule="atLeast"/>
                <w:jc w:val="center"/>
              </w:trPr>
              <w:tc>
                <w:tcPr>
                  <w:tcW w:w="679" w:type="dxa"/>
                  <w:vAlign w:val="center"/>
                </w:tcPr>
                <w:p>
                  <w:pPr>
                    <w:ind w:left="17" w:hanging="16" w:hangingChars="8"/>
                    <w:jc w:val="center"/>
                    <w:rPr>
                      <w:rFonts w:ascii="Times New Roman" w:hAnsi="Times New Roman" w:cs="Times New Roman"/>
                      <w:kern w:val="0"/>
                    </w:rPr>
                  </w:pPr>
                  <w:r>
                    <w:rPr>
                      <w:rFonts w:ascii="Times New Roman" w:hAnsi="Times New Roman" w:cs="Times New Roman"/>
                      <w:kern w:val="0"/>
                    </w:rPr>
                    <w:t>5</w:t>
                  </w:r>
                </w:p>
              </w:tc>
              <w:tc>
                <w:tcPr>
                  <w:tcW w:w="1422" w:type="dxa"/>
                  <w:tcBorders>
                    <w:top w:val="single" w:color="auto" w:sz="4" w:space="0"/>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苏州市众和环保科技有限公司</w:t>
                  </w:r>
                </w:p>
              </w:tc>
              <w:tc>
                <w:tcPr>
                  <w:tcW w:w="1331" w:type="dxa"/>
                  <w:tcBorders>
                    <w:top w:val="single" w:color="auto" w:sz="4" w:space="0"/>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苏州新区浒墅关开发区城际路101号（浒东污水厂内）</w:t>
                  </w:r>
                </w:p>
              </w:tc>
              <w:tc>
                <w:tcPr>
                  <w:tcW w:w="1493" w:type="dxa"/>
                  <w:vAlign w:val="center"/>
                </w:tcPr>
                <w:p>
                  <w:pPr>
                    <w:jc w:val="center"/>
                    <w:rPr>
                      <w:rFonts w:ascii="Times New Roman" w:hAnsi="Times New Roman" w:cs="Times New Roman"/>
                      <w:szCs w:val="21"/>
                    </w:rPr>
                  </w:pPr>
                  <w:r>
                    <w:rPr>
                      <w:rFonts w:ascii="Times New Roman" w:hAnsi="Times New Roman" w:cs="Times New Roman"/>
                      <w:szCs w:val="21"/>
                    </w:rPr>
                    <w:t>68755761、13801542201</w:t>
                  </w:r>
                </w:p>
              </w:tc>
              <w:tc>
                <w:tcPr>
                  <w:tcW w:w="4492" w:type="dxa"/>
                  <w:vAlign w:val="center"/>
                </w:tcPr>
                <w:p>
                  <w:pPr>
                    <w:jc w:val="center"/>
                    <w:rPr>
                      <w:rFonts w:ascii="Times New Roman" w:hAnsi="Times New Roman" w:cs="Times New Roman"/>
                      <w:szCs w:val="21"/>
                    </w:rPr>
                  </w:pPr>
                  <w:r>
                    <w:rPr>
                      <w:rFonts w:ascii="Times New Roman" w:hAnsi="Times New Roman" w:cs="Times New Roman"/>
                      <w:szCs w:val="21"/>
                    </w:rPr>
                    <w:t>油/水/烃/水混合物或乳化液（HW09）、有机溶剂废液及有机溶剂废物（HW06）、表面处理废液（HW17）、染料涂料废液（HW12）</w:t>
                  </w:r>
                </w:p>
              </w:tc>
            </w:tr>
          </w:tbl>
          <w:p>
            <w:pPr>
              <w:snapToGrid w:val="0"/>
              <w:spacing w:line="360" w:lineRule="auto"/>
              <w:ind w:firstLine="482" w:firstLineChars="200"/>
              <w:rPr>
                <w:rFonts w:ascii="Times New Roman" w:hAnsi="Times New Roman" w:cs="Times New Roman"/>
                <w:b/>
                <w:bCs/>
                <w:sz w:val="24"/>
              </w:rPr>
            </w:pPr>
            <w:r>
              <w:rPr>
                <w:rFonts w:ascii="Times New Roman" w:hAnsi="Times New Roman" w:cs="Times New Roman"/>
                <w:b/>
                <w:bCs/>
                <w:sz w:val="24"/>
              </w:rPr>
              <w:t>4.3污染防治措施分析</w:t>
            </w:r>
          </w:p>
          <w:p>
            <w:pPr>
              <w:snapToGrid w:val="0"/>
              <w:spacing w:line="360" w:lineRule="auto"/>
              <w:ind w:firstLine="482" w:firstLineChars="200"/>
              <w:rPr>
                <w:rFonts w:ascii="Times New Roman" w:hAnsi="Times New Roman" w:cs="Times New Roman"/>
                <w:b/>
                <w:bCs/>
                <w:sz w:val="24"/>
              </w:rPr>
            </w:pPr>
            <w:r>
              <w:rPr>
                <w:rFonts w:ascii="Times New Roman" w:hAnsi="Times New Roman" w:cs="Times New Roman"/>
                <w:b/>
                <w:bCs/>
                <w:sz w:val="24"/>
              </w:rPr>
              <w:t>（1）贮存场所（设施）污染防治措施</w:t>
            </w:r>
          </w:p>
          <w:p>
            <w:pPr>
              <w:snapToGrid w:val="0"/>
              <w:spacing w:line="360" w:lineRule="auto"/>
              <w:ind w:firstLine="480" w:firstLineChars="200"/>
              <w:rPr>
                <w:rFonts w:ascii="Times New Roman" w:hAnsi="Times New Roman" w:cs="Times New Roman"/>
                <w:b/>
                <w:bCs/>
                <w:sz w:val="24"/>
              </w:rPr>
            </w:pPr>
            <w:r>
              <w:rPr>
                <w:rFonts w:ascii="Times New Roman" w:hAnsi="Times New Roman" w:cs="Times New Roman"/>
                <w:sz w:val="24"/>
              </w:rPr>
              <w:t>本项目危废危险废物贮存场所（设施）基本情况见下表。</w:t>
            </w:r>
          </w:p>
          <w:p>
            <w:pPr>
              <w:jc w:val="center"/>
              <w:rPr>
                <w:rFonts w:ascii="Times New Roman" w:hAnsi="Times New Roman" w:cs="Times New Roman"/>
                <w:b/>
                <w:sz w:val="24"/>
              </w:rPr>
            </w:pPr>
            <w:r>
              <w:rPr>
                <w:rFonts w:ascii="Times New Roman" w:hAnsi="Times New Roman" w:cs="Times New Roman"/>
                <w:b/>
                <w:sz w:val="24"/>
              </w:rPr>
              <w:t>表7-15  本项目建成后全厂固体废弃物分析结果汇总表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0"/>
              <w:gridCol w:w="1287"/>
              <w:gridCol w:w="1367"/>
              <w:gridCol w:w="912"/>
              <w:gridCol w:w="1196"/>
              <w:gridCol w:w="715"/>
              <w:gridCol w:w="784"/>
              <w:gridCol w:w="660"/>
              <w:gridCol w:w="764"/>
              <w:gridCol w:w="6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18" w:hRule="atLeast"/>
                <w:jc w:val="center"/>
              </w:trPr>
              <w:tc>
                <w:tcPr>
                  <w:tcW w:w="520" w:type="dxa"/>
                  <w:vAlign w:val="center"/>
                </w:tcPr>
                <w:p>
                  <w:pPr>
                    <w:jc w:val="center"/>
                    <w:rPr>
                      <w:rFonts w:ascii="Times New Roman" w:hAnsi="Times New Roman" w:cs="Times New Roman"/>
                      <w:b/>
                      <w:bCs/>
                      <w:szCs w:val="21"/>
                    </w:rPr>
                  </w:pPr>
                  <w:r>
                    <w:rPr>
                      <w:rFonts w:ascii="Times New Roman" w:hAnsi="Times New Roman" w:cs="Times New Roman"/>
                      <w:b/>
                      <w:bCs/>
                      <w:szCs w:val="21"/>
                    </w:rPr>
                    <w:t>序号</w:t>
                  </w:r>
                </w:p>
              </w:tc>
              <w:tc>
                <w:tcPr>
                  <w:tcW w:w="1287" w:type="dxa"/>
                  <w:vAlign w:val="center"/>
                </w:tcPr>
                <w:p>
                  <w:pPr>
                    <w:jc w:val="center"/>
                    <w:rPr>
                      <w:rFonts w:ascii="Times New Roman" w:hAnsi="Times New Roman" w:cs="Times New Roman"/>
                      <w:b/>
                      <w:bCs/>
                      <w:szCs w:val="21"/>
                    </w:rPr>
                  </w:pPr>
                  <w:r>
                    <w:rPr>
                      <w:rFonts w:ascii="Times New Roman" w:hAnsi="Times New Roman" w:cs="Times New Roman"/>
                      <w:b/>
                      <w:bCs/>
                      <w:szCs w:val="21"/>
                    </w:rPr>
                    <w:t>贮存场所（设施）名称</w:t>
                  </w:r>
                </w:p>
              </w:tc>
              <w:tc>
                <w:tcPr>
                  <w:tcW w:w="1367" w:type="dxa"/>
                  <w:vAlign w:val="center"/>
                </w:tcPr>
                <w:p>
                  <w:pPr>
                    <w:jc w:val="center"/>
                    <w:rPr>
                      <w:rFonts w:ascii="Times New Roman" w:hAnsi="Times New Roman" w:cs="Times New Roman"/>
                      <w:b/>
                      <w:bCs/>
                      <w:szCs w:val="21"/>
                    </w:rPr>
                  </w:pPr>
                  <w:r>
                    <w:rPr>
                      <w:rFonts w:ascii="Times New Roman" w:hAnsi="Times New Roman" w:cs="Times New Roman"/>
                      <w:b/>
                      <w:bCs/>
                      <w:szCs w:val="21"/>
                    </w:rPr>
                    <w:t>危险废物</w:t>
                  </w:r>
                </w:p>
                <w:p>
                  <w:pPr>
                    <w:jc w:val="center"/>
                    <w:rPr>
                      <w:rFonts w:ascii="Times New Roman" w:hAnsi="Times New Roman" w:cs="Times New Roman"/>
                      <w:b/>
                      <w:bCs/>
                      <w:szCs w:val="21"/>
                    </w:rPr>
                  </w:pPr>
                  <w:r>
                    <w:rPr>
                      <w:rFonts w:ascii="Times New Roman" w:hAnsi="Times New Roman" w:cs="Times New Roman"/>
                      <w:b/>
                      <w:bCs/>
                      <w:szCs w:val="21"/>
                    </w:rPr>
                    <w:t>名称</w:t>
                  </w:r>
                </w:p>
              </w:tc>
              <w:tc>
                <w:tcPr>
                  <w:tcW w:w="912" w:type="dxa"/>
                  <w:tcBorders>
                    <w:right w:val="single" w:color="000000" w:sz="4"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危险废物类别</w:t>
                  </w:r>
                </w:p>
              </w:tc>
              <w:tc>
                <w:tcPr>
                  <w:tcW w:w="1074" w:type="dxa"/>
                  <w:tcBorders>
                    <w:left w:val="single" w:color="000000" w:sz="4" w:space="0"/>
                    <w:right w:val="single" w:color="000000" w:sz="4"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危险废物代码</w:t>
                  </w:r>
                </w:p>
              </w:tc>
              <w:tc>
                <w:tcPr>
                  <w:tcW w:w="715" w:type="dxa"/>
                  <w:tcBorders>
                    <w:left w:val="single" w:color="000000" w:sz="4" w:space="0"/>
                    <w:right w:val="single" w:color="000000" w:sz="4"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位置</w:t>
                  </w:r>
                </w:p>
              </w:tc>
              <w:tc>
                <w:tcPr>
                  <w:tcW w:w="784" w:type="dxa"/>
                  <w:tcBorders>
                    <w:left w:val="single" w:color="000000" w:sz="4"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占地面积</w:t>
                  </w:r>
                </w:p>
              </w:tc>
              <w:tc>
                <w:tcPr>
                  <w:tcW w:w="660" w:type="dxa"/>
                  <w:tcBorders>
                    <w:left w:val="single" w:color="000000" w:sz="4"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贮存方式</w:t>
                  </w:r>
                </w:p>
              </w:tc>
              <w:tc>
                <w:tcPr>
                  <w:tcW w:w="764" w:type="dxa"/>
                  <w:tcBorders>
                    <w:left w:val="single" w:color="000000" w:sz="4"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贮存能力</w:t>
                  </w:r>
                </w:p>
              </w:tc>
              <w:tc>
                <w:tcPr>
                  <w:tcW w:w="637" w:type="dxa"/>
                  <w:tcBorders>
                    <w:left w:val="single" w:color="000000" w:sz="4"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贮存周期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0" w:hRule="atLeast"/>
                <w:jc w:val="center"/>
              </w:trPr>
              <w:tc>
                <w:tcPr>
                  <w:tcW w:w="520" w:type="dxa"/>
                  <w:vAlign w:val="center"/>
                </w:tcPr>
                <w:p>
                  <w:pPr>
                    <w:spacing w:line="360" w:lineRule="auto"/>
                    <w:jc w:val="center"/>
                    <w:rPr>
                      <w:rFonts w:ascii="Times New Roman" w:hAnsi="Times New Roman" w:cs="Times New Roman"/>
                      <w:b/>
                      <w:bCs/>
                      <w:szCs w:val="21"/>
                    </w:rPr>
                  </w:pPr>
                  <w:r>
                    <w:rPr>
                      <w:rFonts w:ascii="Times New Roman" w:hAnsi="Times New Roman" w:cs="Times New Roman"/>
                      <w:szCs w:val="21"/>
                    </w:rPr>
                    <w:t>1</w:t>
                  </w:r>
                </w:p>
              </w:tc>
              <w:tc>
                <w:tcPr>
                  <w:tcW w:w="1287" w:type="dxa"/>
                  <w:vMerge w:val="restart"/>
                  <w:vAlign w:val="center"/>
                </w:tcPr>
                <w:p>
                  <w:pPr>
                    <w:jc w:val="center"/>
                    <w:rPr>
                      <w:rFonts w:ascii="Times New Roman" w:hAnsi="Times New Roman" w:cs="Times New Roman"/>
                      <w:b/>
                      <w:bCs/>
                      <w:szCs w:val="21"/>
                    </w:rPr>
                  </w:pPr>
                  <w:r>
                    <w:rPr>
                      <w:rFonts w:ascii="Times New Roman" w:hAnsi="Times New Roman" w:cs="Times New Roman"/>
                      <w:szCs w:val="21"/>
                    </w:rPr>
                    <w:t>危废暂存场点</w:t>
                  </w:r>
                </w:p>
              </w:tc>
              <w:tc>
                <w:tcPr>
                  <w:tcW w:w="1367" w:type="dxa"/>
                  <w:vAlign w:val="center"/>
                </w:tcPr>
                <w:p>
                  <w:pPr>
                    <w:autoSpaceDE w:val="0"/>
                    <w:autoSpaceDN w:val="0"/>
                    <w:adjustRightInd w:val="0"/>
                    <w:jc w:val="center"/>
                    <w:rPr>
                      <w:rFonts w:ascii="Times New Roman" w:hAnsi="Times New Roman" w:cs="Times New Roman"/>
                      <w:szCs w:val="21"/>
                    </w:rPr>
                  </w:pPr>
                  <w:r>
                    <w:rPr>
                      <w:rFonts w:ascii="Times New Roman" w:hAnsi="Times New Roman" w:cs="Times New Roman"/>
                      <w:szCs w:val="21"/>
                    </w:rPr>
                    <w:t>废包装桶</w:t>
                  </w:r>
                </w:p>
              </w:tc>
              <w:tc>
                <w:tcPr>
                  <w:tcW w:w="912" w:type="dxa"/>
                  <w:vAlign w:val="center"/>
                </w:tcPr>
                <w:p>
                  <w:pPr>
                    <w:jc w:val="center"/>
                    <w:rPr>
                      <w:rFonts w:ascii="Times New Roman" w:hAnsi="Times New Roman" w:cs="Times New Roman"/>
                      <w:szCs w:val="21"/>
                    </w:rPr>
                  </w:pPr>
                  <w:r>
                    <w:rPr>
                      <w:rFonts w:ascii="Times New Roman" w:hAnsi="Times New Roman" w:cs="Times New Roman"/>
                      <w:szCs w:val="21"/>
                    </w:rPr>
                    <w:t>HW49</w:t>
                  </w:r>
                </w:p>
              </w:tc>
              <w:tc>
                <w:tcPr>
                  <w:tcW w:w="1074" w:type="dxa"/>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900-041-49</w:t>
                  </w:r>
                </w:p>
              </w:tc>
              <w:tc>
                <w:tcPr>
                  <w:tcW w:w="715" w:type="dxa"/>
                  <w:vMerge w:val="restart"/>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厂内</w:t>
                  </w:r>
                </w:p>
              </w:tc>
              <w:tc>
                <w:tcPr>
                  <w:tcW w:w="784" w:type="dxa"/>
                  <w:vMerge w:val="restart"/>
                  <w:tcBorders>
                    <w:left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10m</w:t>
                  </w:r>
                  <w:r>
                    <w:rPr>
                      <w:rFonts w:ascii="Times New Roman" w:hAnsi="Times New Roman" w:cs="Times New Roman"/>
                      <w:szCs w:val="21"/>
                      <w:vertAlign w:val="superscript"/>
                    </w:rPr>
                    <w:t>2</w:t>
                  </w:r>
                </w:p>
              </w:tc>
              <w:tc>
                <w:tcPr>
                  <w:tcW w:w="660" w:type="dxa"/>
                  <w:vMerge w:val="restart"/>
                  <w:tcBorders>
                    <w:left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桶装</w:t>
                  </w:r>
                </w:p>
              </w:tc>
              <w:tc>
                <w:tcPr>
                  <w:tcW w:w="764" w:type="dxa"/>
                  <w:vMerge w:val="restart"/>
                  <w:tcBorders>
                    <w:left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2t</w:t>
                  </w:r>
                </w:p>
              </w:tc>
              <w:tc>
                <w:tcPr>
                  <w:tcW w:w="637" w:type="dxa"/>
                  <w:vMerge w:val="restart"/>
                  <w:tcBorders>
                    <w:left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1年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520" w:type="dxa"/>
                  <w:vAlign w:val="center"/>
                </w:tcPr>
                <w:p>
                  <w:pPr>
                    <w:spacing w:line="360" w:lineRule="auto"/>
                    <w:jc w:val="center"/>
                    <w:rPr>
                      <w:rFonts w:ascii="Times New Roman" w:hAnsi="Times New Roman" w:cs="Times New Roman"/>
                      <w:szCs w:val="21"/>
                    </w:rPr>
                  </w:pPr>
                  <w:r>
                    <w:rPr>
                      <w:rFonts w:ascii="Times New Roman" w:hAnsi="Times New Roman" w:cs="Times New Roman"/>
                      <w:szCs w:val="21"/>
                    </w:rPr>
                    <w:t>4</w:t>
                  </w:r>
                </w:p>
              </w:tc>
              <w:tc>
                <w:tcPr>
                  <w:tcW w:w="1287" w:type="dxa"/>
                  <w:vMerge w:val="continue"/>
                  <w:vAlign w:val="center"/>
                </w:tcPr>
                <w:p>
                  <w:pPr>
                    <w:jc w:val="center"/>
                    <w:rPr>
                      <w:rFonts w:ascii="Times New Roman" w:hAnsi="Times New Roman" w:cs="Times New Roman"/>
                      <w:szCs w:val="21"/>
                    </w:rPr>
                  </w:pPr>
                </w:p>
              </w:tc>
              <w:tc>
                <w:tcPr>
                  <w:tcW w:w="1367" w:type="dxa"/>
                  <w:vAlign w:val="center"/>
                </w:tcPr>
                <w:p>
                  <w:pPr>
                    <w:autoSpaceDE w:val="0"/>
                    <w:autoSpaceDN w:val="0"/>
                    <w:adjustRightInd w:val="0"/>
                    <w:jc w:val="center"/>
                    <w:rPr>
                      <w:rFonts w:ascii="Times New Roman" w:hAnsi="Times New Roman" w:cs="Times New Roman"/>
                      <w:szCs w:val="21"/>
                    </w:rPr>
                  </w:pPr>
                  <w:r>
                    <w:rPr>
                      <w:rFonts w:ascii="Times New Roman" w:hAnsi="Times New Roman" w:cs="Times New Roman"/>
                      <w:szCs w:val="21"/>
                    </w:rPr>
                    <w:t>废切削液</w:t>
                  </w:r>
                </w:p>
              </w:tc>
              <w:tc>
                <w:tcPr>
                  <w:tcW w:w="912" w:type="dxa"/>
                  <w:vAlign w:val="center"/>
                </w:tcPr>
                <w:p>
                  <w:pPr>
                    <w:jc w:val="center"/>
                    <w:rPr>
                      <w:rFonts w:ascii="Times New Roman" w:hAnsi="Times New Roman" w:cs="Times New Roman"/>
                      <w:szCs w:val="21"/>
                    </w:rPr>
                  </w:pPr>
                  <w:r>
                    <w:rPr>
                      <w:rFonts w:ascii="Times New Roman" w:hAnsi="Times New Roman" w:cs="Times New Roman"/>
                      <w:szCs w:val="21"/>
                    </w:rPr>
                    <w:t>HW09</w:t>
                  </w:r>
                </w:p>
              </w:tc>
              <w:tc>
                <w:tcPr>
                  <w:tcW w:w="1074" w:type="dxa"/>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900-006-09</w:t>
                  </w:r>
                </w:p>
              </w:tc>
              <w:tc>
                <w:tcPr>
                  <w:tcW w:w="715" w:type="dxa"/>
                  <w:vMerge w:val="continue"/>
                  <w:tcBorders>
                    <w:left w:val="single" w:color="000000" w:sz="4" w:space="0"/>
                    <w:right w:val="single" w:color="000000" w:sz="4" w:space="0"/>
                  </w:tcBorders>
                  <w:vAlign w:val="center"/>
                </w:tcPr>
                <w:p>
                  <w:pPr>
                    <w:jc w:val="center"/>
                    <w:rPr>
                      <w:rFonts w:ascii="Times New Roman" w:hAnsi="Times New Roman" w:cs="Times New Roman"/>
                      <w:szCs w:val="21"/>
                    </w:rPr>
                  </w:pPr>
                </w:p>
              </w:tc>
              <w:tc>
                <w:tcPr>
                  <w:tcW w:w="784" w:type="dxa"/>
                  <w:vMerge w:val="continue"/>
                  <w:tcBorders>
                    <w:left w:val="single" w:color="000000" w:sz="4" w:space="0"/>
                  </w:tcBorders>
                  <w:vAlign w:val="center"/>
                </w:tcPr>
                <w:p>
                  <w:pPr>
                    <w:jc w:val="center"/>
                    <w:rPr>
                      <w:rFonts w:ascii="Times New Roman" w:hAnsi="Times New Roman" w:cs="Times New Roman"/>
                      <w:szCs w:val="21"/>
                    </w:rPr>
                  </w:pPr>
                </w:p>
              </w:tc>
              <w:tc>
                <w:tcPr>
                  <w:tcW w:w="660" w:type="dxa"/>
                  <w:vMerge w:val="continue"/>
                  <w:tcBorders>
                    <w:left w:val="single" w:color="000000" w:sz="4" w:space="0"/>
                  </w:tcBorders>
                  <w:vAlign w:val="center"/>
                </w:tcPr>
                <w:p>
                  <w:pPr>
                    <w:jc w:val="center"/>
                    <w:rPr>
                      <w:rFonts w:ascii="Times New Roman" w:hAnsi="Times New Roman" w:cs="Times New Roman"/>
                      <w:szCs w:val="21"/>
                    </w:rPr>
                  </w:pPr>
                </w:p>
              </w:tc>
              <w:tc>
                <w:tcPr>
                  <w:tcW w:w="764" w:type="dxa"/>
                  <w:vMerge w:val="continue"/>
                  <w:tcBorders>
                    <w:left w:val="single" w:color="000000" w:sz="4" w:space="0"/>
                  </w:tcBorders>
                  <w:vAlign w:val="center"/>
                </w:tcPr>
                <w:p>
                  <w:pPr>
                    <w:jc w:val="center"/>
                    <w:rPr>
                      <w:rFonts w:ascii="Times New Roman" w:hAnsi="Times New Roman" w:cs="Times New Roman"/>
                      <w:szCs w:val="21"/>
                    </w:rPr>
                  </w:pPr>
                </w:p>
              </w:tc>
              <w:tc>
                <w:tcPr>
                  <w:tcW w:w="637" w:type="dxa"/>
                  <w:vMerge w:val="continue"/>
                  <w:tcBorders>
                    <w:left w:val="single" w:color="000000" w:sz="4" w:space="0"/>
                  </w:tcBorders>
                  <w:vAlign w:val="center"/>
                </w:tcPr>
                <w:p>
                  <w:pPr>
                    <w:jc w:val="center"/>
                    <w:rPr>
                      <w:rFonts w:ascii="Times New Roman" w:hAnsi="Times New Roman" w:cs="Times New Roman"/>
                      <w:szCs w:val="21"/>
                    </w:rPr>
                  </w:pPr>
                </w:p>
              </w:tc>
            </w:tr>
          </w:tbl>
          <w:p>
            <w:pPr>
              <w:snapToGrid w:val="0"/>
              <w:spacing w:line="360" w:lineRule="auto"/>
              <w:ind w:firstLine="482" w:firstLineChars="200"/>
              <w:rPr>
                <w:rFonts w:ascii="Times New Roman" w:hAnsi="Times New Roman" w:cs="Times New Roman"/>
                <w:b/>
                <w:bCs/>
                <w:sz w:val="24"/>
              </w:rPr>
            </w:pPr>
            <w:r>
              <w:rPr>
                <w:rFonts w:ascii="Times New Roman" w:hAnsi="Times New Roman" w:cs="Times New Roman"/>
                <w:b/>
                <w:bCs/>
                <w:sz w:val="24"/>
              </w:rPr>
              <w:t>（2）危废收集、贮存、运输的污染防措施分析</w:t>
            </w:r>
          </w:p>
          <w:p>
            <w:pPr>
              <w:snapToGrid w:val="0"/>
              <w:spacing w:line="360" w:lineRule="auto"/>
              <w:ind w:firstLine="482" w:firstLineChars="200"/>
              <w:rPr>
                <w:rFonts w:ascii="Times New Roman" w:hAnsi="Times New Roman" w:cs="Times New Roman"/>
                <w:b/>
                <w:bCs/>
                <w:sz w:val="24"/>
              </w:rPr>
            </w:pPr>
            <w:r>
              <w:rPr>
                <w:rFonts w:hint="eastAsia" w:ascii="宋体" w:hAnsi="宋体" w:eastAsia="宋体" w:cs="宋体"/>
                <w:b/>
                <w:bCs/>
                <w:sz w:val="24"/>
              </w:rPr>
              <w:t>①</w:t>
            </w:r>
            <w:r>
              <w:rPr>
                <w:rFonts w:ascii="Times New Roman" w:hAnsi="Times New Roman" w:cs="Times New Roman"/>
                <w:b/>
                <w:bCs/>
                <w:sz w:val="24"/>
              </w:rPr>
              <w:t xml:space="preserve"> 危险废物收集污染防治措施分析</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危险废物在收集时，应清楚废物的类别及主要成份，以方便委托处理单位处理，根据危险废物的性质和形态，可采用不同大小和不同材质的容器进行包装，所有包装容器应足够安全，并经过周密检查，严防在装载、搬移或运输途中出现渗漏、溢出、抛洒或挥发等情况。最后按照对危险废物交换和转移管理工作的有关要求，对危险废物进行安全包装，并在包装的明显位置附上危险废物标签。</w:t>
            </w:r>
          </w:p>
          <w:p>
            <w:pPr>
              <w:snapToGrid w:val="0"/>
              <w:spacing w:line="360" w:lineRule="auto"/>
              <w:ind w:firstLine="482" w:firstLineChars="200"/>
              <w:rPr>
                <w:rFonts w:ascii="Times New Roman" w:hAnsi="Times New Roman" w:cs="Times New Roman"/>
                <w:b/>
                <w:bCs/>
                <w:sz w:val="24"/>
              </w:rPr>
            </w:pPr>
            <w:r>
              <w:rPr>
                <w:rFonts w:hint="eastAsia" w:ascii="宋体" w:hAnsi="宋体" w:eastAsia="宋体" w:cs="宋体"/>
                <w:b/>
                <w:bCs/>
                <w:sz w:val="24"/>
              </w:rPr>
              <w:t>②</w:t>
            </w:r>
            <w:r>
              <w:rPr>
                <w:rFonts w:ascii="Times New Roman" w:hAnsi="Times New Roman" w:cs="Times New Roman"/>
                <w:b/>
                <w:bCs/>
                <w:sz w:val="24"/>
              </w:rPr>
              <w:t xml:space="preserve"> 危险废物暂存污染防治措施分析</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危险废物应尽快送往委托资质单位处理，不宜存放过长时间，确需暂存的，应做到以下几点：</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a</w:t>
            </w:r>
            <w:r>
              <w:rPr>
                <w:rFonts w:ascii="Times New Roman" w:hAnsi="Times New Roman" w:cs="Times New Roman"/>
                <w:b/>
                <w:bCs/>
                <w:sz w:val="24"/>
              </w:rPr>
              <w:t>）</w:t>
            </w:r>
            <w:r>
              <w:rPr>
                <w:rFonts w:ascii="Times New Roman" w:hAnsi="Times New Roman" w:cs="Times New Roman"/>
                <w:sz w:val="24"/>
              </w:rPr>
              <w:t>贮存场所应符合《危险废物贮存污染控制标准》（GB18597-2001）及《关于发布&lt;一般工业固体废物贮存、处置场污染控制标准&gt;（GB18599- 2001）等3项国家污染物控制标准修改单的公告（环境保护部公告2013年第36号）》中相关修改内容，有符合要求的专用标志。</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b</w:t>
            </w:r>
            <w:r>
              <w:rPr>
                <w:rFonts w:ascii="Times New Roman" w:hAnsi="Times New Roman" w:cs="Times New Roman"/>
                <w:b/>
                <w:bCs/>
                <w:sz w:val="24"/>
              </w:rPr>
              <w:t>）</w:t>
            </w:r>
            <w:r>
              <w:rPr>
                <w:rFonts w:ascii="Times New Roman" w:hAnsi="Times New Roman" w:cs="Times New Roman"/>
                <w:sz w:val="24"/>
              </w:rPr>
              <w:t>贮存区内禁止混放不相容危险废物。</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c</w:t>
            </w:r>
            <w:r>
              <w:rPr>
                <w:rFonts w:ascii="Times New Roman" w:hAnsi="Times New Roman" w:cs="Times New Roman"/>
                <w:b/>
                <w:bCs/>
                <w:sz w:val="24"/>
              </w:rPr>
              <w:t>）</w:t>
            </w:r>
            <w:r>
              <w:rPr>
                <w:rFonts w:ascii="Times New Roman" w:hAnsi="Times New Roman" w:cs="Times New Roman"/>
                <w:sz w:val="24"/>
              </w:rPr>
              <w:t>贮存区考虑相应的集排水和防渗设施。</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d</w:t>
            </w:r>
            <w:r>
              <w:rPr>
                <w:rFonts w:ascii="Times New Roman" w:hAnsi="Times New Roman" w:cs="Times New Roman"/>
                <w:b/>
                <w:bCs/>
                <w:sz w:val="24"/>
              </w:rPr>
              <w:t>）</w:t>
            </w:r>
            <w:r>
              <w:rPr>
                <w:rFonts w:ascii="Times New Roman" w:hAnsi="Times New Roman" w:cs="Times New Roman"/>
                <w:sz w:val="24"/>
              </w:rPr>
              <w:t>贮存区符合消防要求。</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e</w:t>
            </w:r>
            <w:r>
              <w:rPr>
                <w:rFonts w:ascii="Times New Roman" w:hAnsi="Times New Roman" w:cs="Times New Roman"/>
                <w:b/>
                <w:bCs/>
                <w:sz w:val="24"/>
              </w:rPr>
              <w:t>）</w:t>
            </w:r>
            <w:r>
              <w:rPr>
                <w:rFonts w:ascii="Times New Roman" w:hAnsi="Times New Roman" w:cs="Times New Roman"/>
                <w:sz w:val="24"/>
              </w:rPr>
              <w:t>贮存容器必须有明显标志，具有耐腐蚀、耐压、密封和不与所贮存的废物发生发应等特性。</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f</w:t>
            </w:r>
            <w:r>
              <w:rPr>
                <w:rFonts w:ascii="Times New Roman" w:hAnsi="Times New Roman" w:cs="Times New Roman"/>
                <w:b/>
                <w:bCs/>
                <w:sz w:val="24"/>
              </w:rPr>
              <w:t>）</w:t>
            </w:r>
            <w:r>
              <w:rPr>
                <w:rFonts w:ascii="Times New Roman" w:hAnsi="Times New Roman" w:cs="Times New Roman"/>
                <w:sz w:val="24"/>
              </w:rPr>
              <w:t>基础防渗层为至少1m厚粘土层（渗透系数≤10</w:t>
            </w:r>
            <w:r>
              <w:rPr>
                <w:rFonts w:ascii="Times New Roman" w:hAnsi="Times New Roman" w:cs="Times New Roman"/>
                <w:sz w:val="24"/>
                <w:vertAlign w:val="superscript"/>
              </w:rPr>
              <w:t>-7</w:t>
            </w:r>
            <w:r>
              <w:rPr>
                <w:rFonts w:ascii="Times New Roman" w:hAnsi="Times New Roman" w:cs="Times New Roman"/>
                <w:sz w:val="24"/>
              </w:rPr>
              <w:t>cm/s），或2mm厚高密度聚乙烯，或至少2mm厚的其他人工材料，渗透系数≤10</w:t>
            </w:r>
            <w:r>
              <w:rPr>
                <w:rFonts w:ascii="Times New Roman" w:hAnsi="Times New Roman" w:cs="Times New Roman"/>
                <w:sz w:val="24"/>
                <w:vertAlign w:val="superscript"/>
              </w:rPr>
              <w:t>-10</w:t>
            </w:r>
            <w:r>
              <w:rPr>
                <w:rFonts w:ascii="Times New Roman" w:hAnsi="Times New Roman" w:cs="Times New Roman"/>
                <w:sz w:val="24"/>
              </w:rPr>
              <w:t>cm/s。</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g</w:t>
            </w:r>
            <w:r>
              <w:rPr>
                <w:rFonts w:ascii="Times New Roman" w:hAnsi="Times New Roman" w:cs="Times New Roman"/>
                <w:b/>
                <w:bCs/>
                <w:sz w:val="24"/>
              </w:rPr>
              <w:t>）</w:t>
            </w:r>
            <w:r>
              <w:rPr>
                <w:rFonts w:ascii="Times New Roman" w:hAnsi="Times New Roman" w:cs="Times New Roman"/>
                <w:sz w:val="24"/>
              </w:rPr>
              <w:t>存放容器应设有防漏裙脚或储漏盘。</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根据国家环保总局和江苏省环保厅对排污口规范化整治的要求，建设单位按照《环境保护图形标志—固体废物贮存（处置）场》（GB15562.2-1995）及《江苏省排污口设置及规范化整治管理办法》（苏环控[1997]122号）设置固体废物堆放场的环境保护图形标志，具体要求见下表。</w:t>
            </w:r>
          </w:p>
          <w:p>
            <w:pPr>
              <w:pStyle w:val="19"/>
              <w:jc w:val="center"/>
              <w:rPr>
                <w:rFonts w:ascii="Times New Roman" w:hAnsi="Times New Roman" w:cs="Times New Roman"/>
                <w:b/>
                <w:sz w:val="24"/>
              </w:rPr>
            </w:pPr>
            <w:r>
              <w:rPr>
                <w:rFonts w:ascii="Times New Roman" w:hAnsi="Times New Roman" w:cs="Times New Roman"/>
                <w:b/>
                <w:sz w:val="24"/>
              </w:rPr>
              <w:t>表7-16   固废区环境保护图形标志</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621"/>
              <w:gridCol w:w="1322"/>
              <w:gridCol w:w="1256"/>
              <w:gridCol w:w="1270"/>
              <w:gridCol w:w="1158"/>
              <w:gridCol w:w="1142"/>
              <w:gridCol w:w="2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82" w:hRule="atLeast"/>
                <w:jc w:val="center"/>
              </w:trPr>
              <w:tc>
                <w:tcPr>
                  <w:tcW w:w="625" w:type="dxa"/>
                  <w:vAlign w:val="center"/>
                </w:tcPr>
                <w:p>
                  <w:pPr>
                    <w:jc w:val="center"/>
                    <w:rPr>
                      <w:rFonts w:ascii="Times New Roman" w:hAnsi="Times New Roman" w:cs="Times New Roman"/>
                      <w:b/>
                      <w:szCs w:val="21"/>
                    </w:rPr>
                  </w:pPr>
                  <w:r>
                    <w:rPr>
                      <w:rFonts w:ascii="Times New Roman" w:hAnsi="Times New Roman" w:cs="Times New Roman"/>
                      <w:b/>
                      <w:szCs w:val="21"/>
                    </w:rPr>
                    <w:t>序号</w:t>
                  </w:r>
                </w:p>
              </w:tc>
              <w:tc>
                <w:tcPr>
                  <w:tcW w:w="1331" w:type="dxa"/>
                  <w:vAlign w:val="center"/>
                </w:tcPr>
                <w:p>
                  <w:pPr>
                    <w:pStyle w:val="6"/>
                    <w:ind w:left="2" w:leftChars="-7" w:hanging="17" w:hangingChars="8"/>
                    <w:jc w:val="center"/>
                    <w:rPr>
                      <w:rFonts w:ascii="Times New Roman" w:hAnsi="Times New Roman" w:cs="Times New Roman"/>
                      <w:b/>
                      <w:bCs/>
                      <w:szCs w:val="21"/>
                    </w:rPr>
                  </w:pPr>
                  <w:r>
                    <w:rPr>
                      <w:rFonts w:ascii="Times New Roman" w:hAnsi="Times New Roman" w:cs="Times New Roman"/>
                      <w:b/>
                      <w:bCs/>
                      <w:szCs w:val="21"/>
                    </w:rPr>
                    <w:t>排放口名称</w:t>
                  </w:r>
                </w:p>
              </w:tc>
              <w:tc>
                <w:tcPr>
                  <w:tcW w:w="1264" w:type="dxa"/>
                  <w:vAlign w:val="center"/>
                </w:tcPr>
                <w:p>
                  <w:pPr>
                    <w:pStyle w:val="6"/>
                    <w:ind w:left="2" w:leftChars="-7" w:hanging="17" w:hangingChars="8"/>
                    <w:jc w:val="center"/>
                    <w:rPr>
                      <w:rFonts w:ascii="Times New Roman" w:hAnsi="Times New Roman" w:cs="Times New Roman"/>
                      <w:b/>
                      <w:bCs/>
                      <w:szCs w:val="21"/>
                    </w:rPr>
                  </w:pPr>
                  <w:r>
                    <w:rPr>
                      <w:rFonts w:ascii="Times New Roman" w:hAnsi="Times New Roman" w:cs="Times New Roman"/>
                      <w:b/>
                      <w:bCs/>
                      <w:szCs w:val="21"/>
                    </w:rPr>
                    <w:t>图形标志</w:t>
                  </w:r>
                </w:p>
              </w:tc>
              <w:tc>
                <w:tcPr>
                  <w:tcW w:w="1278" w:type="dxa"/>
                  <w:vAlign w:val="center"/>
                </w:tcPr>
                <w:p>
                  <w:pPr>
                    <w:pStyle w:val="6"/>
                    <w:ind w:left="2" w:leftChars="-7" w:hanging="17" w:hangingChars="8"/>
                    <w:jc w:val="center"/>
                    <w:rPr>
                      <w:rFonts w:ascii="Times New Roman" w:hAnsi="Times New Roman" w:cs="Times New Roman"/>
                      <w:b/>
                      <w:bCs/>
                      <w:szCs w:val="21"/>
                    </w:rPr>
                  </w:pPr>
                  <w:r>
                    <w:rPr>
                      <w:rFonts w:ascii="Times New Roman" w:hAnsi="Times New Roman" w:cs="Times New Roman"/>
                      <w:b/>
                      <w:bCs/>
                      <w:szCs w:val="21"/>
                    </w:rPr>
                    <w:t>形状</w:t>
                  </w:r>
                </w:p>
              </w:tc>
              <w:tc>
                <w:tcPr>
                  <w:tcW w:w="1165" w:type="dxa"/>
                  <w:vAlign w:val="center"/>
                </w:tcPr>
                <w:p>
                  <w:pPr>
                    <w:pStyle w:val="6"/>
                    <w:ind w:left="2" w:leftChars="-7" w:hanging="17" w:hangingChars="8"/>
                    <w:jc w:val="center"/>
                    <w:rPr>
                      <w:rFonts w:ascii="Times New Roman" w:hAnsi="Times New Roman" w:cs="Times New Roman"/>
                      <w:b/>
                      <w:bCs/>
                      <w:szCs w:val="21"/>
                    </w:rPr>
                  </w:pPr>
                  <w:r>
                    <w:rPr>
                      <w:rFonts w:ascii="Times New Roman" w:hAnsi="Times New Roman" w:cs="Times New Roman"/>
                      <w:b/>
                      <w:bCs/>
                      <w:szCs w:val="21"/>
                    </w:rPr>
                    <w:t>背景颜色</w:t>
                  </w:r>
                </w:p>
              </w:tc>
              <w:tc>
                <w:tcPr>
                  <w:tcW w:w="1149" w:type="dxa"/>
                  <w:vAlign w:val="center"/>
                </w:tcPr>
                <w:p>
                  <w:pPr>
                    <w:jc w:val="center"/>
                    <w:rPr>
                      <w:rFonts w:ascii="Times New Roman" w:hAnsi="Times New Roman" w:cs="Times New Roman"/>
                      <w:b/>
                      <w:szCs w:val="21"/>
                    </w:rPr>
                  </w:pPr>
                  <w:r>
                    <w:rPr>
                      <w:rFonts w:ascii="Times New Roman" w:hAnsi="Times New Roman" w:cs="Times New Roman"/>
                      <w:b/>
                      <w:szCs w:val="21"/>
                    </w:rPr>
                    <w:t>图形颜色</w:t>
                  </w:r>
                </w:p>
              </w:tc>
              <w:tc>
                <w:tcPr>
                  <w:tcW w:w="2308" w:type="dxa"/>
                  <w:vAlign w:val="center"/>
                </w:tcPr>
                <w:p>
                  <w:pPr>
                    <w:jc w:val="center"/>
                    <w:rPr>
                      <w:rFonts w:ascii="Times New Roman" w:hAnsi="Times New Roman" w:cs="Times New Roman"/>
                      <w:b/>
                      <w:szCs w:val="21"/>
                    </w:rPr>
                  </w:pPr>
                  <w:r>
                    <w:rPr>
                      <w:rFonts w:ascii="Times New Roman" w:hAnsi="Times New Roman" w:cs="Times New Roman"/>
                      <w:b/>
                      <w:szCs w:val="21"/>
                    </w:rPr>
                    <w:t>提示图形符号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492" w:hRule="atLeast"/>
                <w:jc w:val="center"/>
              </w:trPr>
              <w:tc>
                <w:tcPr>
                  <w:tcW w:w="625" w:type="dxa"/>
                  <w:vAlign w:val="center"/>
                </w:tcPr>
                <w:p>
                  <w:pPr>
                    <w:jc w:val="center"/>
                    <w:rPr>
                      <w:rFonts w:ascii="Times New Roman" w:hAnsi="Times New Roman" w:cs="Times New Roman"/>
                      <w:szCs w:val="21"/>
                    </w:rPr>
                  </w:pPr>
                  <w:r>
                    <w:rPr>
                      <w:rFonts w:ascii="Times New Roman" w:hAnsi="Times New Roman" w:cs="Times New Roman"/>
                      <w:szCs w:val="21"/>
                    </w:rPr>
                    <w:t>1</w:t>
                  </w:r>
                </w:p>
              </w:tc>
              <w:tc>
                <w:tcPr>
                  <w:tcW w:w="1331" w:type="dxa"/>
                  <w:tcBorders>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一般固废暂存点</w:t>
                  </w:r>
                </w:p>
              </w:tc>
              <w:tc>
                <w:tcPr>
                  <w:tcW w:w="1264" w:type="dxa"/>
                  <w:tcBorders>
                    <w:bottom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提示标志</w:t>
                  </w:r>
                </w:p>
              </w:tc>
              <w:tc>
                <w:tcPr>
                  <w:tcW w:w="1278" w:type="dxa"/>
                  <w:vAlign w:val="center"/>
                </w:tcPr>
                <w:p>
                  <w:pPr>
                    <w:pStyle w:val="6"/>
                    <w:ind w:left="1" w:leftChars="-7" w:hanging="16" w:hangingChars="8"/>
                    <w:jc w:val="center"/>
                    <w:rPr>
                      <w:rFonts w:ascii="Times New Roman" w:hAnsi="Times New Roman" w:cs="Times New Roman"/>
                      <w:szCs w:val="21"/>
                    </w:rPr>
                  </w:pPr>
                  <w:r>
                    <w:rPr>
                      <w:rFonts w:ascii="Times New Roman" w:hAnsi="Times New Roman" w:cs="Times New Roman"/>
                      <w:szCs w:val="21"/>
                    </w:rPr>
                    <w:t>正方形边框</w:t>
                  </w:r>
                </w:p>
              </w:tc>
              <w:tc>
                <w:tcPr>
                  <w:tcW w:w="1165" w:type="dxa"/>
                  <w:vAlign w:val="center"/>
                </w:tcPr>
                <w:p>
                  <w:pPr>
                    <w:pStyle w:val="6"/>
                    <w:ind w:left="1" w:leftChars="-7" w:hanging="16" w:hangingChars="8"/>
                    <w:jc w:val="center"/>
                    <w:rPr>
                      <w:rFonts w:ascii="Times New Roman" w:hAnsi="Times New Roman" w:cs="Times New Roman"/>
                      <w:szCs w:val="21"/>
                    </w:rPr>
                  </w:pPr>
                  <w:r>
                    <w:rPr>
                      <w:rFonts w:ascii="Times New Roman" w:hAnsi="Times New Roman" w:cs="Times New Roman"/>
                      <w:szCs w:val="21"/>
                    </w:rPr>
                    <w:t>绿色</w:t>
                  </w:r>
                </w:p>
              </w:tc>
              <w:tc>
                <w:tcPr>
                  <w:tcW w:w="1149" w:type="dxa"/>
                  <w:vAlign w:val="center"/>
                </w:tcPr>
                <w:p>
                  <w:pPr>
                    <w:pStyle w:val="6"/>
                    <w:ind w:left="17" w:hanging="16" w:hangingChars="8"/>
                    <w:jc w:val="center"/>
                    <w:rPr>
                      <w:rFonts w:ascii="Times New Roman" w:hAnsi="Times New Roman" w:cs="Times New Roman"/>
                      <w:szCs w:val="21"/>
                    </w:rPr>
                  </w:pPr>
                  <w:r>
                    <w:rPr>
                      <w:rFonts w:ascii="Times New Roman" w:hAnsi="Times New Roman" w:cs="Times New Roman"/>
                      <w:szCs w:val="21"/>
                    </w:rPr>
                    <w:t>白色</w:t>
                  </w:r>
                </w:p>
              </w:tc>
              <w:tc>
                <w:tcPr>
                  <w:tcW w:w="2308" w:type="dxa"/>
                  <w:vAlign w:val="center"/>
                </w:tcPr>
                <w:p>
                  <w:pPr>
                    <w:ind w:left="17" w:hanging="16" w:hangingChars="8"/>
                    <w:jc w:val="center"/>
                    <w:rPr>
                      <w:rFonts w:ascii="Times New Roman" w:hAnsi="Times New Roman" w:cs="Times New Roman"/>
                      <w:kern w:val="0"/>
                    </w:rPr>
                  </w:pPr>
                  <w:r>
                    <w:rPr>
                      <w:rFonts w:ascii="Times New Roman" w:hAnsi="Times New Roman" w:cs="Times New Roman"/>
                    </w:rPr>
                    <w:drawing>
                      <wp:anchor distT="0" distB="0" distL="114300" distR="114300" simplePos="0" relativeHeight="251659264" behindDoc="1" locked="0" layoutInCell="1" allowOverlap="1">
                        <wp:simplePos x="0" y="0"/>
                        <wp:positionH relativeFrom="column">
                          <wp:posOffset>291465</wp:posOffset>
                        </wp:positionH>
                        <wp:positionV relativeFrom="paragraph">
                          <wp:posOffset>95250</wp:posOffset>
                        </wp:positionV>
                        <wp:extent cx="819150" cy="819150"/>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819150" cy="819150"/>
                                </a:xfrm>
                                <a:prstGeom prst="rect">
                                  <a:avLst/>
                                </a:prstGeom>
                                <a:noFill/>
                                <a:ln>
                                  <a:noFill/>
                                </a:ln>
                              </pic:spPr>
                            </pic:pic>
                          </a:graphicData>
                        </a:graphic>
                      </wp:anchor>
                    </w:drawing>
                  </w:r>
                </w:p>
                <w:p>
                  <w:pPr>
                    <w:ind w:left="17" w:hanging="16" w:hangingChars="8"/>
                    <w:jc w:val="center"/>
                    <w:rPr>
                      <w:rFonts w:ascii="Times New Roman" w:hAnsi="Times New Roman" w:cs="Times New Roman"/>
                      <w:kern w:val="0"/>
                    </w:rPr>
                  </w:pPr>
                </w:p>
                <w:p>
                  <w:pPr>
                    <w:ind w:left="17" w:hanging="16" w:hangingChars="8"/>
                    <w:jc w:val="center"/>
                    <w:rPr>
                      <w:rFonts w:ascii="Times New Roman" w:hAnsi="Times New Roman" w:cs="Times New Roman"/>
                      <w:kern w:val="0"/>
                    </w:rPr>
                  </w:pPr>
                </w:p>
                <w:p>
                  <w:pPr>
                    <w:ind w:left="17" w:hanging="16" w:hangingChars="8"/>
                    <w:jc w:val="center"/>
                    <w:rPr>
                      <w:rFonts w:ascii="Times New Roman" w:hAnsi="Times New Roman" w:cs="Times New Roman"/>
                      <w:kern w:val="0"/>
                    </w:rPr>
                  </w:pPr>
                </w:p>
                <w:p>
                  <w:pPr>
                    <w:ind w:left="17" w:hanging="16" w:hangingChars="8"/>
                    <w:jc w:val="center"/>
                    <w:rPr>
                      <w:rFonts w:ascii="Times New Roman" w:hAnsi="Times New Roman" w:cs="Times New Roman"/>
                      <w:kern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267" w:hRule="atLeast"/>
                <w:jc w:val="center"/>
              </w:trPr>
              <w:tc>
                <w:tcPr>
                  <w:tcW w:w="625" w:type="dxa"/>
                  <w:vAlign w:val="center"/>
                </w:tcPr>
                <w:p>
                  <w:pPr>
                    <w:jc w:val="center"/>
                    <w:rPr>
                      <w:rFonts w:ascii="Times New Roman" w:hAnsi="Times New Roman" w:cs="Times New Roman"/>
                      <w:szCs w:val="21"/>
                    </w:rPr>
                  </w:pPr>
                  <w:r>
                    <w:rPr>
                      <w:rFonts w:ascii="Times New Roman" w:hAnsi="Times New Roman" w:cs="Times New Roman"/>
                      <w:szCs w:val="21"/>
                    </w:rPr>
                    <w:t>2</w:t>
                  </w:r>
                </w:p>
              </w:tc>
              <w:tc>
                <w:tcPr>
                  <w:tcW w:w="1331" w:type="dxa"/>
                  <w:tcBorders>
                    <w:top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危废暂存点</w:t>
                  </w:r>
                </w:p>
              </w:tc>
              <w:tc>
                <w:tcPr>
                  <w:tcW w:w="1264" w:type="dxa"/>
                  <w:tcBorders>
                    <w:top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警示标识</w:t>
                  </w:r>
                </w:p>
              </w:tc>
              <w:tc>
                <w:tcPr>
                  <w:tcW w:w="1278" w:type="dxa"/>
                  <w:vAlign w:val="center"/>
                </w:tcPr>
                <w:p>
                  <w:pPr>
                    <w:pStyle w:val="6"/>
                    <w:ind w:left="1" w:leftChars="-7" w:hanging="16" w:hangingChars="8"/>
                    <w:jc w:val="center"/>
                    <w:rPr>
                      <w:rFonts w:ascii="Times New Roman" w:hAnsi="Times New Roman" w:cs="Times New Roman"/>
                      <w:szCs w:val="21"/>
                    </w:rPr>
                  </w:pPr>
                  <w:r>
                    <w:rPr>
                      <w:rFonts w:ascii="Times New Roman" w:hAnsi="Times New Roman" w:cs="Times New Roman"/>
                      <w:szCs w:val="21"/>
                    </w:rPr>
                    <w:t>三角形边框</w:t>
                  </w:r>
                </w:p>
              </w:tc>
              <w:tc>
                <w:tcPr>
                  <w:tcW w:w="1165" w:type="dxa"/>
                  <w:vAlign w:val="center"/>
                </w:tcPr>
                <w:p>
                  <w:pPr>
                    <w:pStyle w:val="6"/>
                    <w:ind w:left="1" w:leftChars="-7" w:hanging="16" w:hangingChars="8"/>
                    <w:jc w:val="center"/>
                    <w:rPr>
                      <w:rFonts w:ascii="Times New Roman" w:hAnsi="Times New Roman" w:cs="Times New Roman"/>
                      <w:szCs w:val="21"/>
                    </w:rPr>
                  </w:pPr>
                  <w:r>
                    <w:rPr>
                      <w:rFonts w:ascii="Times New Roman" w:hAnsi="Times New Roman" w:cs="Times New Roman"/>
                      <w:szCs w:val="21"/>
                    </w:rPr>
                    <w:t>黄色</w:t>
                  </w:r>
                </w:p>
              </w:tc>
              <w:tc>
                <w:tcPr>
                  <w:tcW w:w="1149" w:type="dxa"/>
                  <w:vAlign w:val="center"/>
                </w:tcPr>
                <w:p>
                  <w:pPr>
                    <w:pStyle w:val="6"/>
                    <w:ind w:left="17" w:hanging="16" w:hangingChars="8"/>
                    <w:jc w:val="center"/>
                    <w:rPr>
                      <w:rFonts w:ascii="Times New Roman" w:hAnsi="Times New Roman" w:cs="Times New Roman"/>
                      <w:szCs w:val="21"/>
                    </w:rPr>
                  </w:pPr>
                  <w:r>
                    <w:rPr>
                      <w:rFonts w:ascii="Times New Roman" w:hAnsi="Times New Roman" w:cs="Times New Roman"/>
                      <w:szCs w:val="21"/>
                    </w:rPr>
                    <w:t>黑色</w:t>
                  </w:r>
                </w:p>
              </w:tc>
              <w:tc>
                <w:tcPr>
                  <w:tcW w:w="2308" w:type="dxa"/>
                  <w:vAlign w:val="center"/>
                </w:tcPr>
                <w:p>
                  <w:pPr>
                    <w:ind w:left="17" w:hanging="16" w:hangingChars="8"/>
                    <w:jc w:val="center"/>
                    <w:rPr>
                      <w:rFonts w:ascii="Times New Roman" w:hAnsi="Times New Roman" w:cs="Times New Roman"/>
                      <w:kern w:val="0"/>
                    </w:rPr>
                  </w:pPr>
                  <w:r>
                    <w:rPr>
                      <w:rFonts w:ascii="Times New Roman" w:hAnsi="Times New Roman" w:cs="Times New Roman"/>
                    </w:rPr>
                    <w:drawing>
                      <wp:anchor distT="0" distB="0" distL="114300" distR="114300" simplePos="0" relativeHeight="251660288" behindDoc="1" locked="0" layoutInCell="1" allowOverlap="1">
                        <wp:simplePos x="0" y="0"/>
                        <wp:positionH relativeFrom="column">
                          <wp:posOffset>299720</wp:posOffset>
                        </wp:positionH>
                        <wp:positionV relativeFrom="paragraph">
                          <wp:posOffset>22860</wp:posOffset>
                        </wp:positionV>
                        <wp:extent cx="885825" cy="759460"/>
                        <wp:effectExtent l="0" t="0" r="9525" b="2540"/>
                        <wp:wrapNone/>
                        <wp:docPr id="8" name="图片 8"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885825" cy="759460"/>
                                </a:xfrm>
                                <a:prstGeom prst="rect">
                                  <a:avLst/>
                                </a:prstGeom>
                                <a:noFill/>
                                <a:ln>
                                  <a:noFill/>
                                </a:ln>
                              </pic:spPr>
                            </pic:pic>
                          </a:graphicData>
                        </a:graphic>
                      </wp:anchor>
                    </w:drawing>
                  </w:r>
                </w:p>
                <w:p>
                  <w:pPr>
                    <w:ind w:left="17" w:hanging="16" w:hangingChars="8"/>
                    <w:jc w:val="center"/>
                    <w:rPr>
                      <w:rFonts w:ascii="Times New Roman" w:hAnsi="Times New Roman" w:cs="Times New Roman"/>
                      <w:kern w:val="0"/>
                    </w:rPr>
                  </w:pPr>
                </w:p>
                <w:p>
                  <w:pPr>
                    <w:ind w:left="17" w:hanging="16" w:hangingChars="8"/>
                    <w:jc w:val="center"/>
                    <w:rPr>
                      <w:rFonts w:ascii="Times New Roman" w:hAnsi="Times New Roman" w:cs="Times New Roman"/>
                      <w:kern w:val="0"/>
                    </w:rPr>
                  </w:pPr>
                </w:p>
                <w:p>
                  <w:pPr>
                    <w:ind w:left="17" w:hanging="16" w:hangingChars="8"/>
                    <w:jc w:val="center"/>
                    <w:rPr>
                      <w:rFonts w:ascii="Times New Roman" w:hAnsi="Times New Roman" w:cs="Times New Roman"/>
                      <w:kern w:val="0"/>
                    </w:rPr>
                  </w:pPr>
                </w:p>
              </w:tc>
            </w:tr>
          </w:tbl>
          <w:p>
            <w:pPr>
              <w:snapToGrid w:val="0"/>
              <w:spacing w:line="360" w:lineRule="auto"/>
              <w:ind w:firstLine="482" w:firstLineChars="200"/>
              <w:rPr>
                <w:rFonts w:ascii="Times New Roman" w:hAnsi="Times New Roman" w:cs="Times New Roman"/>
                <w:b/>
                <w:bCs/>
                <w:sz w:val="24"/>
              </w:rPr>
            </w:pPr>
            <w:r>
              <w:rPr>
                <w:rFonts w:ascii="Times New Roman" w:hAnsi="Times New Roman" w:cs="Times New Roman"/>
                <w:b/>
                <w:bCs/>
                <w:sz w:val="24"/>
              </w:rPr>
              <w:t>（3）危险废物运输污染防治措施分析</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危险废物运输中应做到以下几点：</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①</w:t>
            </w:r>
            <w:r>
              <w:rPr>
                <w:rFonts w:ascii="Times New Roman" w:hAnsi="Times New Roman" w:cs="Times New Roman"/>
                <w:sz w:val="24"/>
              </w:rPr>
              <w:t xml:space="preserve"> 危险废物的运输车辆须经主管单位检查，并持有关单位签发的许可证，负责运输的司机应通过培训，持有证明文件。</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②</w:t>
            </w:r>
            <w:r>
              <w:rPr>
                <w:rFonts w:ascii="Times New Roman" w:hAnsi="Times New Roman" w:cs="Times New Roman"/>
                <w:sz w:val="24"/>
              </w:rPr>
              <w:t xml:space="preserve"> 承载危险废物的车辆须有明显的标志或适当的危险符号，以引起注意。</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③</w:t>
            </w:r>
            <w:r>
              <w:rPr>
                <w:rFonts w:ascii="Times New Roman" w:hAnsi="Times New Roman" w:cs="Times New Roman"/>
                <w:sz w:val="24"/>
              </w:rPr>
              <w:t xml:space="preserve"> 载有危险废物的车辆在公路上行驶时，需持有运输许可证，其上应注明废物来源、性质和运往地点。</w:t>
            </w:r>
          </w:p>
          <w:p>
            <w:pPr>
              <w:spacing w:line="360" w:lineRule="auto"/>
              <w:ind w:firstLine="480"/>
              <w:rPr>
                <w:rFonts w:ascii="Times New Roman" w:hAnsi="Times New Roman" w:cs="Times New Roman"/>
                <w:sz w:val="24"/>
              </w:rPr>
            </w:pPr>
            <w:r>
              <w:rPr>
                <w:rFonts w:hint="eastAsia" w:ascii="宋体" w:hAnsi="宋体" w:eastAsia="宋体" w:cs="宋体"/>
                <w:sz w:val="24"/>
              </w:rPr>
              <w:t>④</w:t>
            </w:r>
            <w:r>
              <w:rPr>
                <w:rFonts w:ascii="Times New Roman" w:hAnsi="Times New Roman" w:cs="Times New Roman"/>
                <w:sz w:val="24"/>
              </w:rPr>
              <w:t xml:space="preserve"> 组织危险废物的运输单位，在事先需作出周密的运输计划和行驶路线，其中包括有效的废物泄漏情况下的应急措施。</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综上，本项目产生的各种固体废物均得到妥善处理/处置，不会造成二次污染。</w:t>
            </w:r>
          </w:p>
          <w:p>
            <w:pPr>
              <w:spacing w:line="360" w:lineRule="auto"/>
              <w:ind w:firstLine="482" w:firstLineChars="200"/>
              <w:rPr>
                <w:rFonts w:ascii="Times New Roman" w:hAnsi="Times New Roman" w:cs="Times New Roman"/>
                <w:b/>
                <w:sz w:val="24"/>
                <w:szCs w:val="20"/>
              </w:rPr>
            </w:pPr>
            <w:r>
              <w:rPr>
                <w:rFonts w:ascii="Times New Roman" w:hAnsi="Times New Roman" w:cs="Times New Roman"/>
                <w:b/>
                <w:sz w:val="24"/>
                <w:szCs w:val="20"/>
              </w:rPr>
              <w:t>5、土壤环境影响分析</w:t>
            </w:r>
          </w:p>
          <w:p>
            <w:pPr>
              <w:autoSpaceDE w:val="0"/>
              <w:autoSpaceDN w:val="0"/>
              <w:adjustRightInd w:val="0"/>
              <w:spacing w:line="360" w:lineRule="auto"/>
              <w:ind w:firstLine="480" w:firstLineChars="200"/>
              <w:jc w:val="left"/>
              <w:rPr>
                <w:rFonts w:ascii="Times New Roman" w:hAnsi="Times New Roman" w:cs="Times New Roman"/>
                <w:snapToGrid w:val="0"/>
                <w:sz w:val="24"/>
              </w:rPr>
            </w:pPr>
            <w:r>
              <w:rPr>
                <w:rFonts w:ascii="Times New Roman" w:hAnsi="Times New Roman" w:cs="Times New Roman"/>
                <w:sz w:val="24"/>
              </w:rPr>
              <w:t>拟建项目土壤环境影响类型为“污染影响型”，</w:t>
            </w:r>
            <w:r>
              <w:rPr>
                <w:rFonts w:ascii="Times New Roman" w:hAnsi="Times New Roman" w:cs="Times New Roman"/>
                <w:snapToGrid w:val="0"/>
                <w:sz w:val="24"/>
              </w:rPr>
              <w:t>根据《环境影响评价技术导则 土壤环境》(HJ964-2018)等级确定方法，参照附录A土壤环境影响评价项目类别，本项目属于制造业--设备制造、金属制品、汽车制造及其他用品制造中其他，为III类，占地规模为小型（</w:t>
            </w:r>
            <w:r>
              <w:rPr>
                <w:rFonts w:ascii="Times New Roman" w:hAnsi="Times New Roman" w:cs="Times New Roman"/>
                <w:szCs w:val="21"/>
              </w:rPr>
              <w:t>≤5hm</w:t>
            </w:r>
            <w:r>
              <w:rPr>
                <w:rFonts w:ascii="Times New Roman" w:hAnsi="Times New Roman" w:cs="Times New Roman"/>
                <w:szCs w:val="21"/>
                <w:vertAlign w:val="superscript"/>
              </w:rPr>
              <w:t>2</w:t>
            </w:r>
            <w:r>
              <w:rPr>
                <w:rFonts w:ascii="Times New Roman" w:hAnsi="Times New Roman" w:cs="Times New Roman"/>
                <w:snapToGrid w:val="0"/>
                <w:sz w:val="24"/>
              </w:rPr>
              <w:t>），所在地周边环境敏感程度为不敏感。</w:t>
            </w:r>
          </w:p>
          <w:p>
            <w:pPr>
              <w:spacing w:line="320" w:lineRule="exact"/>
              <w:jc w:val="center"/>
              <w:rPr>
                <w:rFonts w:ascii="Times New Roman" w:hAnsi="Times New Roman" w:cs="Times New Roman"/>
                <w:b/>
                <w:bCs/>
                <w:snapToGrid w:val="0"/>
                <w:sz w:val="24"/>
              </w:rPr>
            </w:pPr>
            <w:r>
              <w:rPr>
                <w:rFonts w:ascii="Times New Roman" w:hAnsi="Times New Roman" w:cs="Times New Roman"/>
                <w:szCs w:val="21"/>
              </w:rPr>
              <mc:AlternateContent>
                <mc:Choice Requires="wps">
                  <w:drawing>
                    <wp:anchor distT="0" distB="0" distL="114300" distR="114300" simplePos="0" relativeHeight="251665408" behindDoc="0" locked="0" layoutInCell="1" allowOverlap="1">
                      <wp:simplePos x="0" y="0"/>
                      <wp:positionH relativeFrom="column">
                        <wp:posOffset>-30480</wp:posOffset>
                      </wp:positionH>
                      <wp:positionV relativeFrom="paragraph">
                        <wp:posOffset>179705</wp:posOffset>
                      </wp:positionV>
                      <wp:extent cx="751840" cy="454660"/>
                      <wp:effectExtent l="3175" t="0" r="0" b="2540"/>
                      <wp:wrapNone/>
                      <wp:docPr id="7" name="文本框 7"/>
                      <wp:cNvGraphicFramePr/>
                      <a:graphic xmlns:a="http://schemas.openxmlformats.org/drawingml/2006/main">
                        <a:graphicData uri="http://schemas.microsoft.com/office/word/2010/wordprocessingShape">
                          <wps:wsp>
                            <wps:cNvSpPr txBox="1">
                              <a:spLocks noChangeArrowheads="1"/>
                            </wps:cNvSpPr>
                            <wps:spPr bwMode="auto">
                              <a:xfrm>
                                <a:off x="0" y="0"/>
                                <a:ext cx="751840" cy="454660"/>
                              </a:xfrm>
                              <a:prstGeom prst="rect">
                                <a:avLst/>
                              </a:prstGeom>
                              <a:noFill/>
                              <a:ln>
                                <a:noFill/>
                              </a:ln>
                            </wps:spPr>
                            <wps:txbx>
                              <w:txbxContent>
                                <w:p>
                                  <w:r>
                                    <w:rPr>
                                      <w:rFonts w:hint="eastAsia"/>
                                    </w:rPr>
                                    <w:t>评价工</w:t>
                                  </w:r>
                                </w:p>
                                <w:p>
                                  <w:r>
                                    <w:rPr>
                                      <w:rFonts w:hint="eastAsia"/>
                                    </w:rPr>
                                    <w:t>作等级</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4pt;margin-top:14.15pt;height:35.8pt;width:59.2pt;z-index:251665408;mso-width-relative:page;mso-height-relative:page;" filled="f" stroked="f" coordsize="21600,21600" o:gfxdata="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Qq+xR9YAAAAIAQAADwAAAAAAAAABACAAAAAiAAAAZHJzL2Rvd25yZXYueG1s&#10;UEsBAhQAFAAAAAgAh07iQG8810b6AQAAxgMAAA4AAAAAAAAAAQAgAAAAJQEAAGRycy9lMm9Eb2Mu&#10;eG1sUEsFBgAAAAAGAAYAWQEAAJEFAAAAAA==&#10;">
                      <v:fill on="f" focussize="0,0"/>
                      <v:stroke on="f"/>
                      <v:imagedata o:title=""/>
                      <o:lock v:ext="edit" aspectratio="f"/>
                      <v:textbox>
                        <w:txbxContent>
                          <w:p>
                            <w:r>
                              <w:rPr>
                                <w:rFonts w:hint="eastAsia"/>
                              </w:rPr>
                              <w:t>评价工</w:t>
                            </w:r>
                          </w:p>
                          <w:p>
                            <w:r>
                              <w:rPr>
                                <w:rFonts w:hint="eastAsia"/>
                              </w:rPr>
                              <w:t>作等级</w:t>
                            </w:r>
                          </w:p>
                        </w:txbxContent>
                      </v:textbox>
                    </v:shape>
                  </w:pict>
                </mc:Fallback>
              </mc:AlternateContent>
            </w:r>
            <w:r>
              <w:rPr>
                <w:rFonts w:ascii="Times New Roman" w:hAnsi="Times New Roman" w:cs="Times New Roman"/>
                <w:b/>
                <w:bCs/>
                <w:snapToGrid w:val="0"/>
                <w:sz w:val="24"/>
              </w:rPr>
              <mc:AlternateContent>
                <mc:Choice Requires="wps">
                  <w:drawing>
                    <wp:anchor distT="0" distB="0" distL="114300" distR="114300" simplePos="0" relativeHeight="251664384" behindDoc="0" locked="0" layoutInCell="1" allowOverlap="1">
                      <wp:simplePos x="0" y="0"/>
                      <wp:positionH relativeFrom="column">
                        <wp:posOffset>816610</wp:posOffset>
                      </wp:positionH>
                      <wp:positionV relativeFrom="paragraph">
                        <wp:posOffset>164465</wp:posOffset>
                      </wp:positionV>
                      <wp:extent cx="598170" cy="425450"/>
                      <wp:effectExtent l="2540" t="3810" r="0" b="0"/>
                      <wp:wrapNone/>
                      <wp:docPr id="6" name="文本框 6"/>
                      <wp:cNvGraphicFramePr/>
                      <a:graphic xmlns:a="http://schemas.openxmlformats.org/drawingml/2006/main">
                        <a:graphicData uri="http://schemas.microsoft.com/office/word/2010/wordprocessingShape">
                          <wps:wsp>
                            <wps:cNvSpPr txBox="1">
                              <a:spLocks noChangeArrowheads="1"/>
                            </wps:cNvSpPr>
                            <wps:spPr bwMode="auto">
                              <a:xfrm>
                                <a:off x="0" y="0"/>
                                <a:ext cx="598170" cy="425450"/>
                              </a:xfrm>
                              <a:prstGeom prst="rect">
                                <a:avLst/>
                              </a:prstGeom>
                              <a:noFill/>
                              <a:ln>
                                <a:noFill/>
                              </a:ln>
                            </wps:spPr>
                            <wps:txbx>
                              <w:txbxContent>
                                <w:p>
                                  <w:r>
                                    <w:t>占地</w:t>
                                  </w:r>
                                </w:p>
                                <w:p>
                                  <w:r>
                                    <w:t>规模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64.3pt;margin-top:12.95pt;height:33.5pt;width:47.1pt;z-index:251664384;mso-width-relative:page;mso-height-relative:page;" filled="f" stroked="f" coordsize="21600,21600" o:gfxdata="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BcszWAAAACQEAAA8AAAAAAAAAAQAgAAAAIgAAAGRycy9kb3ducmV2Lnht&#10;bFBLAQIUABQAAAAIAIdO4kBFXRo0+wEAAMYDAAAOAAAAAAAAAAEAIAAAACUBAABkcnMvZTJvRG9j&#10;LnhtbFBLBQYAAAAABgAGAFkBAACSBQAAAAA=&#10;">
                      <v:fill on="f" focussize="0,0"/>
                      <v:stroke on="f"/>
                      <v:imagedata o:title=""/>
                      <o:lock v:ext="edit" aspectratio="f"/>
                      <v:textbox>
                        <w:txbxContent>
                          <w:p>
                            <w:r>
                              <w:t>占地</w:t>
                            </w:r>
                          </w:p>
                          <w:p>
                            <w:r>
                              <w:t>规模</w:t>
                            </w:r>
                          </w:p>
                        </w:txbxContent>
                      </v:textbox>
                    </v:shape>
                  </w:pict>
                </mc:Fallback>
              </mc:AlternateContent>
            </w:r>
            <w:r>
              <w:rPr>
                <w:rFonts w:ascii="Times New Roman" w:hAnsi="Times New Roman" w:cs="Times New Roman"/>
                <w:b/>
                <w:bCs/>
                <w:snapToGrid w:val="0"/>
                <w:sz w:val="24"/>
              </w:rPr>
              <w:t>表7-17  污染影响型评价工作等级划分表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6"/>
              <w:gridCol w:w="676"/>
              <w:gridCol w:w="735"/>
              <w:gridCol w:w="804"/>
              <w:gridCol w:w="806"/>
              <w:gridCol w:w="803"/>
              <w:gridCol w:w="804"/>
              <w:gridCol w:w="805"/>
              <w:gridCol w:w="805"/>
              <w:gridCol w:w="8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2036" w:type="dxa"/>
                  <w:vMerge w:val="restart"/>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zCs w:val="21"/>
                    </w:rPr>
                    <mc:AlternateContent>
                      <mc:Choice Requires="wps">
                        <w:drawing>
                          <wp:anchor distT="0" distB="0" distL="114300" distR="114300" simplePos="0" relativeHeight="251663360" behindDoc="0" locked="0" layoutInCell="1" allowOverlap="1">
                            <wp:simplePos x="0" y="0"/>
                            <wp:positionH relativeFrom="column">
                              <wp:posOffset>-60960</wp:posOffset>
                            </wp:positionH>
                            <wp:positionV relativeFrom="paragraph">
                              <wp:posOffset>319405</wp:posOffset>
                            </wp:positionV>
                            <wp:extent cx="1322070" cy="283845"/>
                            <wp:effectExtent l="6350" t="6350" r="5080" b="508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1322070" cy="283845"/>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8pt;margin-top:25.15pt;height:22.35pt;width:104.1pt;z-index:251663360;mso-width-relative:page;mso-height-relative:page;" filled="f" stroked="t" coordsize="21600,21600" o:gfxdata="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ysGg7tcAAAAIAQAADwAAAAAAAAABACAAAAAiAAAA&#10;ZHJzL2Rvd25yZXYueG1sUEsBAhQAFAAAAAgAh07iQKIJHAnPAQAAYQMAAA4AAAAAAAAAAQAgAAAA&#10;JgEAAGRycy9lMm9Eb2MueG1sUEsFBgAAAAAGAAYAWQEAAGcFAAAAAA==&#10;">
                            <v:fill on="f" focussize="0,0"/>
                            <v:stroke color="#000000" joinstyle="round"/>
                            <v:imagedata o:title=""/>
                            <o:lock v:ext="edit" aspectratio="f"/>
                          </v:line>
                        </w:pict>
                      </mc:Fallback>
                    </mc:AlternateContent>
                  </w:r>
                  <w:r>
                    <w:rPr>
                      <w:rFonts w:ascii="Times New Roman" w:hAnsi="Times New Roman" w:cs="Times New Roman"/>
                      <w:szCs w:val="21"/>
                    </w:rPr>
                    <mc:AlternateContent>
                      <mc:Choice Requires="wps">
                        <w:drawing>
                          <wp:anchor distT="0" distB="0" distL="114300" distR="114300" simplePos="0" relativeHeight="251662336" behindDoc="0" locked="0" layoutInCell="1" allowOverlap="1">
                            <wp:simplePos x="0" y="0"/>
                            <wp:positionH relativeFrom="column">
                              <wp:posOffset>476885</wp:posOffset>
                            </wp:positionH>
                            <wp:positionV relativeFrom="paragraph">
                              <wp:posOffset>-1905</wp:posOffset>
                            </wp:positionV>
                            <wp:extent cx="752475" cy="593090"/>
                            <wp:effectExtent l="10795" t="8890" r="8255" b="7620"/>
                            <wp:wrapNone/>
                            <wp:docPr id="4" name="直接连接符 4"/>
                            <wp:cNvGraphicFramePr/>
                            <a:graphic xmlns:a="http://schemas.openxmlformats.org/drawingml/2006/main">
                              <a:graphicData uri="http://schemas.microsoft.com/office/word/2010/wordprocessingShape">
                                <wps:wsp>
                                  <wps:cNvCnPr>
                                    <a:cxnSpLocks noChangeShapeType="1"/>
                                  </wps:cNvCnPr>
                                  <wps:spPr bwMode="auto">
                                    <a:xfrm>
                                      <a:off x="0" y="0"/>
                                      <a:ext cx="752475" cy="59309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7.55pt;margin-top:-0.15pt;height:46.7pt;width:59.25pt;z-index:251662336;mso-width-relative:page;mso-height-relative:page;" filled="f" stroked="t" coordsize="21600,21600" o:gfxdata="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seHmT1gAAAAcBAAAPAAAAAAAAAAEAIAAAACIAAABk&#10;cnMvZG93bnJldi54bWxQSwECFAAUAAAACACHTuJAR4Eeks8BAABgAwAADgAAAAAAAAABACAAAAAl&#10;AQAAZHJzL2Uyb0RvYy54bWxQSwUGAAAAAAYABgBZAQAAZgUAAAAA&#10;">
                            <v:fill on="f" focussize="0,0"/>
                            <v:stroke color="#000000" joinstyle="round"/>
                            <v:imagedata o:title=""/>
                            <o:lock v:ext="edit" aspectratio="f"/>
                          </v:line>
                        </w:pict>
                      </mc:Fallback>
                    </mc:AlternateContent>
                  </w:r>
                  <w:r>
                    <w:rPr>
                      <w:rFonts w:ascii="Times New Roman" w:hAnsi="Times New Roman" w:cs="Times New Roman"/>
                      <w:szCs w:val="21"/>
                    </w:rPr>
                    <mc:AlternateContent>
                      <mc:Choice Requires="wps">
                        <w:drawing>
                          <wp:anchor distT="0" distB="0" distL="114300" distR="114300" simplePos="0" relativeHeight="251666432" behindDoc="0" locked="0" layoutInCell="1" allowOverlap="1">
                            <wp:simplePos x="0" y="0"/>
                            <wp:positionH relativeFrom="column">
                              <wp:posOffset>-66040</wp:posOffset>
                            </wp:positionH>
                            <wp:positionV relativeFrom="paragraph">
                              <wp:posOffset>396240</wp:posOffset>
                            </wp:positionV>
                            <wp:extent cx="731520" cy="245745"/>
                            <wp:effectExtent l="1270" t="0" r="635" b="4445"/>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731520" cy="245745"/>
                                    </a:xfrm>
                                    <a:prstGeom prst="rect">
                                      <a:avLst/>
                                    </a:prstGeom>
                                    <a:noFill/>
                                    <a:ln>
                                      <a:noFill/>
                                    </a:ln>
                                  </wps:spPr>
                                  <wps:txbx>
                                    <w:txbxContent>
                                      <w:p>
                                        <w:r>
                                          <w:rPr>
                                            <w:rFonts w:hint="eastAsia"/>
                                          </w:rPr>
                                          <w:t>敏感程度</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5.2pt;margin-top:31.2pt;height:19.35pt;width:57.6pt;z-index:251666432;mso-width-relative:page;mso-height-relative:page;" filled="f" stroked="f" coordsize="21600,21600" o:gfxdata="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zYxh/1gAAAAoBAAAPAAAAAAAAAAEAIAAAACIAAABkcnMvZG93bnJldi54bWxQ&#10;SwECFAAUAAAACACHTuJABh7VUvkBAADGAwAADgAAAAAAAAABACAAAAAlAQAAZHJzL2Uyb0RvYy54&#10;bWxQSwUGAAAAAAYABgBZAQAAkAUAAAAA&#10;">
                            <v:fill on="f" focussize="0,0"/>
                            <v:stroke on="f"/>
                            <v:imagedata o:title=""/>
                            <o:lock v:ext="edit" aspectratio="f"/>
                            <v:textbox>
                              <w:txbxContent>
                                <w:p>
                                  <w:r>
                                    <w:rPr>
                                      <w:rFonts w:hint="eastAsia"/>
                                    </w:rPr>
                                    <w:t>敏感程度</w:t>
                                  </w:r>
                                </w:p>
                              </w:txbxContent>
                            </v:textbox>
                          </v:shape>
                        </w:pict>
                      </mc:Fallback>
                    </mc:AlternateContent>
                  </w:r>
                </w:p>
              </w:tc>
              <w:tc>
                <w:tcPr>
                  <w:tcW w:w="2227" w:type="dxa"/>
                  <w:gridSpan w:val="3"/>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I类</w:t>
                  </w:r>
                </w:p>
              </w:tc>
              <w:tc>
                <w:tcPr>
                  <w:tcW w:w="2428" w:type="dxa"/>
                  <w:gridSpan w:val="3"/>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II类</w:t>
                  </w:r>
                </w:p>
              </w:tc>
              <w:tc>
                <w:tcPr>
                  <w:tcW w:w="2429" w:type="dxa"/>
                  <w:gridSpan w:val="3"/>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III类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2036" w:type="dxa"/>
                  <w:vMerge w:val="continue"/>
                  <w:vAlign w:val="center"/>
                </w:tcPr>
                <w:p>
                  <w:pPr>
                    <w:adjustRightInd w:val="0"/>
                    <w:snapToGrid w:val="0"/>
                    <w:spacing w:line="360" w:lineRule="auto"/>
                    <w:jc w:val="center"/>
                    <w:rPr>
                      <w:rFonts w:ascii="Times New Roman" w:hAnsi="Times New Roman" w:cs="Times New Roman"/>
                      <w:snapToGrid w:val="0"/>
                      <w:szCs w:val="21"/>
                    </w:rPr>
                  </w:pPr>
                </w:p>
              </w:tc>
              <w:tc>
                <w:tcPr>
                  <w:tcW w:w="67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大</w:t>
                  </w:r>
                </w:p>
              </w:tc>
              <w:tc>
                <w:tcPr>
                  <w:tcW w:w="73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中</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小</w:t>
                  </w:r>
                </w:p>
              </w:tc>
              <w:tc>
                <w:tcPr>
                  <w:tcW w:w="811"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大</w:t>
                  </w:r>
                </w:p>
              </w:tc>
              <w:tc>
                <w:tcPr>
                  <w:tcW w:w="808"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中</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小</w:t>
                  </w:r>
                </w:p>
              </w:tc>
              <w:tc>
                <w:tcPr>
                  <w:tcW w:w="810"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中</w:t>
                  </w:r>
                </w:p>
              </w:tc>
              <w:tc>
                <w:tcPr>
                  <w:tcW w:w="810"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2036"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敏感</w:t>
                  </w:r>
                </w:p>
              </w:tc>
              <w:tc>
                <w:tcPr>
                  <w:tcW w:w="67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一级</w:t>
                  </w:r>
                </w:p>
              </w:tc>
              <w:tc>
                <w:tcPr>
                  <w:tcW w:w="73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一级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一级</w:t>
                  </w:r>
                </w:p>
              </w:tc>
              <w:tc>
                <w:tcPr>
                  <w:tcW w:w="811"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二级</w:t>
                  </w:r>
                </w:p>
              </w:tc>
              <w:tc>
                <w:tcPr>
                  <w:tcW w:w="808"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二级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二级</w:t>
                  </w:r>
                </w:p>
              </w:tc>
              <w:tc>
                <w:tcPr>
                  <w:tcW w:w="810"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三级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三级</w:t>
                  </w:r>
                </w:p>
              </w:tc>
              <w:tc>
                <w:tcPr>
                  <w:tcW w:w="810"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2036"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较敏感</w:t>
                  </w:r>
                </w:p>
              </w:tc>
              <w:tc>
                <w:tcPr>
                  <w:tcW w:w="67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一级</w:t>
                  </w:r>
                </w:p>
              </w:tc>
              <w:tc>
                <w:tcPr>
                  <w:tcW w:w="73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一级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二级</w:t>
                  </w:r>
                </w:p>
              </w:tc>
              <w:tc>
                <w:tcPr>
                  <w:tcW w:w="811"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二级</w:t>
                  </w:r>
                </w:p>
              </w:tc>
              <w:tc>
                <w:tcPr>
                  <w:tcW w:w="808"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二级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三级</w:t>
                  </w:r>
                </w:p>
              </w:tc>
              <w:tc>
                <w:tcPr>
                  <w:tcW w:w="810"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三级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三级</w:t>
                  </w:r>
                </w:p>
              </w:tc>
              <w:tc>
                <w:tcPr>
                  <w:tcW w:w="810"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2036"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不敏感</w:t>
                  </w:r>
                </w:p>
              </w:tc>
              <w:tc>
                <w:tcPr>
                  <w:tcW w:w="67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一级</w:t>
                  </w:r>
                </w:p>
              </w:tc>
              <w:tc>
                <w:tcPr>
                  <w:tcW w:w="73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二级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二级</w:t>
                  </w:r>
                </w:p>
              </w:tc>
              <w:tc>
                <w:tcPr>
                  <w:tcW w:w="811"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二级</w:t>
                  </w:r>
                </w:p>
              </w:tc>
              <w:tc>
                <w:tcPr>
                  <w:tcW w:w="808"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三级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三级</w:t>
                  </w:r>
                </w:p>
              </w:tc>
              <w:tc>
                <w:tcPr>
                  <w:tcW w:w="810"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三级</w:t>
                  </w:r>
                </w:p>
              </w:tc>
              <w:tc>
                <w:tcPr>
                  <w:tcW w:w="809"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w:t>
                  </w:r>
                </w:p>
              </w:tc>
              <w:tc>
                <w:tcPr>
                  <w:tcW w:w="810" w:type="dxa"/>
                  <w:vAlign w:val="center"/>
                </w:tcPr>
                <w:p>
                  <w:pPr>
                    <w:adjustRightInd w:val="0"/>
                    <w:snapToGrid w:val="0"/>
                    <w:spacing w:line="360" w:lineRule="auto"/>
                    <w:jc w:val="center"/>
                    <w:rPr>
                      <w:rFonts w:ascii="Times New Roman" w:hAnsi="Times New Roman" w:cs="Times New Roman"/>
                      <w:snapToGrid w:val="0"/>
                      <w:szCs w:val="21"/>
                    </w:rPr>
                  </w:pPr>
                  <w:r>
                    <w:rPr>
                      <w:rFonts w:ascii="Times New Roman" w:hAnsi="Times New Roman" w:cs="Times New Roman"/>
                      <w:snapToGrid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120" w:type="dxa"/>
                  <w:gridSpan w:val="10"/>
                  <w:vAlign w:val="center"/>
                </w:tcPr>
                <w:p>
                  <w:pPr>
                    <w:adjustRightInd w:val="0"/>
                    <w:snapToGrid w:val="0"/>
                    <w:spacing w:line="360" w:lineRule="auto"/>
                    <w:rPr>
                      <w:rFonts w:ascii="Times New Roman" w:hAnsi="Times New Roman" w:cs="Times New Roman"/>
                      <w:snapToGrid w:val="0"/>
                      <w:szCs w:val="21"/>
                    </w:rPr>
                  </w:pPr>
                  <w:r>
                    <w:rPr>
                      <w:rFonts w:ascii="Times New Roman" w:hAnsi="Times New Roman" w:cs="Times New Roman"/>
                      <w:snapToGrid w:val="0"/>
                      <w:szCs w:val="21"/>
                    </w:rPr>
                    <w:t>注：“-”表示可不开展土壤环境影响评价工作</w:t>
                  </w:r>
                </w:p>
              </w:tc>
            </w:tr>
          </w:tbl>
          <w:p>
            <w:pPr>
              <w:adjustRightInd w:val="0"/>
              <w:snapToGrid w:val="0"/>
              <w:spacing w:before="120" w:beforeLines="50" w:line="360" w:lineRule="auto"/>
              <w:ind w:firstLine="480" w:firstLineChars="200"/>
              <w:rPr>
                <w:rFonts w:ascii="Times New Roman" w:hAnsi="Times New Roman" w:cs="Times New Roman"/>
                <w:snapToGrid w:val="0"/>
                <w:sz w:val="24"/>
              </w:rPr>
            </w:pPr>
            <w:r>
              <w:rPr>
                <w:rFonts w:ascii="Times New Roman" w:hAnsi="Times New Roman" w:cs="Times New Roman"/>
                <w:snapToGrid w:val="0"/>
                <w:sz w:val="24"/>
              </w:rPr>
              <w:t>对照上表，确定本项目土壤环境影响评价工作等级为“-”级，可不开展土壤环境影响评价工作。</w:t>
            </w:r>
          </w:p>
          <w:p>
            <w:pPr>
              <w:pStyle w:val="16"/>
              <w:jc w:val="center"/>
              <w:rPr>
                <w:b/>
                <w:sz w:val="24"/>
                <w:szCs w:val="24"/>
              </w:rPr>
            </w:pPr>
            <w:r>
              <w:rPr>
                <w:b/>
                <w:sz w:val="24"/>
                <w:szCs w:val="24"/>
              </w:rPr>
              <w:t>表7-17  土壤环境影响 自查表</w:t>
            </w:r>
          </w:p>
          <w:tbl>
            <w:tblPr>
              <w:tblStyle w:val="36"/>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8"/>
              <w:gridCol w:w="1492"/>
              <w:gridCol w:w="1417"/>
              <w:gridCol w:w="426"/>
              <w:gridCol w:w="850"/>
              <w:gridCol w:w="1276"/>
              <w:gridCol w:w="1134"/>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60" w:type="dxa"/>
                  <w:gridSpan w:val="2"/>
                  <w:vAlign w:val="center"/>
                </w:tcPr>
                <w:p>
                  <w:pPr>
                    <w:snapToGrid w:val="0"/>
                    <w:jc w:val="center"/>
                    <w:rPr>
                      <w:rFonts w:ascii="Times New Roman" w:hAnsi="Times New Roman" w:eastAsia="宋体" w:cs="Times New Roman"/>
                    </w:rPr>
                  </w:pPr>
                  <w:r>
                    <w:rPr>
                      <w:rFonts w:ascii="Times New Roman" w:hAnsi="Times New Roman" w:eastAsia="宋体" w:cs="Times New Roman"/>
                    </w:rPr>
                    <w:t>工作内容</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完成情况</w:t>
                  </w:r>
                </w:p>
              </w:tc>
              <w:tc>
                <w:tcPr>
                  <w:tcW w:w="992" w:type="dxa"/>
                </w:tcPr>
                <w:p>
                  <w:pPr>
                    <w:snapToGrid w:val="0"/>
                    <w:jc w:val="center"/>
                    <w:rPr>
                      <w:rFonts w:ascii="Times New Roman" w:hAnsi="Times New Roman" w:eastAsia="宋体" w:cs="Times New Roman"/>
                    </w:rPr>
                  </w:pPr>
                  <w:r>
                    <w:rPr>
                      <w:rFonts w:ascii="Times New Roman" w:hAnsi="Times New Roman" w:eastAsia="宋体" w:cs="Times New Roma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restart"/>
                  <w:vAlign w:val="center"/>
                </w:tcPr>
                <w:p>
                  <w:pPr>
                    <w:snapToGrid w:val="0"/>
                    <w:jc w:val="center"/>
                    <w:rPr>
                      <w:rFonts w:ascii="Times New Roman" w:hAnsi="Times New Roman" w:eastAsia="宋体" w:cs="Times New Roman"/>
                    </w:rPr>
                  </w:pPr>
                  <w:r>
                    <w:rPr>
                      <w:rFonts w:ascii="Times New Roman" w:hAnsi="Times New Roman" w:eastAsia="宋体" w:cs="Times New Roman"/>
                    </w:rPr>
                    <w:t>影响识别</w:t>
                  </w: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影响类别</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污染影响型□；生态影响型□；两种兼有□</w:t>
                  </w:r>
                </w:p>
              </w:tc>
              <w:tc>
                <w:tcPr>
                  <w:tcW w:w="992" w:type="dxa"/>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土地利用类型</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建设用地□；农用地□；未利用地□</w:t>
                  </w:r>
                </w:p>
              </w:tc>
              <w:tc>
                <w:tcPr>
                  <w:tcW w:w="9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土地利用类型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占地规模</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      ）hm</w:t>
                  </w:r>
                  <w:r>
                    <w:rPr>
                      <w:rFonts w:ascii="Times New Roman" w:hAnsi="Times New Roman" w:eastAsia="宋体" w:cs="Times New Roman"/>
                      <w:vertAlign w:val="superscript"/>
                    </w:rPr>
                    <w:t>2</w:t>
                  </w:r>
                </w:p>
              </w:tc>
              <w:tc>
                <w:tcPr>
                  <w:tcW w:w="992" w:type="dxa"/>
                  <w:vAlign w:val="center"/>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敏感目标信息</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敏感目标（    ）、方位（    ）、距离（    ）</w:t>
                  </w:r>
                </w:p>
              </w:tc>
              <w:tc>
                <w:tcPr>
                  <w:tcW w:w="992" w:type="dxa"/>
                  <w:vAlign w:val="center"/>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影响途径</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大气沉降□；地面漫流□；垂直入渗口□；其他（    ）</w:t>
                  </w:r>
                </w:p>
              </w:tc>
              <w:tc>
                <w:tcPr>
                  <w:tcW w:w="992" w:type="dxa"/>
                  <w:vAlign w:val="center"/>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全部污染物</w:t>
                  </w:r>
                </w:p>
              </w:tc>
              <w:tc>
                <w:tcPr>
                  <w:tcW w:w="5103" w:type="dxa"/>
                  <w:gridSpan w:val="5"/>
                  <w:vAlign w:val="center"/>
                </w:tcPr>
                <w:p>
                  <w:pPr>
                    <w:snapToGrid w:val="0"/>
                    <w:jc w:val="center"/>
                    <w:rPr>
                      <w:rFonts w:ascii="Times New Roman" w:hAnsi="Times New Roman" w:eastAsia="宋体" w:cs="Times New Roman"/>
                    </w:rPr>
                  </w:pPr>
                </w:p>
              </w:tc>
              <w:tc>
                <w:tcPr>
                  <w:tcW w:w="992" w:type="dxa"/>
                  <w:vAlign w:val="center"/>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特征因子</w:t>
                  </w:r>
                </w:p>
              </w:tc>
              <w:tc>
                <w:tcPr>
                  <w:tcW w:w="5103" w:type="dxa"/>
                  <w:gridSpan w:val="5"/>
                  <w:vAlign w:val="center"/>
                </w:tcPr>
                <w:p>
                  <w:pPr>
                    <w:snapToGrid w:val="0"/>
                    <w:jc w:val="center"/>
                    <w:rPr>
                      <w:rFonts w:ascii="Times New Roman" w:hAnsi="Times New Roman" w:eastAsia="宋体" w:cs="Times New Roman"/>
                    </w:rPr>
                  </w:pPr>
                </w:p>
              </w:tc>
              <w:tc>
                <w:tcPr>
                  <w:tcW w:w="992" w:type="dxa"/>
                  <w:vAlign w:val="center"/>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所属土壤环境影响评价类别</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Ⅰ类□；Ⅱ类□；Ⅲ类□；Ⅳ类□</w:t>
                  </w:r>
                </w:p>
              </w:tc>
              <w:tc>
                <w:tcPr>
                  <w:tcW w:w="992" w:type="dxa"/>
                  <w:vAlign w:val="center"/>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敏感程度</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敏感□；较敏感□；不敏感□</w:t>
                  </w:r>
                </w:p>
              </w:tc>
              <w:tc>
                <w:tcPr>
                  <w:tcW w:w="992" w:type="dxa"/>
                  <w:vAlign w:val="center"/>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60" w:type="dxa"/>
                  <w:gridSpan w:val="2"/>
                  <w:vAlign w:val="center"/>
                </w:tcPr>
                <w:p>
                  <w:pPr>
                    <w:snapToGrid w:val="0"/>
                    <w:jc w:val="center"/>
                    <w:rPr>
                      <w:rFonts w:ascii="Times New Roman" w:hAnsi="Times New Roman" w:eastAsia="宋体" w:cs="Times New Roman"/>
                    </w:rPr>
                  </w:pPr>
                  <w:r>
                    <w:rPr>
                      <w:rFonts w:ascii="Times New Roman" w:hAnsi="Times New Roman" w:eastAsia="宋体" w:cs="Times New Roman"/>
                    </w:rPr>
                    <w:t>评价工作等级</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一级□；二级□；三级□</w:t>
                  </w:r>
                </w:p>
              </w:tc>
              <w:tc>
                <w:tcPr>
                  <w:tcW w:w="992" w:type="dxa"/>
                  <w:vAlign w:val="center"/>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restart"/>
                  <w:vAlign w:val="center"/>
                </w:tcPr>
                <w:p>
                  <w:pPr>
                    <w:snapToGrid w:val="0"/>
                    <w:jc w:val="center"/>
                    <w:rPr>
                      <w:rFonts w:ascii="Times New Roman" w:hAnsi="Times New Roman" w:eastAsia="宋体" w:cs="Times New Roman"/>
                    </w:rPr>
                  </w:pPr>
                  <w:r>
                    <w:rPr>
                      <w:rFonts w:ascii="Times New Roman" w:hAnsi="Times New Roman" w:eastAsia="宋体" w:cs="Times New Roman"/>
                    </w:rPr>
                    <w:t>现状调查内容</w:t>
                  </w: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资料收集</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a）□；b）□；c）□；d）□</w:t>
                  </w:r>
                </w:p>
              </w:tc>
              <w:tc>
                <w:tcPr>
                  <w:tcW w:w="992" w:type="dxa"/>
                  <w:vAlign w:val="center"/>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理化特性</w:t>
                  </w:r>
                </w:p>
              </w:tc>
              <w:tc>
                <w:tcPr>
                  <w:tcW w:w="5103" w:type="dxa"/>
                  <w:gridSpan w:val="5"/>
                  <w:vAlign w:val="center"/>
                </w:tcPr>
                <w:p>
                  <w:pPr>
                    <w:snapToGrid w:val="0"/>
                    <w:jc w:val="center"/>
                    <w:rPr>
                      <w:rFonts w:ascii="Times New Roman" w:hAnsi="Times New Roman" w:eastAsia="宋体" w:cs="Times New Roman"/>
                    </w:rPr>
                  </w:pPr>
                </w:p>
              </w:tc>
              <w:tc>
                <w:tcPr>
                  <w:tcW w:w="9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同附录C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Merge w:val="restart"/>
                  <w:vAlign w:val="center"/>
                </w:tcPr>
                <w:p>
                  <w:pPr>
                    <w:snapToGrid w:val="0"/>
                    <w:jc w:val="center"/>
                    <w:rPr>
                      <w:rFonts w:ascii="Times New Roman" w:hAnsi="Times New Roman" w:eastAsia="宋体" w:cs="Times New Roman"/>
                    </w:rPr>
                  </w:pPr>
                  <w:r>
                    <w:rPr>
                      <w:rFonts w:ascii="Times New Roman" w:hAnsi="Times New Roman" w:eastAsia="宋体" w:cs="Times New Roman"/>
                    </w:rPr>
                    <w:t>现状监测点位</w:t>
                  </w:r>
                </w:p>
              </w:tc>
              <w:tc>
                <w:tcPr>
                  <w:tcW w:w="1417" w:type="dxa"/>
                  <w:vAlign w:val="center"/>
                </w:tcPr>
                <w:p>
                  <w:pPr>
                    <w:snapToGrid w:val="0"/>
                    <w:jc w:val="center"/>
                    <w:rPr>
                      <w:rFonts w:ascii="Times New Roman" w:hAnsi="Times New Roman" w:eastAsia="宋体" w:cs="Times New Roman"/>
                    </w:rPr>
                  </w:pPr>
                </w:p>
              </w:tc>
              <w:tc>
                <w:tcPr>
                  <w:tcW w:w="1276" w:type="dxa"/>
                  <w:gridSpan w:val="2"/>
                  <w:vAlign w:val="center"/>
                </w:tcPr>
                <w:p>
                  <w:pPr>
                    <w:snapToGrid w:val="0"/>
                    <w:jc w:val="center"/>
                    <w:rPr>
                      <w:rFonts w:ascii="Times New Roman" w:hAnsi="Times New Roman" w:eastAsia="宋体" w:cs="Times New Roman"/>
                    </w:rPr>
                  </w:pPr>
                  <w:r>
                    <w:rPr>
                      <w:rFonts w:ascii="Times New Roman" w:hAnsi="Times New Roman" w:eastAsia="宋体" w:cs="Times New Roman"/>
                    </w:rPr>
                    <w:t>占地范围内</w:t>
                  </w:r>
                </w:p>
              </w:tc>
              <w:tc>
                <w:tcPr>
                  <w:tcW w:w="1276"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占地范围外</w:t>
                  </w:r>
                </w:p>
              </w:tc>
              <w:tc>
                <w:tcPr>
                  <w:tcW w:w="1134"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深度</w:t>
                  </w:r>
                </w:p>
              </w:tc>
              <w:tc>
                <w:tcPr>
                  <w:tcW w:w="992" w:type="dxa"/>
                  <w:vMerge w:val="restart"/>
                  <w:vAlign w:val="center"/>
                </w:tcPr>
                <w:p>
                  <w:pPr>
                    <w:snapToGrid w:val="0"/>
                    <w:jc w:val="center"/>
                    <w:rPr>
                      <w:rFonts w:ascii="Times New Roman" w:hAnsi="Times New Roman" w:eastAsia="宋体" w:cs="Times New Roman"/>
                    </w:rPr>
                  </w:pPr>
                  <w:r>
                    <w:rPr>
                      <w:rFonts w:ascii="Times New Roman" w:hAnsi="Times New Roman" w:eastAsia="宋体" w:cs="Times New Roman"/>
                    </w:rPr>
                    <w:t>点位布置图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Merge w:val="continue"/>
                  <w:vAlign w:val="center"/>
                </w:tcPr>
                <w:p>
                  <w:pPr>
                    <w:snapToGrid w:val="0"/>
                    <w:jc w:val="center"/>
                    <w:rPr>
                      <w:rFonts w:ascii="Times New Roman" w:hAnsi="Times New Roman" w:eastAsia="宋体" w:cs="Times New Roman"/>
                    </w:rPr>
                  </w:pPr>
                </w:p>
              </w:tc>
              <w:tc>
                <w:tcPr>
                  <w:tcW w:w="1417"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表层样点数</w:t>
                  </w:r>
                </w:p>
              </w:tc>
              <w:tc>
                <w:tcPr>
                  <w:tcW w:w="1276" w:type="dxa"/>
                  <w:gridSpan w:val="2"/>
                  <w:vAlign w:val="center"/>
                </w:tcPr>
                <w:p>
                  <w:pPr>
                    <w:snapToGrid w:val="0"/>
                    <w:jc w:val="center"/>
                    <w:rPr>
                      <w:rFonts w:ascii="Times New Roman" w:hAnsi="Times New Roman" w:eastAsia="宋体" w:cs="Times New Roman"/>
                    </w:rPr>
                  </w:pPr>
                </w:p>
              </w:tc>
              <w:tc>
                <w:tcPr>
                  <w:tcW w:w="1276" w:type="dxa"/>
                  <w:vAlign w:val="center"/>
                </w:tcPr>
                <w:p>
                  <w:pPr>
                    <w:snapToGrid w:val="0"/>
                    <w:jc w:val="center"/>
                    <w:rPr>
                      <w:rFonts w:ascii="Times New Roman" w:hAnsi="Times New Roman" w:eastAsia="宋体" w:cs="Times New Roman"/>
                    </w:rPr>
                  </w:pPr>
                </w:p>
              </w:tc>
              <w:tc>
                <w:tcPr>
                  <w:tcW w:w="1134" w:type="dxa"/>
                  <w:vAlign w:val="center"/>
                </w:tcPr>
                <w:p>
                  <w:pPr>
                    <w:snapToGrid w:val="0"/>
                    <w:jc w:val="center"/>
                    <w:rPr>
                      <w:rFonts w:ascii="Times New Roman" w:hAnsi="Times New Roman" w:eastAsia="宋体" w:cs="Times New Roman"/>
                    </w:rPr>
                  </w:pPr>
                </w:p>
              </w:tc>
              <w:tc>
                <w:tcPr>
                  <w:tcW w:w="992" w:type="dxa"/>
                  <w:vMerge w:val="continue"/>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Merge w:val="continue"/>
                  <w:vAlign w:val="center"/>
                </w:tcPr>
                <w:p>
                  <w:pPr>
                    <w:snapToGrid w:val="0"/>
                    <w:jc w:val="center"/>
                    <w:rPr>
                      <w:rFonts w:ascii="Times New Roman" w:hAnsi="Times New Roman" w:eastAsia="宋体" w:cs="Times New Roman"/>
                    </w:rPr>
                  </w:pPr>
                </w:p>
              </w:tc>
              <w:tc>
                <w:tcPr>
                  <w:tcW w:w="1417"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柱状样点数</w:t>
                  </w:r>
                </w:p>
              </w:tc>
              <w:tc>
                <w:tcPr>
                  <w:tcW w:w="1276" w:type="dxa"/>
                  <w:gridSpan w:val="2"/>
                  <w:vAlign w:val="center"/>
                </w:tcPr>
                <w:p>
                  <w:pPr>
                    <w:snapToGrid w:val="0"/>
                    <w:jc w:val="center"/>
                    <w:rPr>
                      <w:rFonts w:ascii="Times New Roman" w:hAnsi="Times New Roman" w:eastAsia="宋体" w:cs="Times New Roman"/>
                    </w:rPr>
                  </w:pPr>
                </w:p>
              </w:tc>
              <w:tc>
                <w:tcPr>
                  <w:tcW w:w="1276" w:type="dxa"/>
                  <w:vAlign w:val="center"/>
                </w:tcPr>
                <w:p>
                  <w:pPr>
                    <w:snapToGrid w:val="0"/>
                    <w:jc w:val="center"/>
                    <w:rPr>
                      <w:rFonts w:ascii="Times New Roman" w:hAnsi="Times New Roman" w:eastAsia="宋体" w:cs="Times New Roman"/>
                    </w:rPr>
                  </w:pPr>
                </w:p>
              </w:tc>
              <w:tc>
                <w:tcPr>
                  <w:tcW w:w="1134" w:type="dxa"/>
                  <w:vAlign w:val="center"/>
                </w:tcPr>
                <w:p>
                  <w:pPr>
                    <w:snapToGrid w:val="0"/>
                    <w:jc w:val="center"/>
                    <w:rPr>
                      <w:rFonts w:ascii="Times New Roman" w:hAnsi="Times New Roman" w:eastAsia="宋体" w:cs="Times New Roman"/>
                    </w:rPr>
                  </w:pPr>
                </w:p>
              </w:tc>
              <w:tc>
                <w:tcPr>
                  <w:tcW w:w="992" w:type="dxa"/>
                  <w:vMerge w:val="continue"/>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现状监测因子</w:t>
                  </w:r>
                </w:p>
              </w:tc>
              <w:tc>
                <w:tcPr>
                  <w:tcW w:w="5103" w:type="dxa"/>
                  <w:gridSpan w:val="5"/>
                  <w:vAlign w:val="center"/>
                </w:tcPr>
                <w:p>
                  <w:pPr>
                    <w:snapToGrid w:val="0"/>
                    <w:jc w:val="center"/>
                    <w:rPr>
                      <w:rFonts w:ascii="Times New Roman" w:hAnsi="Times New Roman" w:eastAsia="宋体" w:cs="Times New Roman"/>
                    </w:rPr>
                  </w:pPr>
                </w:p>
              </w:tc>
              <w:tc>
                <w:tcPr>
                  <w:tcW w:w="992" w:type="dxa"/>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restart"/>
                  <w:vAlign w:val="center"/>
                </w:tcPr>
                <w:p>
                  <w:pPr>
                    <w:snapToGrid w:val="0"/>
                    <w:jc w:val="center"/>
                    <w:rPr>
                      <w:rFonts w:ascii="Times New Roman" w:hAnsi="Times New Roman" w:eastAsia="宋体" w:cs="Times New Roman"/>
                    </w:rPr>
                  </w:pPr>
                  <w:r>
                    <w:rPr>
                      <w:rFonts w:ascii="Times New Roman" w:hAnsi="Times New Roman" w:eastAsia="宋体" w:cs="Times New Roman"/>
                    </w:rPr>
                    <w:t>现状评价</w:t>
                  </w: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评价因子</w:t>
                  </w:r>
                </w:p>
              </w:tc>
              <w:tc>
                <w:tcPr>
                  <w:tcW w:w="5103" w:type="dxa"/>
                  <w:gridSpan w:val="5"/>
                  <w:vAlign w:val="center"/>
                </w:tcPr>
                <w:p>
                  <w:pPr>
                    <w:snapToGrid w:val="0"/>
                    <w:jc w:val="center"/>
                    <w:rPr>
                      <w:rFonts w:ascii="Times New Roman" w:hAnsi="Times New Roman" w:eastAsia="宋体" w:cs="Times New Roman"/>
                    </w:rPr>
                  </w:pPr>
                </w:p>
              </w:tc>
              <w:tc>
                <w:tcPr>
                  <w:tcW w:w="992" w:type="dxa"/>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评价标准</w:t>
                  </w:r>
                </w:p>
              </w:tc>
              <w:tc>
                <w:tcPr>
                  <w:tcW w:w="5103" w:type="dxa"/>
                  <w:gridSpan w:val="5"/>
                  <w:vAlign w:val="center"/>
                </w:tcPr>
                <w:p>
                  <w:pPr>
                    <w:snapToGrid w:val="0"/>
                    <w:jc w:val="center"/>
                    <w:rPr>
                      <w:rFonts w:ascii="Times New Roman" w:hAnsi="Times New Roman" w:eastAsia="宋体" w:cs="Times New Roman"/>
                    </w:rPr>
                  </w:pPr>
                  <w:r>
                    <w:rPr>
                      <w:rFonts w:ascii="Times New Roman" w:hAnsi="Times New Roman" w:eastAsia="宋体" w:cs="Times New Roman"/>
                    </w:rPr>
                    <w:t>GB15618□；GB36600□；表D.1□；表D.2□；其他（   ）</w:t>
                  </w:r>
                </w:p>
              </w:tc>
              <w:tc>
                <w:tcPr>
                  <w:tcW w:w="992" w:type="dxa"/>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现状评价结论</w:t>
                  </w:r>
                </w:p>
              </w:tc>
              <w:tc>
                <w:tcPr>
                  <w:tcW w:w="5103" w:type="dxa"/>
                  <w:gridSpan w:val="5"/>
                  <w:vAlign w:val="center"/>
                </w:tcPr>
                <w:p>
                  <w:pPr>
                    <w:snapToGrid w:val="0"/>
                    <w:jc w:val="center"/>
                    <w:rPr>
                      <w:rFonts w:ascii="Times New Roman" w:hAnsi="Times New Roman" w:eastAsia="宋体" w:cs="Times New Roman"/>
                    </w:rPr>
                  </w:pPr>
                </w:p>
              </w:tc>
              <w:tc>
                <w:tcPr>
                  <w:tcW w:w="992" w:type="dxa"/>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restart"/>
                  <w:vAlign w:val="center"/>
                </w:tcPr>
                <w:p>
                  <w:pPr>
                    <w:snapToGrid w:val="0"/>
                    <w:jc w:val="center"/>
                    <w:rPr>
                      <w:rFonts w:ascii="Times New Roman" w:hAnsi="Times New Roman" w:eastAsia="宋体" w:cs="Times New Roman"/>
                    </w:rPr>
                  </w:pPr>
                  <w:r>
                    <w:rPr>
                      <w:rFonts w:ascii="Times New Roman" w:hAnsi="Times New Roman" w:eastAsia="宋体" w:cs="Times New Roman"/>
                    </w:rPr>
                    <w:t>影响预测</w:t>
                  </w: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预测因子</w:t>
                  </w:r>
                </w:p>
              </w:tc>
              <w:tc>
                <w:tcPr>
                  <w:tcW w:w="5103" w:type="dxa"/>
                  <w:gridSpan w:val="5"/>
                  <w:vAlign w:val="center"/>
                </w:tcPr>
                <w:p>
                  <w:pPr>
                    <w:snapToGrid w:val="0"/>
                    <w:jc w:val="center"/>
                    <w:rPr>
                      <w:rFonts w:ascii="Times New Roman" w:hAnsi="Times New Roman" w:eastAsia="宋体" w:cs="Times New Roman"/>
                    </w:rPr>
                  </w:pPr>
                </w:p>
              </w:tc>
              <w:tc>
                <w:tcPr>
                  <w:tcW w:w="992" w:type="dxa"/>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预测方法</w:t>
                  </w:r>
                </w:p>
              </w:tc>
              <w:tc>
                <w:tcPr>
                  <w:tcW w:w="5103" w:type="dxa"/>
                  <w:gridSpan w:val="5"/>
                  <w:vAlign w:val="center"/>
                </w:tcPr>
                <w:p>
                  <w:pPr>
                    <w:snapToGrid w:val="0"/>
                    <w:jc w:val="left"/>
                    <w:rPr>
                      <w:rFonts w:ascii="Times New Roman" w:hAnsi="Times New Roman" w:eastAsia="宋体" w:cs="Times New Roman"/>
                    </w:rPr>
                  </w:pPr>
                  <w:r>
                    <w:rPr>
                      <w:rFonts w:ascii="Times New Roman" w:hAnsi="Times New Roman" w:eastAsia="宋体" w:cs="Times New Roman"/>
                    </w:rPr>
                    <w:t>附录E□；附录F□；其他（      ）；</w:t>
                  </w:r>
                </w:p>
              </w:tc>
              <w:tc>
                <w:tcPr>
                  <w:tcW w:w="992" w:type="dxa"/>
                </w:tcPr>
                <w:p>
                  <w:pPr>
                    <w:snapToGrid w:val="0"/>
                    <w:jc w:val="left"/>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预测分析内容</w:t>
                  </w:r>
                </w:p>
              </w:tc>
              <w:tc>
                <w:tcPr>
                  <w:tcW w:w="5103" w:type="dxa"/>
                  <w:gridSpan w:val="5"/>
                  <w:vAlign w:val="center"/>
                </w:tcPr>
                <w:p>
                  <w:pPr>
                    <w:snapToGrid w:val="0"/>
                    <w:jc w:val="left"/>
                    <w:rPr>
                      <w:rFonts w:ascii="Times New Roman" w:hAnsi="Times New Roman" w:eastAsia="宋体" w:cs="Times New Roman"/>
                    </w:rPr>
                  </w:pPr>
                  <w:r>
                    <w:rPr>
                      <w:rFonts w:ascii="Times New Roman" w:hAnsi="Times New Roman" w:eastAsia="宋体" w:cs="Times New Roman"/>
                    </w:rPr>
                    <w:t>影响范围（         ）</w:t>
                  </w:r>
                </w:p>
                <w:p>
                  <w:pPr>
                    <w:snapToGrid w:val="0"/>
                    <w:jc w:val="left"/>
                    <w:rPr>
                      <w:rFonts w:ascii="Times New Roman" w:hAnsi="Times New Roman" w:eastAsia="宋体" w:cs="Times New Roman"/>
                    </w:rPr>
                  </w:pPr>
                  <w:r>
                    <w:rPr>
                      <w:rFonts w:ascii="Times New Roman" w:hAnsi="Times New Roman" w:eastAsia="宋体" w:cs="Times New Roman"/>
                    </w:rPr>
                    <w:t>影响程度（         ）</w:t>
                  </w:r>
                </w:p>
              </w:tc>
              <w:tc>
                <w:tcPr>
                  <w:tcW w:w="992" w:type="dxa"/>
                </w:tcPr>
                <w:p>
                  <w:pPr>
                    <w:snapToGrid w:val="0"/>
                    <w:jc w:val="left"/>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预测结论</w:t>
                  </w:r>
                </w:p>
              </w:tc>
              <w:tc>
                <w:tcPr>
                  <w:tcW w:w="5103" w:type="dxa"/>
                  <w:gridSpan w:val="5"/>
                  <w:vAlign w:val="center"/>
                </w:tcPr>
                <w:p>
                  <w:pPr>
                    <w:snapToGrid w:val="0"/>
                    <w:jc w:val="left"/>
                    <w:rPr>
                      <w:rFonts w:ascii="Times New Roman" w:hAnsi="Times New Roman" w:eastAsia="宋体" w:cs="Times New Roman"/>
                    </w:rPr>
                  </w:pPr>
                  <w:r>
                    <w:rPr>
                      <w:rFonts w:ascii="Times New Roman" w:hAnsi="Times New Roman" w:eastAsia="宋体" w:cs="Times New Roman"/>
                    </w:rPr>
                    <w:t>达标结论：a）□；b）□；c）□</w:t>
                  </w:r>
                </w:p>
                <w:p>
                  <w:pPr>
                    <w:snapToGrid w:val="0"/>
                    <w:jc w:val="left"/>
                    <w:rPr>
                      <w:rFonts w:ascii="Times New Roman" w:hAnsi="Times New Roman" w:eastAsia="宋体" w:cs="Times New Roman"/>
                    </w:rPr>
                  </w:pPr>
                  <w:r>
                    <w:rPr>
                      <w:rFonts w:ascii="Times New Roman" w:hAnsi="Times New Roman" w:eastAsia="宋体" w:cs="Times New Roman"/>
                    </w:rPr>
                    <w:t>不达标结论：a）□；b）□</w:t>
                  </w:r>
                </w:p>
              </w:tc>
              <w:tc>
                <w:tcPr>
                  <w:tcW w:w="992" w:type="dxa"/>
                </w:tcPr>
                <w:p>
                  <w:pPr>
                    <w:snapToGrid w:val="0"/>
                    <w:jc w:val="left"/>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restart"/>
                  <w:vAlign w:val="center"/>
                </w:tcPr>
                <w:p>
                  <w:pPr>
                    <w:snapToGrid w:val="0"/>
                    <w:jc w:val="center"/>
                    <w:rPr>
                      <w:rFonts w:ascii="Times New Roman" w:hAnsi="Times New Roman" w:eastAsia="宋体" w:cs="Times New Roman"/>
                    </w:rPr>
                  </w:pPr>
                  <w:r>
                    <w:rPr>
                      <w:rFonts w:ascii="Times New Roman" w:hAnsi="Times New Roman" w:eastAsia="宋体" w:cs="Times New Roman"/>
                    </w:rPr>
                    <w:t>防治措施</w:t>
                  </w: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防控措施</w:t>
                  </w:r>
                </w:p>
              </w:tc>
              <w:tc>
                <w:tcPr>
                  <w:tcW w:w="5103" w:type="dxa"/>
                  <w:gridSpan w:val="5"/>
                  <w:vAlign w:val="center"/>
                </w:tcPr>
                <w:p>
                  <w:pPr>
                    <w:snapToGrid w:val="0"/>
                    <w:jc w:val="center"/>
                    <w:rPr>
                      <w:rFonts w:ascii="Times New Roman" w:hAnsi="Times New Roman" w:eastAsia="宋体" w:cs="Times New Roman"/>
                    </w:rPr>
                  </w:pPr>
                </w:p>
              </w:tc>
              <w:tc>
                <w:tcPr>
                  <w:tcW w:w="992" w:type="dxa"/>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Merge w:val="continue"/>
                  <w:vAlign w:val="center"/>
                </w:tcPr>
                <w:p>
                  <w:pPr>
                    <w:snapToGrid w:val="0"/>
                    <w:jc w:val="center"/>
                    <w:rPr>
                      <w:rFonts w:ascii="Times New Roman" w:hAnsi="Times New Roman" w:eastAsia="宋体" w:cs="Times New Roman"/>
                    </w:rPr>
                  </w:pPr>
                </w:p>
              </w:tc>
              <w:tc>
                <w:tcPr>
                  <w:tcW w:w="1492"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跟踪监测</w:t>
                  </w:r>
                </w:p>
              </w:tc>
              <w:tc>
                <w:tcPr>
                  <w:tcW w:w="1843" w:type="dxa"/>
                  <w:gridSpan w:val="2"/>
                  <w:vAlign w:val="center"/>
                </w:tcPr>
                <w:p>
                  <w:pPr>
                    <w:snapToGrid w:val="0"/>
                    <w:jc w:val="center"/>
                    <w:rPr>
                      <w:rFonts w:ascii="Times New Roman" w:hAnsi="Times New Roman" w:eastAsia="宋体" w:cs="Times New Roman"/>
                    </w:rPr>
                  </w:pPr>
                  <w:r>
                    <w:rPr>
                      <w:rFonts w:ascii="Times New Roman" w:hAnsi="Times New Roman" w:eastAsia="宋体" w:cs="Times New Roman"/>
                    </w:rPr>
                    <w:t>监测点数</w:t>
                  </w:r>
                </w:p>
              </w:tc>
              <w:tc>
                <w:tcPr>
                  <w:tcW w:w="2126" w:type="dxa"/>
                  <w:gridSpan w:val="2"/>
                  <w:vAlign w:val="center"/>
                </w:tcPr>
                <w:p>
                  <w:pPr>
                    <w:snapToGrid w:val="0"/>
                    <w:jc w:val="center"/>
                    <w:rPr>
                      <w:rFonts w:ascii="Times New Roman" w:hAnsi="Times New Roman" w:eastAsia="宋体" w:cs="Times New Roman"/>
                    </w:rPr>
                  </w:pPr>
                  <w:r>
                    <w:rPr>
                      <w:rFonts w:ascii="Times New Roman" w:hAnsi="Times New Roman" w:eastAsia="宋体" w:cs="Times New Roman"/>
                    </w:rPr>
                    <w:t>监测指标</w:t>
                  </w:r>
                </w:p>
              </w:tc>
              <w:tc>
                <w:tcPr>
                  <w:tcW w:w="1134"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监测频次</w:t>
                  </w:r>
                </w:p>
              </w:tc>
              <w:tc>
                <w:tcPr>
                  <w:tcW w:w="992" w:type="dxa"/>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68" w:type="dxa"/>
                  <w:vAlign w:val="center"/>
                </w:tcPr>
                <w:p>
                  <w:pPr>
                    <w:snapToGrid w:val="0"/>
                    <w:jc w:val="center"/>
                    <w:rPr>
                      <w:rFonts w:ascii="Times New Roman" w:hAnsi="Times New Roman" w:eastAsia="宋体" w:cs="Times New Roman"/>
                    </w:rPr>
                  </w:pPr>
                  <w:r>
                    <w:rPr>
                      <w:rFonts w:ascii="Times New Roman" w:hAnsi="Times New Roman" w:eastAsia="宋体" w:cs="Times New Roman"/>
                    </w:rPr>
                    <w:t>评价结论</w:t>
                  </w:r>
                </w:p>
              </w:tc>
              <w:tc>
                <w:tcPr>
                  <w:tcW w:w="6595" w:type="dxa"/>
                  <w:gridSpan w:val="6"/>
                  <w:vAlign w:val="center"/>
                </w:tcPr>
                <w:p>
                  <w:pPr>
                    <w:snapToGrid w:val="0"/>
                    <w:jc w:val="center"/>
                    <w:rPr>
                      <w:rFonts w:ascii="Times New Roman" w:hAnsi="Times New Roman" w:eastAsia="宋体" w:cs="Times New Roman"/>
                    </w:rPr>
                  </w:pPr>
                </w:p>
              </w:tc>
              <w:tc>
                <w:tcPr>
                  <w:tcW w:w="992" w:type="dxa"/>
                </w:tcPr>
                <w:p>
                  <w:pPr>
                    <w:snapToGrid w:val="0"/>
                    <w:jc w:val="center"/>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8755" w:type="dxa"/>
                  <w:gridSpan w:val="8"/>
                  <w:vAlign w:val="center"/>
                </w:tcPr>
                <w:p>
                  <w:pPr>
                    <w:snapToGrid w:val="0"/>
                    <w:jc w:val="left"/>
                    <w:rPr>
                      <w:rFonts w:ascii="Times New Roman" w:hAnsi="Times New Roman" w:eastAsia="宋体" w:cs="Times New Roman"/>
                    </w:rPr>
                  </w:pPr>
                  <w:r>
                    <w:rPr>
                      <w:rFonts w:ascii="Times New Roman" w:hAnsi="Times New Roman" w:eastAsia="宋体" w:cs="Times New Roman"/>
                    </w:rPr>
                    <w:t>注1：“□”为勾选项，可“√”；“（）”为内容填写项；备注为其他补充内容。</w:t>
                  </w:r>
                </w:p>
                <w:p>
                  <w:pPr>
                    <w:snapToGrid w:val="0"/>
                    <w:jc w:val="left"/>
                    <w:rPr>
                      <w:rFonts w:ascii="Times New Roman" w:hAnsi="Times New Roman" w:eastAsia="宋体" w:cs="Times New Roman"/>
                    </w:rPr>
                  </w:pPr>
                  <w:r>
                    <w:rPr>
                      <w:rFonts w:ascii="Times New Roman" w:hAnsi="Times New Roman" w:eastAsia="宋体" w:cs="Times New Roman"/>
                    </w:rPr>
                    <w:t>注2：需要分别开展土壤环境影响评级工作的，分别填写自查表。</w:t>
                  </w:r>
                </w:p>
              </w:tc>
            </w:tr>
          </w:tbl>
          <w:p>
            <w:pPr>
              <w:adjustRightInd w:val="0"/>
              <w:snapToGrid w:val="0"/>
              <w:spacing w:before="120" w:beforeLines="50" w:line="360" w:lineRule="auto"/>
              <w:ind w:firstLine="480" w:firstLineChars="200"/>
              <w:rPr>
                <w:rFonts w:ascii="Times New Roman" w:hAnsi="Times New Roman" w:cs="Times New Roman"/>
                <w:snapToGrid w:val="0"/>
                <w:sz w:val="24"/>
              </w:rPr>
            </w:pPr>
          </w:p>
          <w:p>
            <w:pPr>
              <w:widowControl/>
              <w:spacing w:line="360" w:lineRule="auto"/>
              <w:ind w:firstLine="482" w:firstLineChars="200"/>
              <w:jc w:val="left"/>
              <w:rPr>
                <w:rFonts w:ascii="Times New Roman" w:hAnsi="Times New Roman" w:cs="Times New Roman"/>
                <w:b/>
                <w:sz w:val="24"/>
              </w:rPr>
            </w:pPr>
            <w:r>
              <w:rPr>
                <w:rFonts w:ascii="Times New Roman" w:hAnsi="Times New Roman" w:cs="Times New Roman"/>
                <w:b/>
                <w:sz w:val="24"/>
                <w:lang w:bidi="ar"/>
              </w:rPr>
              <w:t>6、地下水影响分析</w:t>
            </w:r>
          </w:p>
          <w:p>
            <w:pPr>
              <w:widowControl/>
              <w:snapToGrid w:val="0"/>
              <w:spacing w:line="360" w:lineRule="auto"/>
              <w:ind w:firstLine="480" w:firstLineChars="200"/>
              <w:jc w:val="left"/>
              <w:rPr>
                <w:rFonts w:ascii="Times New Roman" w:hAnsi="Times New Roman" w:cs="Times New Roman"/>
                <w:sz w:val="24"/>
              </w:rPr>
            </w:pPr>
            <w:r>
              <w:rPr>
                <w:rFonts w:ascii="Times New Roman" w:hAnsi="Times New Roman" w:cs="Times New Roman"/>
                <w:sz w:val="24"/>
                <w:lang w:bidi="ar"/>
              </w:rPr>
              <w:t>对照《环境影响评价技术导则地下水环境》（HJ610-2018）附录A地下水环境影响评价行业分类表，本项目行业类别为53、金属制品加工制造，属于地下水环境影响评价项目类别中的IV类项目，不开展地下水环境影响评价。</w:t>
            </w:r>
          </w:p>
          <w:p>
            <w:pPr>
              <w:spacing w:line="360" w:lineRule="auto"/>
              <w:ind w:firstLine="482" w:firstLineChars="200"/>
              <w:jc w:val="left"/>
              <w:rPr>
                <w:rFonts w:ascii="Times New Roman" w:hAnsi="Times New Roman" w:cs="Times New Roman"/>
                <w:b/>
                <w:sz w:val="24"/>
              </w:rPr>
            </w:pPr>
            <w:r>
              <w:rPr>
                <w:rFonts w:ascii="Times New Roman" w:hAnsi="Times New Roman" w:cs="Times New Roman"/>
                <w:b/>
                <w:sz w:val="24"/>
              </w:rPr>
              <w:t>7、环境监测计划</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（1）环境保护责任主体与环境影响考核点</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本项目环境保护责任主体为</w:t>
            </w:r>
            <w:r>
              <w:rPr>
                <w:rFonts w:ascii="Times New Roman" w:hAnsi="Times New Roman" w:cs="Times New Roman"/>
                <w:color w:val="000000"/>
                <w:sz w:val="24"/>
              </w:rPr>
              <w:t>太仓东泰精密机械有限公司</w:t>
            </w:r>
            <w:r>
              <w:rPr>
                <w:rFonts w:ascii="Times New Roman" w:hAnsi="Times New Roman" w:cs="Times New Roman"/>
                <w:sz w:val="24"/>
              </w:rPr>
              <w:t>。环境噪声影响考核点为项目建筑外1米，大气环境影响考核点为生产车间厂界处，水环境影响考核点为项目生活污水纳管口。</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（2）环境管理机构与职能</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环境管理机构主要职能是研究决策公司环保工作的重大事宜，负责制定公司环境保护规划和进行环境管理，监督企业环保设施的运行效果，配合环保部门对企业的环境目标考核。环境管理机构由企业法人代表主管，并有专人分管和负责环保工作。</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（3）环境管理的原则</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针对企业特点，遵循以下基本原则：</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①</w:t>
            </w:r>
            <w:r>
              <w:rPr>
                <w:rFonts w:ascii="Times New Roman" w:hAnsi="Times New Roman" w:cs="Times New Roman"/>
                <w:sz w:val="24"/>
              </w:rPr>
              <w:t>按“可持续发展战略”，正确处理发展生产和保护环境的关系，把经济和环境效益统一起来。</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②</w:t>
            </w:r>
            <w:r>
              <w:rPr>
                <w:rFonts w:ascii="Times New Roman" w:hAnsi="Times New Roman" w:cs="Times New Roman"/>
                <w:sz w:val="24"/>
              </w:rPr>
              <w:t>把环境管理作为企业管理的一个组成部分，并贯穿于生产全过程，将环保指标纳入生产计划指标，同时进行考核和检查。</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③</w:t>
            </w:r>
            <w:r>
              <w:rPr>
                <w:rFonts w:ascii="Times New Roman" w:hAnsi="Times New Roman" w:cs="Times New Roman"/>
                <w:sz w:val="24"/>
              </w:rPr>
              <w:t>加强全公司职工环境保护意识，专业管理与群众管理相结合。</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（4）环境管理内容</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①</w:t>
            </w:r>
            <w:r>
              <w:rPr>
                <w:rFonts w:ascii="Times New Roman" w:hAnsi="Times New Roman" w:cs="Times New Roman"/>
                <w:sz w:val="24"/>
              </w:rPr>
              <w:t>组织学习和贯彻执行国家及地方的环保方针、政策、法令、条例，进行环境保护教育，提高公司职工的环境保护意识。</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②</w:t>
            </w:r>
            <w:r>
              <w:rPr>
                <w:rFonts w:ascii="Times New Roman" w:hAnsi="Times New Roman" w:cs="Times New Roman"/>
                <w:sz w:val="24"/>
              </w:rPr>
              <w:t>编制并实施企业环境保护工作的长期规划及年度污染控制计划。</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③</w:t>
            </w:r>
            <w:r>
              <w:rPr>
                <w:rFonts w:ascii="Times New Roman" w:hAnsi="Times New Roman" w:cs="Times New Roman"/>
                <w:sz w:val="24"/>
              </w:rPr>
              <w:t>建立环境管理制度，包括机构的工作任务，档案及人员管理，环保设施的运行管理，排污监督和考核等方面内容。</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④</w:t>
            </w:r>
            <w:r>
              <w:rPr>
                <w:rFonts w:ascii="Times New Roman" w:hAnsi="Times New Roman" w:cs="Times New Roman"/>
                <w:sz w:val="24"/>
              </w:rPr>
              <w:t>负责委托进行项目环境影响评价、竣工验收及上报相关报告，落实并监督环保设施的“三同时”，并在生产过程中检查环保装置的运行和日常维护情况。</w:t>
            </w:r>
          </w:p>
          <w:p>
            <w:pPr>
              <w:snapToGrid w:val="0"/>
              <w:spacing w:line="360" w:lineRule="auto"/>
              <w:ind w:firstLine="480" w:firstLineChars="200"/>
              <w:rPr>
                <w:rFonts w:ascii="Times New Roman" w:hAnsi="Times New Roman" w:cs="Times New Roman"/>
                <w:sz w:val="24"/>
              </w:rPr>
            </w:pPr>
            <w:r>
              <w:rPr>
                <w:rFonts w:hint="eastAsia" w:ascii="宋体" w:hAnsi="宋体" w:eastAsia="宋体" w:cs="宋体"/>
                <w:sz w:val="24"/>
              </w:rPr>
              <w:t>⑤</w:t>
            </w:r>
            <w:r>
              <w:rPr>
                <w:rFonts w:ascii="Times New Roman" w:hAnsi="Times New Roman" w:cs="Times New Roman"/>
                <w:sz w:val="24"/>
              </w:rPr>
              <w:t>进行公司内部排污口和环保设施的日常管理和对相关岗位监督考核。</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（5）本项目投产后的监测计划建议见下表。</w:t>
            </w:r>
          </w:p>
          <w:p>
            <w:pPr>
              <w:pStyle w:val="16"/>
              <w:spacing w:after="0"/>
              <w:ind w:firstLine="482" w:firstLineChars="200"/>
              <w:jc w:val="center"/>
              <w:rPr>
                <w:b/>
                <w:bCs/>
                <w:sz w:val="24"/>
              </w:rPr>
            </w:pPr>
            <w:r>
              <w:rPr>
                <w:b/>
                <w:bCs/>
                <w:sz w:val="24"/>
              </w:rPr>
              <w:t>表7-18  本项目监测计划建议</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560"/>
              <w:gridCol w:w="1567"/>
              <w:gridCol w:w="1571"/>
              <w:gridCol w:w="3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88" w:type="dxa"/>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类别</w:t>
                  </w:r>
                </w:p>
              </w:tc>
              <w:tc>
                <w:tcPr>
                  <w:tcW w:w="1560" w:type="dxa"/>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监测布点</w:t>
                  </w:r>
                </w:p>
              </w:tc>
              <w:tc>
                <w:tcPr>
                  <w:tcW w:w="1567" w:type="dxa"/>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监测因子</w:t>
                  </w:r>
                </w:p>
              </w:tc>
              <w:tc>
                <w:tcPr>
                  <w:tcW w:w="1571" w:type="dxa"/>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监测频次</w:t>
                  </w:r>
                </w:p>
              </w:tc>
              <w:tc>
                <w:tcPr>
                  <w:tcW w:w="3201" w:type="dxa"/>
                  <w:vAlign w:val="center"/>
                </w:tcPr>
                <w:p>
                  <w:pPr>
                    <w:snapToGrid w:val="0"/>
                    <w:jc w:val="center"/>
                    <w:rPr>
                      <w:rFonts w:ascii="Times New Roman" w:hAnsi="Times New Roman" w:cs="Times New Roman"/>
                      <w:b/>
                      <w:bCs/>
                      <w:szCs w:val="21"/>
                    </w:rPr>
                  </w:pPr>
                  <w:r>
                    <w:rPr>
                      <w:rFonts w:ascii="Times New Roman" w:hAnsi="Times New Roman" w:cs="Times New Roman"/>
                      <w:b/>
                      <w:bCs/>
                      <w:szCs w:val="21"/>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88" w:type="dxa"/>
                  <w:vAlign w:val="center"/>
                </w:tcPr>
                <w:p>
                  <w:pPr>
                    <w:snapToGrid w:val="0"/>
                    <w:jc w:val="center"/>
                    <w:rPr>
                      <w:rFonts w:ascii="Times New Roman" w:hAnsi="Times New Roman" w:cs="Times New Roman"/>
                      <w:szCs w:val="21"/>
                    </w:rPr>
                  </w:pPr>
                  <w:r>
                    <w:rPr>
                      <w:rFonts w:ascii="Times New Roman" w:hAnsi="Times New Roman" w:cs="Times New Roman"/>
                      <w:szCs w:val="21"/>
                    </w:rPr>
                    <w:t>废气</w:t>
                  </w:r>
                </w:p>
              </w:tc>
              <w:tc>
                <w:tcPr>
                  <w:tcW w:w="1560" w:type="dxa"/>
                  <w:vAlign w:val="center"/>
                </w:tcPr>
                <w:p>
                  <w:pPr>
                    <w:snapToGrid w:val="0"/>
                    <w:jc w:val="center"/>
                    <w:rPr>
                      <w:rFonts w:ascii="Times New Roman" w:hAnsi="Times New Roman" w:cs="Times New Roman"/>
                      <w:szCs w:val="21"/>
                    </w:rPr>
                  </w:pPr>
                  <w:r>
                    <w:rPr>
                      <w:rFonts w:ascii="Times New Roman" w:hAnsi="Times New Roman" w:cs="Times New Roman"/>
                      <w:szCs w:val="21"/>
                    </w:rPr>
                    <w:t>无组织排放监控点</w:t>
                  </w:r>
                </w:p>
              </w:tc>
              <w:tc>
                <w:tcPr>
                  <w:tcW w:w="1567" w:type="dxa"/>
                  <w:vAlign w:val="center"/>
                </w:tcPr>
                <w:p>
                  <w:pPr>
                    <w:snapToGrid w:val="0"/>
                    <w:jc w:val="center"/>
                    <w:rPr>
                      <w:rFonts w:ascii="Times New Roman" w:hAnsi="Times New Roman" w:cs="Times New Roman"/>
                      <w:szCs w:val="21"/>
                    </w:rPr>
                  </w:pPr>
                  <w:r>
                    <w:rPr>
                      <w:rFonts w:ascii="Times New Roman" w:hAnsi="Times New Roman" w:cs="Times New Roman"/>
                      <w:szCs w:val="21"/>
                    </w:rPr>
                    <w:t>非甲烷总烃、颗粒物</w:t>
                  </w:r>
                </w:p>
              </w:tc>
              <w:tc>
                <w:tcPr>
                  <w:tcW w:w="1571" w:type="dxa"/>
                  <w:vAlign w:val="center"/>
                </w:tcPr>
                <w:p>
                  <w:pPr>
                    <w:snapToGrid w:val="0"/>
                    <w:jc w:val="center"/>
                    <w:rPr>
                      <w:rFonts w:ascii="Times New Roman" w:hAnsi="Times New Roman" w:cs="Times New Roman"/>
                      <w:szCs w:val="21"/>
                    </w:rPr>
                  </w:pPr>
                  <w:r>
                    <w:rPr>
                      <w:rFonts w:ascii="Times New Roman" w:hAnsi="Times New Roman" w:cs="Times New Roman"/>
                      <w:szCs w:val="21"/>
                    </w:rPr>
                    <w:t>1次/年</w:t>
                  </w:r>
                </w:p>
              </w:tc>
              <w:tc>
                <w:tcPr>
                  <w:tcW w:w="3201" w:type="dxa"/>
                  <w:vAlign w:val="center"/>
                </w:tcPr>
                <w:p>
                  <w:pPr>
                    <w:snapToGrid w:val="0"/>
                    <w:jc w:val="center"/>
                    <w:rPr>
                      <w:rFonts w:ascii="Times New Roman" w:hAnsi="Times New Roman" w:cs="Times New Roman"/>
                      <w:szCs w:val="21"/>
                    </w:rPr>
                  </w:pPr>
                  <w:r>
                    <w:rPr>
                      <w:rFonts w:ascii="Times New Roman" w:hAnsi="Times New Roman" w:cs="Times New Roman"/>
                      <w:szCs w:val="21"/>
                    </w:rPr>
                    <w:t>《大气污染物综合排放标准》（GB16297-1996）表2“无组织排放监控浓度限值”标准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88" w:type="dxa"/>
                  <w:vAlign w:val="center"/>
                </w:tcPr>
                <w:p>
                  <w:pPr>
                    <w:snapToGrid w:val="0"/>
                    <w:jc w:val="center"/>
                    <w:rPr>
                      <w:rFonts w:ascii="Times New Roman" w:hAnsi="Times New Roman" w:cs="Times New Roman"/>
                      <w:szCs w:val="21"/>
                    </w:rPr>
                  </w:pPr>
                  <w:r>
                    <w:rPr>
                      <w:rFonts w:ascii="Times New Roman" w:hAnsi="Times New Roman" w:cs="Times New Roman"/>
                      <w:szCs w:val="21"/>
                    </w:rPr>
                    <w:t>废水</w:t>
                  </w:r>
                </w:p>
              </w:tc>
              <w:tc>
                <w:tcPr>
                  <w:tcW w:w="1560" w:type="dxa"/>
                  <w:vAlign w:val="center"/>
                </w:tcPr>
                <w:p>
                  <w:pPr>
                    <w:snapToGrid w:val="0"/>
                    <w:jc w:val="center"/>
                    <w:rPr>
                      <w:rFonts w:ascii="Times New Roman" w:hAnsi="Times New Roman" w:cs="Times New Roman"/>
                      <w:szCs w:val="21"/>
                    </w:rPr>
                  </w:pPr>
                  <w:r>
                    <w:rPr>
                      <w:rFonts w:ascii="Times New Roman" w:hAnsi="Times New Roman" w:cs="Times New Roman"/>
                      <w:szCs w:val="21"/>
                    </w:rPr>
                    <w:t>厂区总排口</w:t>
                  </w:r>
                </w:p>
              </w:tc>
              <w:tc>
                <w:tcPr>
                  <w:tcW w:w="1567" w:type="dxa"/>
                  <w:vAlign w:val="center"/>
                </w:tcPr>
                <w:p>
                  <w:pPr>
                    <w:snapToGrid w:val="0"/>
                    <w:jc w:val="center"/>
                    <w:rPr>
                      <w:rFonts w:ascii="Times New Roman" w:hAnsi="Times New Roman" w:cs="Times New Roman"/>
                      <w:szCs w:val="21"/>
                    </w:rPr>
                  </w:pPr>
                  <w:r>
                    <w:rPr>
                      <w:rFonts w:ascii="Times New Roman" w:hAnsi="Times New Roman" w:cs="Times New Roman"/>
                      <w:szCs w:val="21"/>
                    </w:rPr>
                    <w:t>COD、TP、SS、NH</w:t>
                  </w:r>
                  <w:r>
                    <w:rPr>
                      <w:rFonts w:ascii="Times New Roman" w:hAnsi="Times New Roman" w:cs="Times New Roman"/>
                      <w:szCs w:val="21"/>
                      <w:vertAlign w:val="subscript"/>
                    </w:rPr>
                    <w:t>3</w:t>
                  </w:r>
                  <w:r>
                    <w:rPr>
                      <w:rFonts w:ascii="Times New Roman" w:hAnsi="Times New Roman" w:cs="Times New Roman"/>
                      <w:szCs w:val="21"/>
                    </w:rPr>
                    <w:t>-N、TN</w:t>
                  </w:r>
                </w:p>
              </w:tc>
              <w:tc>
                <w:tcPr>
                  <w:tcW w:w="1571" w:type="dxa"/>
                  <w:vAlign w:val="center"/>
                </w:tcPr>
                <w:p>
                  <w:pPr>
                    <w:snapToGrid w:val="0"/>
                    <w:jc w:val="center"/>
                    <w:rPr>
                      <w:rFonts w:ascii="Times New Roman" w:hAnsi="Times New Roman" w:cs="Times New Roman"/>
                      <w:szCs w:val="21"/>
                    </w:rPr>
                  </w:pPr>
                  <w:r>
                    <w:rPr>
                      <w:rFonts w:ascii="Times New Roman" w:hAnsi="Times New Roman" w:cs="Times New Roman"/>
                      <w:szCs w:val="21"/>
                    </w:rPr>
                    <w:t>1次/年</w:t>
                  </w:r>
                </w:p>
              </w:tc>
              <w:tc>
                <w:tcPr>
                  <w:tcW w:w="3201" w:type="dxa"/>
                  <w:vAlign w:val="center"/>
                </w:tcPr>
                <w:p>
                  <w:pPr>
                    <w:snapToGrid w:val="0"/>
                    <w:jc w:val="center"/>
                    <w:rPr>
                      <w:rFonts w:ascii="Times New Roman" w:hAnsi="Times New Roman" w:cs="Times New Roman"/>
                      <w:szCs w:val="21"/>
                    </w:rPr>
                  </w:pPr>
                  <w:r>
                    <w:rPr>
                      <w:rFonts w:ascii="Times New Roman" w:hAnsi="Times New Roman" w:cs="Times New Roman"/>
                      <w:szCs w:val="21"/>
                    </w:rPr>
                    <w:t>《污水排入城镇下水道水质标准》（GB/T31962-2015）B 等级标准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88" w:type="dxa"/>
                  <w:vAlign w:val="center"/>
                </w:tcPr>
                <w:p>
                  <w:pPr>
                    <w:snapToGrid w:val="0"/>
                    <w:jc w:val="center"/>
                    <w:rPr>
                      <w:rFonts w:ascii="Times New Roman" w:hAnsi="Times New Roman" w:cs="Times New Roman"/>
                      <w:szCs w:val="21"/>
                    </w:rPr>
                  </w:pPr>
                  <w:r>
                    <w:rPr>
                      <w:rFonts w:ascii="Times New Roman" w:hAnsi="Times New Roman" w:cs="Times New Roman"/>
                      <w:szCs w:val="21"/>
                    </w:rPr>
                    <w:t>噪声</w:t>
                  </w:r>
                </w:p>
              </w:tc>
              <w:tc>
                <w:tcPr>
                  <w:tcW w:w="1560" w:type="dxa"/>
                  <w:vAlign w:val="center"/>
                </w:tcPr>
                <w:p>
                  <w:pPr>
                    <w:snapToGrid w:val="0"/>
                    <w:jc w:val="center"/>
                    <w:rPr>
                      <w:rFonts w:ascii="Times New Roman" w:hAnsi="Times New Roman" w:cs="Times New Roman"/>
                      <w:szCs w:val="21"/>
                    </w:rPr>
                  </w:pPr>
                  <w:r>
                    <w:rPr>
                      <w:rFonts w:ascii="Times New Roman" w:hAnsi="Times New Roman" w:cs="Times New Roman"/>
                      <w:szCs w:val="21"/>
                    </w:rPr>
                    <w:t>厂房厂界外1m</w:t>
                  </w:r>
                </w:p>
              </w:tc>
              <w:tc>
                <w:tcPr>
                  <w:tcW w:w="1567" w:type="dxa"/>
                  <w:vAlign w:val="center"/>
                </w:tcPr>
                <w:p>
                  <w:pPr>
                    <w:snapToGrid w:val="0"/>
                    <w:jc w:val="center"/>
                    <w:rPr>
                      <w:rFonts w:ascii="Times New Roman" w:hAnsi="Times New Roman" w:cs="Times New Roman"/>
                      <w:szCs w:val="21"/>
                    </w:rPr>
                  </w:pPr>
                  <w:r>
                    <w:rPr>
                      <w:rFonts w:ascii="Times New Roman" w:hAnsi="Times New Roman" w:cs="Times New Roman"/>
                      <w:szCs w:val="21"/>
                    </w:rPr>
                    <w:t>Leq(A)</w:t>
                  </w:r>
                </w:p>
              </w:tc>
              <w:tc>
                <w:tcPr>
                  <w:tcW w:w="1571" w:type="dxa"/>
                  <w:vAlign w:val="center"/>
                </w:tcPr>
                <w:p>
                  <w:pPr>
                    <w:snapToGrid w:val="0"/>
                    <w:jc w:val="center"/>
                    <w:rPr>
                      <w:rFonts w:ascii="Times New Roman" w:hAnsi="Times New Roman" w:cs="Times New Roman"/>
                      <w:szCs w:val="21"/>
                    </w:rPr>
                  </w:pPr>
                  <w:r>
                    <w:rPr>
                      <w:rFonts w:ascii="Times New Roman" w:hAnsi="Times New Roman" w:cs="Times New Roman"/>
                      <w:szCs w:val="21"/>
                    </w:rPr>
                    <w:t>1次/季度</w:t>
                  </w:r>
                </w:p>
              </w:tc>
              <w:tc>
                <w:tcPr>
                  <w:tcW w:w="3201" w:type="dxa"/>
                  <w:vAlign w:val="center"/>
                </w:tcPr>
                <w:p>
                  <w:pPr>
                    <w:snapToGrid w:val="0"/>
                    <w:jc w:val="center"/>
                    <w:rPr>
                      <w:rFonts w:ascii="Times New Roman" w:hAnsi="Times New Roman" w:cs="Times New Roman"/>
                      <w:szCs w:val="21"/>
                    </w:rPr>
                  </w:pPr>
                  <w:r>
                    <w:rPr>
                      <w:rFonts w:ascii="Times New Roman" w:hAnsi="Times New Roman" w:cs="Times New Roman"/>
                      <w:szCs w:val="21"/>
                    </w:rPr>
                    <w:t>《工业企业厂界环境噪声排放准》(GB12348-2008)3 类标准</w:t>
                  </w:r>
                </w:p>
              </w:tc>
            </w:tr>
          </w:tbl>
          <w:p>
            <w:pPr>
              <w:adjustRightInd w:val="0"/>
              <w:snapToGrid w:val="0"/>
              <w:spacing w:before="120" w:beforeLines="50" w:line="360" w:lineRule="auto"/>
              <w:ind w:left="420" w:leftChars="200"/>
              <w:rPr>
                <w:rFonts w:ascii="Times New Roman" w:hAnsi="Times New Roman" w:cs="Times New Roman"/>
                <w:b/>
                <w:sz w:val="24"/>
              </w:rPr>
            </w:pPr>
            <w:r>
              <w:rPr>
                <w:rFonts w:ascii="Times New Roman" w:hAnsi="Times New Roman" w:cs="Times New Roman"/>
                <w:b/>
                <w:sz w:val="24"/>
              </w:rPr>
              <w:t>8、环境风险</w:t>
            </w:r>
          </w:p>
          <w:p>
            <w:pPr>
              <w:numPr>
                <w:ilvl w:val="0"/>
                <w:numId w:val="5"/>
              </w:numPr>
              <w:adjustRightInd w:val="0"/>
              <w:snapToGrid w:val="0"/>
              <w:spacing w:line="360" w:lineRule="auto"/>
              <w:rPr>
                <w:rFonts w:ascii="Times New Roman" w:hAnsi="Times New Roman" w:cs="Times New Roman"/>
                <w:sz w:val="24"/>
              </w:rPr>
            </w:pPr>
            <w:r>
              <w:rPr>
                <w:rFonts w:ascii="Times New Roman" w:hAnsi="Times New Roman" w:cs="Times New Roman"/>
                <w:sz w:val="24"/>
              </w:rPr>
              <w:t>危险物质数量与临界量比值（Q）</w:t>
            </w:r>
          </w:p>
          <w:p>
            <w:pPr>
              <w:snapToGrid w:val="0"/>
              <w:spacing w:line="360" w:lineRule="auto"/>
              <w:ind w:firstLine="480" w:firstLineChars="200"/>
              <w:rPr>
                <w:rFonts w:ascii="Times New Roman" w:hAnsi="Times New Roman" w:cs="Times New Roman"/>
                <w:kern w:val="0"/>
                <w:sz w:val="24"/>
              </w:rPr>
            </w:pPr>
            <w:r>
              <w:rPr>
                <w:rFonts w:ascii="Times New Roman" w:hAnsi="Times New Roman" w:cs="Times New Roman"/>
                <w:kern w:val="0"/>
                <w:sz w:val="24"/>
              </w:rPr>
              <w:t>当只涉及一种危险物质时，计算该物质的总量与其临界量比值，即为Q:</w:t>
            </w:r>
          </w:p>
          <w:p>
            <w:pPr>
              <w:snapToGrid w:val="0"/>
              <w:spacing w:line="360" w:lineRule="auto"/>
              <w:ind w:firstLine="480" w:firstLineChars="200"/>
              <w:rPr>
                <w:rFonts w:ascii="Times New Roman" w:hAnsi="Times New Roman" w:cs="Times New Roman"/>
                <w:kern w:val="0"/>
                <w:sz w:val="24"/>
              </w:rPr>
            </w:pPr>
            <w:r>
              <w:rPr>
                <w:rFonts w:ascii="Times New Roman" w:hAnsi="Times New Roman" w:cs="Times New Roman"/>
                <w:kern w:val="0"/>
                <w:sz w:val="24"/>
              </w:rPr>
              <w:t>当存在多种危险物质时，则按下式计算物质总量与其临界量比值（Q）</w:t>
            </w:r>
          </w:p>
          <w:p>
            <w:pPr>
              <w:pStyle w:val="16"/>
            </w:pPr>
            <w:r>
              <w:pict>
                <v:shape id="对象 312" o:spid="_x0000_s1041" o:spt="75" type="#_x0000_t75" style="position:absolute;left:0pt;margin-left:162.35pt;margin-top:6.5pt;height:37.25pt;width:140.3pt;z-index:251661312;mso-width-relative:page;mso-height-relative:page;" o:ole="t" filled="f" o:preferrelative="t" stroked="f" coordsize="21600,21600">
                  <v:path/>
                  <v:fill on="f" focussize="0,0"/>
                  <v:stroke on="f" joinstyle="miter"/>
                  <v:imagedata r:id="rId27" o:title=""/>
                  <o:lock v:ext="edit" aspectratio="t"/>
                </v:shape>
                <o:OLEObject Type="Embed" ProgID="Equation.3" ShapeID="对象 312" DrawAspect="Content" ObjectID="_1468075733" r:id="rId26">
                  <o:LockedField>false</o:LockedField>
                </o:OLEObject>
              </w:pict>
            </w:r>
          </w:p>
          <w:p>
            <w:pPr>
              <w:pStyle w:val="16"/>
            </w:pPr>
          </w:p>
          <w:p>
            <w:pPr>
              <w:rPr>
                <w:rFonts w:ascii="Times New Roman" w:hAnsi="Times New Roman" w:cs="Times New Roman"/>
              </w:rPr>
            </w:pPr>
          </w:p>
          <w:p>
            <w:pPr>
              <w:rPr>
                <w:rFonts w:ascii="Times New Roman" w:hAnsi="Times New Roman" w:cs="Times New Roman"/>
              </w:rPr>
            </w:pPr>
          </w:p>
          <w:p>
            <w:pPr>
              <w:snapToGrid w:val="0"/>
              <w:spacing w:line="360" w:lineRule="auto"/>
              <w:ind w:firstLine="480" w:firstLineChars="200"/>
              <w:rPr>
                <w:rFonts w:ascii="Times New Roman" w:hAnsi="Times New Roman" w:cs="Times New Roman"/>
                <w:kern w:val="0"/>
                <w:sz w:val="24"/>
              </w:rPr>
            </w:pPr>
            <w:r>
              <w:rPr>
                <w:rFonts w:ascii="Times New Roman" w:hAnsi="Times New Roman" w:cs="Times New Roman"/>
                <w:kern w:val="0"/>
                <w:sz w:val="24"/>
              </w:rPr>
              <w:t>式中：q1，q2……qn——每种危险物质的最大存在总量，t；</w:t>
            </w:r>
          </w:p>
          <w:p>
            <w:pPr>
              <w:snapToGrid w:val="0"/>
              <w:spacing w:line="360" w:lineRule="auto"/>
              <w:ind w:firstLine="1200" w:firstLineChars="500"/>
              <w:rPr>
                <w:rFonts w:ascii="Times New Roman" w:hAnsi="Times New Roman" w:cs="Times New Roman"/>
                <w:kern w:val="0"/>
                <w:sz w:val="24"/>
              </w:rPr>
            </w:pPr>
            <w:r>
              <w:rPr>
                <w:rFonts w:ascii="Times New Roman" w:hAnsi="Times New Roman" w:cs="Times New Roman"/>
                <w:kern w:val="0"/>
                <w:sz w:val="24"/>
              </w:rPr>
              <w:t>Q1，Q2……Qn——每种危险物质的临界量，t。</w:t>
            </w:r>
          </w:p>
          <w:p>
            <w:pPr>
              <w:snapToGrid w:val="0"/>
              <w:spacing w:line="360" w:lineRule="auto"/>
              <w:ind w:firstLine="1200" w:firstLineChars="500"/>
              <w:rPr>
                <w:rFonts w:ascii="Times New Roman" w:hAnsi="Times New Roman" w:cs="Times New Roman"/>
                <w:kern w:val="0"/>
                <w:sz w:val="24"/>
              </w:rPr>
            </w:pPr>
            <w:r>
              <w:rPr>
                <w:rFonts w:ascii="Times New Roman" w:hAnsi="Times New Roman" w:cs="Times New Roman"/>
                <w:kern w:val="0"/>
                <w:sz w:val="24"/>
              </w:rPr>
              <w:t>当Q＜1时，该项目环境风险潜势为</w:t>
            </w:r>
            <w:r>
              <w:rPr>
                <w:rFonts w:ascii="Times New Roman" w:hAnsi="Times New Roman" w:cs="Times New Roman"/>
                <w:kern w:val="0"/>
                <w:sz w:val="24"/>
              </w:rPr>
              <w:fldChar w:fldCharType="begin"/>
            </w:r>
            <w:r>
              <w:rPr>
                <w:rFonts w:ascii="Times New Roman" w:hAnsi="Times New Roman" w:cs="Times New Roman"/>
                <w:kern w:val="0"/>
                <w:sz w:val="24"/>
              </w:rPr>
              <w:instrText xml:space="preserve"> = 1 \* ROMAN </w:instrText>
            </w:r>
            <w:r>
              <w:rPr>
                <w:rFonts w:ascii="Times New Roman" w:hAnsi="Times New Roman" w:cs="Times New Roman"/>
                <w:kern w:val="0"/>
                <w:sz w:val="24"/>
              </w:rPr>
              <w:fldChar w:fldCharType="separate"/>
            </w:r>
            <w:r>
              <w:rPr>
                <w:rFonts w:ascii="Times New Roman" w:hAnsi="Times New Roman" w:cs="Times New Roman"/>
                <w:kern w:val="0"/>
                <w:sz w:val="24"/>
              </w:rPr>
              <w:t>I</w:t>
            </w:r>
            <w:r>
              <w:rPr>
                <w:rFonts w:ascii="Times New Roman" w:hAnsi="Times New Roman" w:cs="Times New Roman"/>
                <w:kern w:val="0"/>
                <w:sz w:val="24"/>
              </w:rPr>
              <w:fldChar w:fldCharType="end"/>
            </w:r>
            <w:r>
              <w:rPr>
                <w:rFonts w:ascii="Times New Roman" w:hAnsi="Times New Roman" w:cs="Times New Roman"/>
                <w:kern w:val="0"/>
                <w:sz w:val="24"/>
              </w:rPr>
              <w:t>。</w:t>
            </w:r>
          </w:p>
          <w:p>
            <w:pPr>
              <w:snapToGrid w:val="0"/>
              <w:spacing w:line="360" w:lineRule="auto"/>
              <w:ind w:firstLine="1200" w:firstLineChars="500"/>
              <w:rPr>
                <w:rFonts w:ascii="Times New Roman" w:hAnsi="Times New Roman" w:cs="Times New Roman"/>
                <w:kern w:val="0"/>
                <w:sz w:val="24"/>
              </w:rPr>
            </w:pPr>
            <w:r>
              <w:rPr>
                <w:rFonts w:ascii="Times New Roman" w:hAnsi="Times New Roman" w:cs="Times New Roman"/>
                <w:kern w:val="0"/>
                <w:sz w:val="24"/>
              </w:rPr>
              <w:t>当Q≥1时，将Q值划分为：</w:t>
            </w:r>
            <w:r>
              <w:rPr>
                <w:rFonts w:ascii="Times New Roman" w:hAnsi="Times New Roman" w:cs="Times New Roman"/>
                <w:kern w:val="0"/>
                <w:sz w:val="24"/>
              </w:rPr>
              <w:fldChar w:fldCharType="begin"/>
            </w:r>
            <w:r>
              <w:rPr>
                <w:rFonts w:ascii="Times New Roman" w:hAnsi="Times New Roman" w:cs="Times New Roman"/>
                <w:kern w:val="0"/>
                <w:sz w:val="24"/>
              </w:rPr>
              <w:instrText xml:space="preserve"> = 1 \* GB3 </w:instrText>
            </w:r>
            <w:r>
              <w:rPr>
                <w:rFonts w:ascii="Times New Roman" w:hAnsi="Times New Roman" w:cs="Times New Roman"/>
                <w:kern w:val="0"/>
                <w:sz w:val="24"/>
              </w:rPr>
              <w:fldChar w:fldCharType="separate"/>
            </w:r>
            <w:r>
              <w:rPr>
                <w:rFonts w:hint="eastAsia" w:ascii="宋体" w:hAnsi="宋体" w:eastAsia="宋体" w:cs="宋体"/>
                <w:kern w:val="0"/>
                <w:sz w:val="24"/>
              </w:rPr>
              <w:t>①</w:t>
            </w:r>
            <w:r>
              <w:rPr>
                <w:rFonts w:ascii="Times New Roman" w:hAnsi="Times New Roman" w:cs="Times New Roman"/>
                <w:kern w:val="0"/>
                <w:sz w:val="24"/>
              </w:rPr>
              <w:fldChar w:fldCharType="end"/>
            </w:r>
            <w:r>
              <w:rPr>
                <w:rFonts w:ascii="Times New Roman" w:hAnsi="Times New Roman" w:cs="Times New Roman"/>
                <w:kern w:val="0"/>
                <w:sz w:val="24"/>
              </w:rPr>
              <w:t>1≤Q＜10；</w:t>
            </w:r>
            <w:r>
              <w:rPr>
                <w:rFonts w:ascii="Times New Roman" w:hAnsi="Times New Roman" w:cs="Times New Roman"/>
                <w:kern w:val="0"/>
                <w:sz w:val="24"/>
              </w:rPr>
              <w:fldChar w:fldCharType="begin"/>
            </w:r>
            <w:r>
              <w:rPr>
                <w:rFonts w:ascii="Times New Roman" w:hAnsi="Times New Roman" w:cs="Times New Roman"/>
                <w:kern w:val="0"/>
                <w:sz w:val="24"/>
              </w:rPr>
              <w:instrText xml:space="preserve"> = 2 \* GB3 </w:instrText>
            </w:r>
            <w:r>
              <w:rPr>
                <w:rFonts w:ascii="Times New Roman" w:hAnsi="Times New Roman" w:cs="Times New Roman"/>
                <w:kern w:val="0"/>
                <w:sz w:val="24"/>
              </w:rPr>
              <w:fldChar w:fldCharType="separate"/>
            </w:r>
            <w:r>
              <w:rPr>
                <w:rFonts w:hint="eastAsia" w:ascii="宋体" w:hAnsi="宋体" w:eastAsia="宋体" w:cs="宋体"/>
                <w:kern w:val="0"/>
                <w:sz w:val="24"/>
              </w:rPr>
              <w:t>②</w:t>
            </w:r>
            <w:r>
              <w:rPr>
                <w:rFonts w:ascii="Times New Roman" w:hAnsi="Times New Roman" w:cs="Times New Roman"/>
                <w:kern w:val="0"/>
                <w:sz w:val="24"/>
              </w:rPr>
              <w:fldChar w:fldCharType="end"/>
            </w:r>
            <w:r>
              <w:rPr>
                <w:rFonts w:ascii="Times New Roman" w:hAnsi="Times New Roman" w:cs="Times New Roman"/>
                <w:kern w:val="0"/>
                <w:sz w:val="24"/>
              </w:rPr>
              <w:t>10≤Q＜100；</w:t>
            </w:r>
            <w:r>
              <w:rPr>
                <w:rFonts w:ascii="Times New Roman" w:hAnsi="Times New Roman" w:cs="Times New Roman"/>
                <w:kern w:val="0"/>
                <w:sz w:val="24"/>
              </w:rPr>
              <w:fldChar w:fldCharType="begin"/>
            </w:r>
            <w:r>
              <w:rPr>
                <w:rFonts w:ascii="Times New Roman" w:hAnsi="Times New Roman" w:cs="Times New Roman"/>
                <w:kern w:val="0"/>
                <w:sz w:val="24"/>
              </w:rPr>
              <w:instrText xml:space="preserve"> = 3 \* GB3 </w:instrText>
            </w:r>
            <w:r>
              <w:rPr>
                <w:rFonts w:ascii="Times New Roman" w:hAnsi="Times New Roman" w:cs="Times New Roman"/>
                <w:kern w:val="0"/>
                <w:sz w:val="24"/>
              </w:rPr>
              <w:fldChar w:fldCharType="separate"/>
            </w:r>
            <w:r>
              <w:rPr>
                <w:rFonts w:hint="eastAsia" w:ascii="宋体" w:hAnsi="宋体" w:eastAsia="宋体" w:cs="宋体"/>
                <w:kern w:val="0"/>
                <w:sz w:val="24"/>
              </w:rPr>
              <w:t>③</w:t>
            </w:r>
            <w:r>
              <w:rPr>
                <w:rFonts w:ascii="Times New Roman" w:hAnsi="Times New Roman" w:cs="Times New Roman"/>
                <w:kern w:val="0"/>
                <w:sz w:val="24"/>
              </w:rPr>
              <w:fldChar w:fldCharType="end"/>
            </w:r>
            <w:r>
              <w:rPr>
                <w:rFonts w:ascii="Times New Roman" w:hAnsi="Times New Roman" w:cs="Times New Roman"/>
                <w:kern w:val="0"/>
                <w:sz w:val="24"/>
              </w:rPr>
              <w:t>Q≥100。</w:t>
            </w:r>
          </w:p>
          <w:p>
            <w:pPr>
              <w:snapToGrid w:val="0"/>
              <w:spacing w:line="360" w:lineRule="auto"/>
              <w:ind w:firstLine="480" w:firstLineChars="200"/>
              <w:rPr>
                <w:rFonts w:ascii="Times New Roman" w:hAnsi="Times New Roman" w:cs="Times New Roman"/>
                <w:kern w:val="0"/>
                <w:sz w:val="24"/>
              </w:rPr>
            </w:pPr>
            <w:r>
              <w:rPr>
                <w:rFonts w:ascii="Times New Roman" w:hAnsi="Times New Roman" w:cs="Times New Roman"/>
                <w:kern w:val="0"/>
                <w:sz w:val="24"/>
              </w:rPr>
              <w:t>根据《建设项目环境风险评价技术导则》（HJ/T169-2018代替HJ/T169-2004）附录B重点关注的危险物质及临界量，本项目需辨识原辅材料的最大存在量及辨识情况见表7-17。</w:t>
            </w:r>
          </w:p>
          <w:p>
            <w:pPr>
              <w:ind w:firstLine="482"/>
              <w:jc w:val="center"/>
              <w:rPr>
                <w:rFonts w:ascii="Times New Roman" w:hAnsi="Times New Roman" w:cs="Times New Roman"/>
                <w:b/>
                <w:sz w:val="24"/>
              </w:rPr>
            </w:pPr>
            <w:r>
              <w:rPr>
                <w:rFonts w:ascii="Times New Roman" w:hAnsi="Times New Roman" w:cs="Times New Roman"/>
                <w:b/>
                <w:sz w:val="24"/>
              </w:rPr>
              <w:t>表7-19  危险化学品的最大存在量和辨识情况</w:t>
            </w:r>
          </w:p>
          <w:tbl>
            <w:tblPr>
              <w:tblStyle w:val="36"/>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0" w:type="dxa"/>
                <w:bottom w:w="0" w:type="dxa"/>
                <w:right w:w="0" w:type="dxa"/>
              </w:tblCellMar>
            </w:tblPr>
            <w:tblGrid>
              <w:gridCol w:w="798"/>
              <w:gridCol w:w="1214"/>
              <w:gridCol w:w="2332"/>
              <w:gridCol w:w="2722"/>
              <w:gridCol w:w="1742"/>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2" w:hRule="atLeast"/>
                <w:jc w:val="center"/>
              </w:trPr>
              <w:tc>
                <w:tcPr>
                  <w:tcW w:w="798" w:type="dxa"/>
                  <w:vAlign w:val="center"/>
                </w:tcPr>
                <w:p>
                  <w:pPr>
                    <w:adjustRightInd w:val="0"/>
                    <w:snapToGrid w:val="0"/>
                    <w:jc w:val="center"/>
                    <w:textAlignment w:val="baseline"/>
                    <w:rPr>
                      <w:rFonts w:ascii="Times New Roman" w:hAnsi="Times New Roman" w:cs="Times New Roman"/>
                      <w:b/>
                      <w:bCs/>
                      <w:snapToGrid w:val="0"/>
                      <w:kern w:val="0"/>
                    </w:rPr>
                  </w:pPr>
                  <w:r>
                    <w:rPr>
                      <w:rFonts w:ascii="Times New Roman" w:hAnsi="Times New Roman" w:cs="Times New Roman"/>
                      <w:b/>
                      <w:bCs/>
                      <w:snapToGrid w:val="0"/>
                      <w:kern w:val="0"/>
                    </w:rPr>
                    <w:t>序号</w:t>
                  </w:r>
                </w:p>
              </w:tc>
              <w:tc>
                <w:tcPr>
                  <w:tcW w:w="1214" w:type="dxa"/>
                  <w:vAlign w:val="center"/>
                </w:tcPr>
                <w:p>
                  <w:pPr>
                    <w:adjustRightInd w:val="0"/>
                    <w:snapToGrid w:val="0"/>
                    <w:jc w:val="center"/>
                    <w:textAlignment w:val="baseline"/>
                    <w:rPr>
                      <w:rFonts w:ascii="Times New Roman" w:hAnsi="Times New Roman" w:cs="Times New Roman"/>
                      <w:b/>
                      <w:bCs/>
                      <w:snapToGrid w:val="0"/>
                      <w:kern w:val="0"/>
                    </w:rPr>
                  </w:pPr>
                  <w:r>
                    <w:rPr>
                      <w:rFonts w:ascii="Times New Roman" w:hAnsi="Times New Roman" w:cs="Times New Roman"/>
                      <w:b/>
                      <w:bCs/>
                      <w:snapToGrid w:val="0"/>
                      <w:kern w:val="0"/>
                    </w:rPr>
                    <w:t>名称</w:t>
                  </w:r>
                </w:p>
              </w:tc>
              <w:tc>
                <w:tcPr>
                  <w:tcW w:w="2332" w:type="dxa"/>
                  <w:vAlign w:val="center"/>
                </w:tcPr>
                <w:p>
                  <w:pPr>
                    <w:adjustRightInd w:val="0"/>
                    <w:snapToGrid w:val="0"/>
                    <w:jc w:val="center"/>
                    <w:textAlignment w:val="baseline"/>
                    <w:rPr>
                      <w:rFonts w:ascii="Times New Roman" w:hAnsi="Times New Roman" w:cs="Times New Roman"/>
                      <w:b/>
                      <w:bCs/>
                      <w:snapToGrid w:val="0"/>
                      <w:kern w:val="0"/>
                    </w:rPr>
                  </w:pPr>
                  <w:r>
                    <w:rPr>
                      <w:rFonts w:ascii="Times New Roman" w:hAnsi="Times New Roman" w:cs="Times New Roman"/>
                      <w:b/>
                      <w:bCs/>
                      <w:snapToGrid w:val="0"/>
                      <w:kern w:val="0"/>
                    </w:rPr>
                    <w:t>最大储存量（t）</w:t>
                  </w:r>
                </w:p>
              </w:tc>
              <w:tc>
                <w:tcPr>
                  <w:tcW w:w="2722" w:type="dxa"/>
                  <w:vAlign w:val="center"/>
                </w:tcPr>
                <w:p>
                  <w:pPr>
                    <w:adjustRightInd w:val="0"/>
                    <w:snapToGrid w:val="0"/>
                    <w:jc w:val="center"/>
                    <w:textAlignment w:val="baseline"/>
                    <w:rPr>
                      <w:rFonts w:ascii="Times New Roman" w:hAnsi="Times New Roman" w:cs="Times New Roman"/>
                      <w:b/>
                      <w:bCs/>
                      <w:snapToGrid w:val="0"/>
                      <w:kern w:val="0"/>
                    </w:rPr>
                  </w:pPr>
                  <w:r>
                    <w:rPr>
                      <w:rFonts w:ascii="Times New Roman" w:hAnsi="Times New Roman" w:cs="Times New Roman"/>
                      <w:b/>
                      <w:bCs/>
                      <w:snapToGrid w:val="0"/>
                      <w:kern w:val="0"/>
                    </w:rPr>
                    <w:t>临界量Q (t)</w:t>
                  </w:r>
                </w:p>
              </w:tc>
              <w:tc>
                <w:tcPr>
                  <w:tcW w:w="1742" w:type="dxa"/>
                  <w:vAlign w:val="center"/>
                </w:tcPr>
                <w:p>
                  <w:pPr>
                    <w:adjustRightInd w:val="0"/>
                    <w:snapToGrid w:val="0"/>
                    <w:jc w:val="center"/>
                    <w:textAlignment w:val="baseline"/>
                    <w:rPr>
                      <w:rFonts w:ascii="Times New Roman" w:hAnsi="Times New Roman" w:cs="Times New Roman"/>
                      <w:b/>
                      <w:bCs/>
                      <w:snapToGrid w:val="0"/>
                      <w:kern w:val="0"/>
                    </w:rPr>
                  </w:pPr>
                  <w:r>
                    <w:rPr>
                      <w:rFonts w:ascii="Times New Roman" w:hAnsi="Times New Roman" w:cs="Times New Roman"/>
                      <w:b/>
                      <w:bCs/>
                      <w:snapToGrid w:val="0"/>
                      <w:kern w:val="0"/>
                    </w:rPr>
                    <w:t>q/Q</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2" w:hRule="atLeast"/>
                <w:jc w:val="center"/>
              </w:trPr>
              <w:tc>
                <w:tcPr>
                  <w:tcW w:w="798"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1</w:t>
                  </w:r>
                </w:p>
              </w:tc>
              <w:tc>
                <w:tcPr>
                  <w:tcW w:w="1214"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切削液</w:t>
                  </w:r>
                </w:p>
              </w:tc>
              <w:tc>
                <w:tcPr>
                  <w:tcW w:w="2332"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0.202</w:t>
                  </w:r>
                </w:p>
              </w:tc>
              <w:tc>
                <w:tcPr>
                  <w:tcW w:w="2722"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50</w:t>
                  </w:r>
                </w:p>
              </w:tc>
              <w:tc>
                <w:tcPr>
                  <w:tcW w:w="1742"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0.004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2" w:hRule="atLeast"/>
                <w:jc w:val="center"/>
              </w:trPr>
              <w:tc>
                <w:tcPr>
                  <w:tcW w:w="798"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2</w:t>
                  </w:r>
                </w:p>
              </w:tc>
              <w:tc>
                <w:tcPr>
                  <w:tcW w:w="1214"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废切削液</w:t>
                  </w:r>
                </w:p>
              </w:tc>
              <w:tc>
                <w:tcPr>
                  <w:tcW w:w="2332"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0.1</w:t>
                  </w:r>
                </w:p>
              </w:tc>
              <w:tc>
                <w:tcPr>
                  <w:tcW w:w="2722"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10</w:t>
                  </w:r>
                </w:p>
              </w:tc>
              <w:tc>
                <w:tcPr>
                  <w:tcW w:w="1742"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0.001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6" w:hRule="atLeast"/>
                <w:jc w:val="center"/>
              </w:trPr>
              <w:tc>
                <w:tcPr>
                  <w:tcW w:w="7066" w:type="dxa"/>
                  <w:gridSpan w:val="4"/>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∑qn/Qn＜1时，该项目环境风险潜势为I</w:t>
                  </w:r>
                </w:p>
              </w:tc>
              <w:tc>
                <w:tcPr>
                  <w:tcW w:w="1742" w:type="dxa"/>
                  <w:vAlign w:val="center"/>
                </w:tcPr>
                <w:p>
                  <w:pPr>
                    <w:adjustRightInd w:val="0"/>
                    <w:snapToGrid w:val="0"/>
                    <w:jc w:val="center"/>
                    <w:textAlignment w:val="baseline"/>
                    <w:rPr>
                      <w:rFonts w:ascii="Times New Roman" w:hAnsi="Times New Roman" w:cs="Times New Roman"/>
                      <w:snapToGrid w:val="0"/>
                      <w:kern w:val="0"/>
                    </w:rPr>
                  </w:pPr>
                  <w:r>
                    <w:rPr>
                      <w:rFonts w:ascii="Times New Roman" w:hAnsi="Times New Roman" w:cs="Times New Roman"/>
                      <w:snapToGrid w:val="0"/>
                      <w:kern w:val="0"/>
                    </w:rPr>
                    <w:t>0.005</w:t>
                  </w:r>
                </w:p>
              </w:tc>
            </w:tr>
          </w:tbl>
          <w:p>
            <w:pPr>
              <w:snapToGrid w:val="0"/>
              <w:spacing w:line="360" w:lineRule="auto"/>
              <w:ind w:firstLine="480" w:firstLineChars="200"/>
              <w:rPr>
                <w:rFonts w:ascii="Times New Roman" w:hAnsi="Times New Roman" w:cs="Times New Roman"/>
                <w:kern w:val="0"/>
                <w:sz w:val="24"/>
              </w:rPr>
            </w:pPr>
            <w:r>
              <w:rPr>
                <w:rFonts w:ascii="Times New Roman" w:hAnsi="Times New Roman" w:cs="Times New Roman"/>
                <w:kern w:val="0"/>
                <w:sz w:val="24"/>
              </w:rPr>
              <w:t>由表5-7可以看出，∑qn/Qn=0.00551&lt;1，该项目环境风险潜势为I，评价工作等级为简单分析。</w:t>
            </w:r>
          </w:p>
          <w:p>
            <w:pPr>
              <w:numPr>
                <w:ilvl w:val="0"/>
                <w:numId w:val="5"/>
              </w:numPr>
              <w:spacing w:line="360" w:lineRule="auto"/>
              <w:jc w:val="left"/>
              <w:rPr>
                <w:rFonts w:ascii="Times New Roman" w:hAnsi="Times New Roman" w:cs="Times New Roman"/>
                <w:sz w:val="24"/>
              </w:rPr>
            </w:pPr>
            <w:r>
              <w:rPr>
                <w:rFonts w:ascii="Times New Roman" w:hAnsi="Times New Roman" w:cs="Times New Roman"/>
                <w:sz w:val="24"/>
              </w:rPr>
              <w:t>环境风险识别：</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火灾、爆炸： 生产过程中使用的或者仓库中储存的可燃物质切削液、废切削液，蒸气与空气可形成爆炸性混合物。遇明火、高热能引起燃烧爆炸。因此，在储存和使用过程中一旦发生以上物质的意外泄漏，遇到激发能源，有发生火灾、爆炸的危险。一些物质燃烧放出有毒、窒息性气体，如一氧化碳、二氧化碳，也可引起中毒或窒息事故，危害较大。</w:t>
            </w:r>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泄露：项目储存有切削液、废切削液，存在一定的泄露风险。厂区内发生液体泄漏事故一般都有围堰或者车间内沟收集，不会发生流入清净下水 管道或者外部环境的情况。因此，发生泄漏的危害性和可能性较小。</w:t>
            </w:r>
          </w:p>
          <w:p>
            <w:pPr>
              <w:pStyle w:val="16"/>
              <w:spacing w:after="0" w:line="360" w:lineRule="auto"/>
              <w:ind w:firstLine="480" w:firstLineChars="200"/>
              <w:jc w:val="left"/>
              <w:rPr>
                <w:sz w:val="24"/>
                <w:szCs w:val="22"/>
              </w:rPr>
            </w:pPr>
            <w:r>
              <w:rPr>
                <w:sz w:val="24"/>
                <w:szCs w:val="22"/>
              </w:rPr>
              <w:t>（3）非正常工况厂内非正常工况包括操作不当，设备损坏，管道泄漏等等。公司定期会对车间设备，公共设施等进行维护，发生大型的非正常工况的可能性较小，一般或小型的非正常工况 可以引起一些物料损失，会对操作人员产生危害，引起中毒、触电、事故等情况，危害性较大。</w:t>
            </w:r>
          </w:p>
          <w:p>
            <w:pPr>
              <w:pStyle w:val="16"/>
              <w:spacing w:after="0" w:line="360" w:lineRule="auto"/>
              <w:ind w:firstLine="480" w:firstLineChars="200"/>
              <w:jc w:val="left"/>
              <w:rPr>
                <w:sz w:val="24"/>
                <w:szCs w:val="22"/>
              </w:rPr>
            </w:pPr>
            <w:r>
              <w:rPr>
                <w:sz w:val="24"/>
                <w:szCs w:val="22"/>
              </w:rPr>
              <w:t>项目建成后运营后，最大可信事故为原辅材料包装桶发生泄露事故，发生泄漏事 故能引起火灾和爆炸等一系列重大事故。经验表明：设备失灵和人为的操作失误是引发泄漏的主要原因。因此选用较好的设备、精心设计、认真的管理和操作人员的责任心是减少泄漏事故的关键。</w:t>
            </w:r>
          </w:p>
          <w:p>
            <w:pPr>
              <w:spacing w:line="320" w:lineRule="exact"/>
              <w:jc w:val="center"/>
              <w:rPr>
                <w:rFonts w:ascii="Times New Roman" w:hAnsi="Times New Roman" w:cs="Times New Roman"/>
                <w:b/>
                <w:bCs/>
                <w:sz w:val="24"/>
              </w:rPr>
            </w:pPr>
            <w:r>
              <w:rPr>
                <w:rFonts w:ascii="Times New Roman" w:hAnsi="Times New Roman" w:cs="Times New Roman"/>
                <w:b/>
                <w:bCs/>
                <w:sz w:val="24"/>
              </w:rPr>
              <w:t>表 7-20  建设项目环境风险简单分析内容表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3"/>
              <w:gridCol w:w="1396"/>
              <w:gridCol w:w="1845"/>
              <w:gridCol w:w="1754"/>
              <w:gridCol w:w="978"/>
              <w:gridCol w:w="14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5" w:hRule="atLeast"/>
                <w:jc w:val="center"/>
              </w:trPr>
              <w:tc>
                <w:tcPr>
                  <w:tcW w:w="1493" w:type="dxa"/>
                  <w:vAlign w:val="center"/>
                </w:tcPr>
                <w:p>
                  <w:pPr>
                    <w:spacing w:line="320" w:lineRule="exact"/>
                    <w:jc w:val="center"/>
                    <w:rPr>
                      <w:rFonts w:ascii="Times New Roman" w:hAnsi="Times New Roman" w:cs="Times New Roman"/>
                      <w:b/>
                      <w:bCs/>
                      <w:kern w:val="0"/>
                      <w:szCs w:val="21"/>
                    </w:rPr>
                  </w:pPr>
                  <w:r>
                    <w:rPr>
                      <w:rFonts w:ascii="Times New Roman" w:hAnsi="Times New Roman" w:cs="Times New Roman"/>
                      <w:b/>
                      <w:bCs/>
                      <w:kern w:val="0"/>
                      <w:szCs w:val="21"/>
                    </w:rPr>
                    <w:t>建设项目名称</w:t>
                  </w:r>
                </w:p>
              </w:tc>
              <w:tc>
                <w:tcPr>
                  <w:tcW w:w="7467" w:type="dxa"/>
                  <w:gridSpan w:val="5"/>
                  <w:vAlign w:val="center"/>
                </w:tcPr>
                <w:p>
                  <w:pPr>
                    <w:spacing w:line="320" w:lineRule="exact"/>
                    <w:jc w:val="center"/>
                    <w:rPr>
                      <w:rFonts w:ascii="Times New Roman" w:hAnsi="Times New Roman" w:cs="Times New Roman"/>
                      <w:b/>
                      <w:bCs/>
                      <w:kern w:val="0"/>
                      <w:szCs w:val="21"/>
                    </w:rPr>
                  </w:pPr>
                  <w:r>
                    <w:rPr>
                      <w:rFonts w:ascii="Times New Roman" w:hAnsi="Times New Roman" w:cs="Times New Roman"/>
                      <w:b/>
                      <w:bCs/>
                      <w:kern w:val="0"/>
                      <w:szCs w:val="21"/>
                    </w:rPr>
                    <w:t>太仓东泰精密机械有限公司新建升降床等专用设备项目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493"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建设地点</w:t>
                  </w:r>
                </w:p>
              </w:tc>
              <w:tc>
                <w:tcPr>
                  <w:tcW w:w="1396"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（江苏）省</w:t>
                  </w:r>
                </w:p>
              </w:tc>
              <w:tc>
                <w:tcPr>
                  <w:tcW w:w="1845"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（太仓）市</w:t>
                  </w:r>
                </w:p>
              </w:tc>
              <w:tc>
                <w:tcPr>
                  <w:tcW w:w="1754"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（高新）区</w:t>
                  </w:r>
                </w:p>
              </w:tc>
              <w:tc>
                <w:tcPr>
                  <w:tcW w:w="978"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（）县</w:t>
                  </w:r>
                </w:p>
              </w:tc>
              <w:tc>
                <w:tcPr>
                  <w:tcW w:w="1494"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493"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地理坐标</w:t>
                  </w:r>
                </w:p>
              </w:tc>
              <w:tc>
                <w:tcPr>
                  <w:tcW w:w="1396"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经度</w:t>
                  </w:r>
                </w:p>
              </w:tc>
              <w:tc>
                <w:tcPr>
                  <w:tcW w:w="1845"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东 经120.950591</w:t>
                  </w:r>
                </w:p>
              </w:tc>
              <w:tc>
                <w:tcPr>
                  <w:tcW w:w="1754"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纬度</w:t>
                  </w:r>
                </w:p>
              </w:tc>
              <w:tc>
                <w:tcPr>
                  <w:tcW w:w="2472" w:type="dxa"/>
                  <w:gridSpan w:val="2"/>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北纬31.457779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1" w:hRule="atLeast"/>
                <w:jc w:val="center"/>
              </w:trPr>
              <w:tc>
                <w:tcPr>
                  <w:tcW w:w="1493"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主要危险物质及分布</w:t>
                  </w:r>
                </w:p>
              </w:tc>
              <w:tc>
                <w:tcPr>
                  <w:tcW w:w="7467" w:type="dxa"/>
                  <w:gridSpan w:val="5"/>
                  <w:vAlign w:val="center"/>
                </w:tcPr>
                <w:p>
                  <w:pPr>
                    <w:spacing w:line="320" w:lineRule="exact"/>
                    <w:jc w:val="left"/>
                    <w:rPr>
                      <w:rFonts w:ascii="Times New Roman" w:hAnsi="Times New Roman" w:cs="Times New Roman"/>
                      <w:kern w:val="0"/>
                      <w:szCs w:val="21"/>
                    </w:rPr>
                  </w:pPr>
                  <w:r>
                    <w:rPr>
                      <w:rFonts w:ascii="Times New Roman" w:hAnsi="Times New Roman" w:cs="Times New Roman"/>
                      <w:kern w:val="0"/>
                      <w:szCs w:val="21"/>
                    </w:rPr>
                    <w:t>主要危险物质：切削液、废切削液； 分布：仓库、危废暂存点。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7" w:hRule="atLeast"/>
                <w:jc w:val="center"/>
              </w:trPr>
              <w:tc>
                <w:tcPr>
                  <w:tcW w:w="1493"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环境影响途径及 危害后果（大气、 地表水、地下水 等）</w:t>
                  </w:r>
                </w:p>
              </w:tc>
              <w:tc>
                <w:tcPr>
                  <w:tcW w:w="7467" w:type="dxa"/>
                  <w:gridSpan w:val="5"/>
                  <w:vAlign w:val="center"/>
                </w:tcPr>
                <w:p>
                  <w:pPr>
                    <w:spacing w:line="320" w:lineRule="exact"/>
                    <w:jc w:val="left"/>
                    <w:rPr>
                      <w:rFonts w:ascii="Times New Roman" w:hAnsi="Times New Roman" w:cs="Times New Roman"/>
                      <w:kern w:val="0"/>
                      <w:szCs w:val="21"/>
                    </w:rPr>
                  </w:pPr>
                  <w:r>
                    <w:rPr>
                      <w:rFonts w:ascii="Times New Roman" w:hAnsi="Times New Roman" w:cs="Times New Roman"/>
                      <w:kern w:val="0"/>
                      <w:szCs w:val="21"/>
                    </w:rPr>
                    <w:t>1.切削液、废切削液等火灾爆炸次生环境污染事故，主要为火灾次生伴生的污染物对环境的影响；</w:t>
                  </w:r>
                </w:p>
                <w:p>
                  <w:pPr>
                    <w:spacing w:line="320" w:lineRule="exact"/>
                    <w:jc w:val="left"/>
                    <w:rPr>
                      <w:rFonts w:ascii="Times New Roman" w:hAnsi="Times New Roman" w:cs="Times New Roman"/>
                      <w:kern w:val="0"/>
                      <w:szCs w:val="21"/>
                    </w:rPr>
                  </w:pPr>
                  <w:r>
                    <w:rPr>
                      <w:rFonts w:ascii="Times New Roman" w:hAnsi="Times New Roman" w:cs="Times New Roman"/>
                      <w:kern w:val="0"/>
                      <w:szCs w:val="21"/>
                    </w:rPr>
                    <w:t xml:space="preserve">2.切削液、废切削液等危险化学品包装容器或生产装置发生破损，导致其泄漏有害物质挥发可能引发地表水和地下水环境污染事故；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4" w:hRule="atLeast"/>
                <w:jc w:val="center"/>
              </w:trPr>
              <w:tc>
                <w:tcPr>
                  <w:tcW w:w="1493" w:type="dxa"/>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风险防范措施要求</w:t>
                  </w:r>
                </w:p>
              </w:tc>
              <w:tc>
                <w:tcPr>
                  <w:tcW w:w="7467" w:type="dxa"/>
                  <w:gridSpan w:val="5"/>
                  <w:vAlign w:val="center"/>
                </w:tcPr>
                <w:p>
                  <w:pPr>
                    <w:spacing w:line="320" w:lineRule="exact"/>
                    <w:jc w:val="left"/>
                    <w:rPr>
                      <w:rFonts w:ascii="Times New Roman" w:hAnsi="Times New Roman" w:cs="Times New Roman"/>
                    </w:rPr>
                  </w:pPr>
                  <w:r>
                    <w:rPr>
                      <w:rFonts w:ascii="Times New Roman" w:hAnsi="Times New Roman" w:cs="Times New Roman"/>
                    </w:rPr>
                    <w:t>1.泄漏物料设置围堰进行收集，收集的危险化学品按危险废物的处理方法委托有资质单位处理。仓库、危废暂存点地面应做防腐、防渗措施。若发生渗漏，可通过导流沟进行收集，不会对外环境造成影响。不和其它废水混合排放，不进入雨水管网，不直接进入水体；</w:t>
                  </w:r>
                </w:p>
                <w:p>
                  <w:pPr>
                    <w:spacing w:line="320" w:lineRule="exact"/>
                    <w:jc w:val="left"/>
                    <w:rPr>
                      <w:rFonts w:ascii="Times New Roman" w:hAnsi="Times New Roman" w:cs="Times New Roman"/>
                    </w:rPr>
                  </w:pPr>
                  <w:r>
                    <w:rPr>
                      <w:rFonts w:ascii="Times New Roman" w:hAnsi="Times New Roman" w:cs="Times New Roman"/>
                    </w:rPr>
                    <w:t>2.加强各类生产设备的检修及保养，提高管理人员素质，并设置机器事故应急措施及管理制度，确保设备长期处于良好状态，使设备达到预期的处理效果；</w:t>
                  </w:r>
                </w:p>
                <w:p>
                  <w:pPr>
                    <w:spacing w:line="320" w:lineRule="exact"/>
                    <w:jc w:val="left"/>
                    <w:rPr>
                      <w:rFonts w:ascii="Times New Roman" w:hAnsi="Times New Roman" w:cs="Times New Roman"/>
                    </w:rPr>
                  </w:pPr>
                  <w:r>
                    <w:rPr>
                      <w:rFonts w:ascii="Times New Roman" w:hAnsi="Times New Roman" w:cs="Times New Roman"/>
                    </w:rPr>
                    <w:t>3.设置事故排水系统，事故状态下事故废水进入应急事故池暂存。</w:t>
                  </w:r>
                </w:p>
                <w:p>
                  <w:pPr>
                    <w:pStyle w:val="16"/>
                  </w:pPr>
                  <w:r>
                    <w:rPr>
                      <w:kern w:val="0"/>
                      <w:szCs w:val="21"/>
                    </w:rPr>
                    <w:t>4.切削液、导轨油、废切削液、废导轨油存放在托盘里。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3" w:hRule="atLeast"/>
                <w:jc w:val="center"/>
              </w:trPr>
              <w:tc>
                <w:tcPr>
                  <w:tcW w:w="8960" w:type="dxa"/>
                  <w:gridSpan w:val="6"/>
                  <w:vAlign w:val="center"/>
                </w:tcPr>
                <w:p>
                  <w:pPr>
                    <w:spacing w:line="360" w:lineRule="auto"/>
                    <w:jc w:val="left"/>
                    <w:rPr>
                      <w:rFonts w:ascii="Times New Roman" w:hAnsi="Times New Roman" w:cs="Times New Roman"/>
                      <w:szCs w:val="21"/>
                    </w:rPr>
                  </w:pPr>
                  <w:r>
                    <w:rPr>
                      <w:rFonts w:ascii="Times New Roman" w:hAnsi="Times New Roman" w:cs="Times New Roman"/>
                      <w:szCs w:val="21"/>
                    </w:rPr>
                    <w:t>填表说明（列出项目相关信息及评价说明）： 根据环境风险判定结果，建设项目环境风险潜势为Ⅰ，环境风险较小，太仓东泰精密机械有限公司新建升降床等专用设备项目建设单位通过强化对有毒有害物质、危险化学品、废气的工程控制措施，同时制定有针对性的应急计划，建设项目环境风险可控。</w:t>
                  </w:r>
                </w:p>
              </w:tc>
            </w:tr>
          </w:tbl>
          <w:p>
            <w:pPr>
              <w:pStyle w:val="19"/>
              <w:jc w:val="center"/>
              <w:rPr>
                <w:rFonts w:ascii="Times New Roman" w:hAnsi="Times New Roman" w:cs="Times New Roman"/>
                <w:b/>
                <w:sz w:val="24"/>
              </w:rPr>
            </w:pPr>
            <w:r>
              <w:rPr>
                <w:rFonts w:ascii="Times New Roman" w:hAnsi="Times New Roman" w:cs="Times New Roman"/>
                <w:b/>
                <w:sz w:val="24"/>
              </w:rPr>
              <w:t>表7-21 环境风险评价自查表</w:t>
            </w:r>
          </w:p>
          <w:tbl>
            <w:tblPr>
              <w:tblStyle w:val="3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201"/>
              <w:gridCol w:w="1188"/>
              <w:gridCol w:w="282"/>
              <w:gridCol w:w="1277"/>
              <w:gridCol w:w="311"/>
              <w:gridCol w:w="621"/>
              <w:gridCol w:w="626"/>
              <w:gridCol w:w="81"/>
              <w:gridCol w:w="787"/>
              <w:gridCol w:w="695"/>
              <w:gridCol w:w="171"/>
              <w:gridCol w:w="1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Align w:val="center"/>
                </w:tcPr>
                <w:p>
                  <w:pPr>
                    <w:jc w:val="center"/>
                    <w:rPr>
                      <w:rFonts w:ascii="Times New Roman" w:hAnsi="Times New Roman" w:cs="Times New Roman"/>
                      <w:szCs w:val="21"/>
                    </w:rPr>
                  </w:pPr>
                  <w:r>
                    <w:rPr>
                      <w:rFonts w:ascii="Times New Roman" w:hAnsi="Times New Roman" w:cs="Times New Roman"/>
                      <w:szCs w:val="21"/>
                    </w:rPr>
                    <w:t>工作内容</w:t>
                  </w:r>
                </w:p>
              </w:tc>
              <w:tc>
                <w:tcPr>
                  <w:tcW w:w="4112" w:type="pct"/>
                  <w:gridSpan w:val="11"/>
                  <w:vAlign w:val="center"/>
                </w:tcPr>
                <w:p>
                  <w:pPr>
                    <w:jc w:val="center"/>
                    <w:rPr>
                      <w:rFonts w:ascii="Times New Roman" w:hAnsi="Times New Roman" w:cs="Times New Roman"/>
                      <w:szCs w:val="21"/>
                    </w:rPr>
                  </w:pPr>
                  <w:r>
                    <w:rPr>
                      <w:rFonts w:ascii="Times New Roman" w:hAnsi="Times New Roman" w:cs="Times New Roman"/>
                      <w:szCs w:val="21"/>
                    </w:rPr>
                    <w:t>完成情况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restart"/>
                  <w:vAlign w:val="center"/>
                </w:tcPr>
                <w:p>
                  <w:pPr>
                    <w:jc w:val="center"/>
                    <w:rPr>
                      <w:rFonts w:ascii="Times New Roman" w:hAnsi="Times New Roman" w:cs="Times New Roman"/>
                      <w:szCs w:val="21"/>
                    </w:rPr>
                  </w:pPr>
                  <w:r>
                    <w:rPr>
                      <w:rFonts w:ascii="Times New Roman" w:hAnsi="Times New Roman" w:cs="Times New Roman"/>
                      <w:szCs w:val="21"/>
                    </w:rPr>
                    <w:t>风险调查</w:t>
                  </w:r>
                </w:p>
              </w:tc>
              <w:tc>
                <w:tcPr>
                  <w:tcW w:w="663" w:type="pct"/>
                  <w:vMerge w:val="restart"/>
                  <w:vAlign w:val="center"/>
                </w:tcPr>
                <w:p>
                  <w:pPr>
                    <w:jc w:val="center"/>
                    <w:rPr>
                      <w:rFonts w:ascii="Times New Roman" w:hAnsi="Times New Roman" w:cs="Times New Roman"/>
                      <w:szCs w:val="21"/>
                    </w:rPr>
                  </w:pPr>
                  <w:r>
                    <w:rPr>
                      <w:rFonts w:ascii="Times New Roman" w:hAnsi="Times New Roman" w:cs="Times New Roman"/>
                      <w:szCs w:val="21"/>
                    </w:rPr>
                    <w:t>危险物质</w:t>
                  </w:r>
                </w:p>
              </w:tc>
              <w:tc>
                <w:tcPr>
                  <w:tcW w:w="657" w:type="pct"/>
                  <w:vAlign w:val="center"/>
                </w:tcPr>
                <w:p>
                  <w:pPr>
                    <w:jc w:val="center"/>
                    <w:rPr>
                      <w:rFonts w:ascii="Times New Roman" w:hAnsi="Times New Roman" w:cs="Times New Roman"/>
                      <w:szCs w:val="21"/>
                    </w:rPr>
                  </w:pPr>
                  <w:r>
                    <w:rPr>
                      <w:rFonts w:ascii="Times New Roman" w:hAnsi="Times New Roman" w:cs="Times New Roman"/>
                      <w:szCs w:val="21"/>
                    </w:rPr>
                    <w:t>名称</w:t>
                  </w:r>
                </w:p>
              </w:tc>
              <w:tc>
                <w:tcPr>
                  <w:tcW w:w="863" w:type="pct"/>
                  <w:gridSpan w:val="2"/>
                  <w:vAlign w:val="center"/>
                </w:tcPr>
                <w:p>
                  <w:pPr>
                    <w:jc w:val="center"/>
                    <w:rPr>
                      <w:rFonts w:ascii="Times New Roman" w:hAnsi="Times New Roman" w:cs="Times New Roman"/>
                      <w:kern w:val="0"/>
                      <w:szCs w:val="21"/>
                    </w:rPr>
                  </w:pPr>
                  <w:r>
                    <w:rPr>
                      <w:rFonts w:ascii="Times New Roman" w:hAnsi="Times New Roman" w:cs="Times New Roman"/>
                      <w:kern w:val="0"/>
                      <w:szCs w:val="21"/>
                    </w:rPr>
                    <w:t>切削液</w:t>
                  </w:r>
                </w:p>
              </w:tc>
              <w:tc>
                <w:tcPr>
                  <w:tcW w:w="863" w:type="pct"/>
                  <w:gridSpan w:val="3"/>
                  <w:vAlign w:val="center"/>
                </w:tcPr>
                <w:p>
                  <w:pPr>
                    <w:jc w:val="center"/>
                    <w:rPr>
                      <w:rFonts w:ascii="Times New Roman" w:hAnsi="Times New Roman" w:cs="Times New Roman"/>
                      <w:kern w:val="0"/>
                      <w:szCs w:val="21"/>
                    </w:rPr>
                  </w:pPr>
                  <w:r>
                    <w:rPr>
                      <w:rFonts w:ascii="Times New Roman" w:hAnsi="Times New Roman" w:cs="Times New Roman"/>
                      <w:kern w:val="0"/>
                      <w:szCs w:val="21"/>
                    </w:rPr>
                    <w:t>废切削液</w:t>
                  </w:r>
                </w:p>
              </w:tc>
              <w:tc>
                <w:tcPr>
                  <w:tcW w:w="864" w:type="pct"/>
                  <w:gridSpan w:val="3"/>
                  <w:vAlign w:val="center"/>
                </w:tcPr>
                <w:p>
                  <w:pPr>
                    <w:jc w:val="center"/>
                    <w:rPr>
                      <w:rFonts w:ascii="Times New Roman" w:hAnsi="Times New Roman" w:cs="Times New Roman"/>
                      <w:kern w:val="0"/>
                      <w:szCs w:val="21"/>
                    </w:rPr>
                  </w:pPr>
                </w:p>
              </w:tc>
              <w:tc>
                <w:tcPr>
                  <w:tcW w:w="864" w:type="pct"/>
                  <w:gridSpan w:val="2"/>
                  <w:vAlign w:val="center"/>
                </w:tcPr>
                <w:p>
                  <w:pPr>
                    <w:jc w:val="center"/>
                    <w:rPr>
                      <w:rFonts w:ascii="Times New Roman" w:hAnsi="Times New Roman" w:cs="Times New Roman"/>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continue"/>
                  <w:vAlign w:val="center"/>
                </w:tcPr>
                <w:p>
                  <w:pPr>
                    <w:jc w:val="center"/>
                    <w:rPr>
                      <w:rFonts w:ascii="Times New Roman" w:hAnsi="Times New Roman" w:cs="Times New Roman"/>
                      <w:szCs w:val="21"/>
                    </w:rPr>
                  </w:pPr>
                </w:p>
              </w:tc>
              <w:tc>
                <w:tcPr>
                  <w:tcW w:w="657" w:type="pct"/>
                  <w:vAlign w:val="center"/>
                </w:tcPr>
                <w:p>
                  <w:pPr>
                    <w:jc w:val="center"/>
                    <w:rPr>
                      <w:rFonts w:ascii="Times New Roman" w:hAnsi="Times New Roman" w:cs="Times New Roman"/>
                      <w:szCs w:val="21"/>
                    </w:rPr>
                  </w:pPr>
                  <w:r>
                    <w:rPr>
                      <w:rFonts w:ascii="Times New Roman" w:hAnsi="Times New Roman" w:cs="Times New Roman"/>
                      <w:szCs w:val="21"/>
                    </w:rPr>
                    <w:t>存在总量/t</w:t>
                  </w:r>
                </w:p>
              </w:tc>
              <w:tc>
                <w:tcPr>
                  <w:tcW w:w="863" w:type="pct"/>
                  <w:gridSpan w:val="2"/>
                  <w:vAlign w:val="center"/>
                </w:tcPr>
                <w:p>
                  <w:pPr>
                    <w:jc w:val="center"/>
                    <w:rPr>
                      <w:rFonts w:ascii="Times New Roman" w:hAnsi="Times New Roman" w:cs="Times New Roman"/>
                      <w:szCs w:val="21"/>
                    </w:rPr>
                  </w:pPr>
                  <w:r>
                    <w:rPr>
                      <w:rFonts w:ascii="Times New Roman" w:hAnsi="Times New Roman" w:cs="Times New Roman"/>
                      <w:szCs w:val="21"/>
                    </w:rPr>
                    <w:t>0.202</w:t>
                  </w:r>
                </w:p>
              </w:tc>
              <w:tc>
                <w:tcPr>
                  <w:tcW w:w="863" w:type="pct"/>
                  <w:gridSpan w:val="3"/>
                  <w:vAlign w:val="center"/>
                </w:tcPr>
                <w:p>
                  <w:pPr>
                    <w:jc w:val="center"/>
                    <w:rPr>
                      <w:rFonts w:ascii="Times New Roman" w:hAnsi="Times New Roman" w:cs="Times New Roman"/>
                      <w:szCs w:val="21"/>
                    </w:rPr>
                  </w:pPr>
                  <w:r>
                    <w:rPr>
                      <w:rFonts w:ascii="Times New Roman" w:hAnsi="Times New Roman" w:cs="Times New Roman"/>
                      <w:szCs w:val="21"/>
                    </w:rPr>
                    <w:t>0.1</w:t>
                  </w:r>
                </w:p>
              </w:tc>
              <w:tc>
                <w:tcPr>
                  <w:tcW w:w="864" w:type="pct"/>
                  <w:gridSpan w:val="3"/>
                  <w:vAlign w:val="center"/>
                </w:tcPr>
                <w:p>
                  <w:pPr>
                    <w:jc w:val="center"/>
                    <w:rPr>
                      <w:rFonts w:ascii="Times New Roman" w:hAnsi="Times New Roman" w:cs="Times New Roman"/>
                      <w:szCs w:val="21"/>
                    </w:rPr>
                  </w:pPr>
                </w:p>
              </w:tc>
              <w:tc>
                <w:tcPr>
                  <w:tcW w:w="864" w:type="pct"/>
                  <w:gridSpan w:val="2"/>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restart"/>
                  <w:vAlign w:val="center"/>
                </w:tcPr>
                <w:p>
                  <w:pPr>
                    <w:jc w:val="center"/>
                    <w:rPr>
                      <w:rFonts w:ascii="Times New Roman" w:hAnsi="Times New Roman" w:cs="Times New Roman"/>
                      <w:szCs w:val="21"/>
                    </w:rPr>
                  </w:pPr>
                  <w:r>
                    <w:rPr>
                      <w:rFonts w:ascii="Times New Roman" w:hAnsi="Times New Roman" w:cs="Times New Roman"/>
                      <w:szCs w:val="21"/>
                    </w:rPr>
                    <w:t>环境敏感性</w:t>
                  </w:r>
                </w:p>
              </w:tc>
              <w:tc>
                <w:tcPr>
                  <w:tcW w:w="657" w:type="pct"/>
                  <w:vMerge w:val="restart"/>
                  <w:vAlign w:val="center"/>
                </w:tcPr>
                <w:p>
                  <w:pPr>
                    <w:jc w:val="center"/>
                    <w:rPr>
                      <w:rFonts w:ascii="Times New Roman" w:hAnsi="Times New Roman" w:cs="Times New Roman"/>
                      <w:szCs w:val="21"/>
                    </w:rPr>
                  </w:pPr>
                  <w:r>
                    <w:rPr>
                      <w:rFonts w:ascii="Times New Roman" w:hAnsi="Times New Roman" w:cs="Times New Roman"/>
                      <w:szCs w:val="21"/>
                    </w:rPr>
                    <w:t>大气</w:t>
                  </w:r>
                </w:p>
              </w:tc>
              <w:tc>
                <w:tcPr>
                  <w:tcW w:w="1770" w:type="pct"/>
                  <w:gridSpan w:val="6"/>
                  <w:vAlign w:val="center"/>
                </w:tcPr>
                <w:p>
                  <w:pPr>
                    <w:jc w:val="center"/>
                    <w:rPr>
                      <w:rFonts w:ascii="Times New Roman" w:hAnsi="Times New Roman" w:cs="Times New Roman"/>
                      <w:szCs w:val="21"/>
                      <w:u w:val="single"/>
                    </w:rPr>
                  </w:pPr>
                  <w:r>
                    <w:rPr>
                      <w:rFonts w:ascii="Times New Roman" w:hAnsi="Times New Roman" w:cs="Times New Roman"/>
                      <w:szCs w:val="21"/>
                    </w:rPr>
                    <w:t>500m范围内人口数</w:t>
                  </w:r>
                  <w:r>
                    <w:rPr>
                      <w:rFonts w:ascii="Times New Roman" w:hAnsi="Times New Roman" w:cs="Times New Roman"/>
                      <w:szCs w:val="21"/>
                      <w:u w:val="single"/>
                    </w:rPr>
                    <w:t xml:space="preserve">  大于1000  </w:t>
                  </w:r>
                  <w:r>
                    <w:rPr>
                      <w:rFonts w:ascii="Times New Roman" w:hAnsi="Times New Roman" w:cs="Times New Roman"/>
                      <w:szCs w:val="21"/>
                    </w:rPr>
                    <w:t>人</w:t>
                  </w:r>
                </w:p>
              </w:tc>
              <w:tc>
                <w:tcPr>
                  <w:tcW w:w="1685" w:type="pct"/>
                  <w:gridSpan w:val="4"/>
                  <w:vAlign w:val="center"/>
                </w:tcPr>
                <w:p>
                  <w:pPr>
                    <w:jc w:val="center"/>
                    <w:rPr>
                      <w:rFonts w:ascii="Times New Roman" w:hAnsi="Times New Roman" w:cs="Times New Roman"/>
                      <w:szCs w:val="21"/>
                    </w:rPr>
                  </w:pPr>
                  <w:r>
                    <w:rPr>
                      <w:rFonts w:ascii="Times New Roman" w:hAnsi="Times New Roman" w:cs="Times New Roman"/>
                      <w:szCs w:val="21"/>
                    </w:rPr>
                    <w:t>5km范围内人口数大于</w:t>
                  </w:r>
                  <w:r>
                    <w:rPr>
                      <w:rFonts w:ascii="Times New Roman" w:hAnsi="Times New Roman" w:cs="Times New Roman"/>
                      <w:szCs w:val="21"/>
                      <w:u w:val="single"/>
                    </w:rPr>
                    <w:t xml:space="preserve">5万    </w:t>
                  </w:r>
                  <w:r>
                    <w:rPr>
                      <w:rFonts w:ascii="Times New Roman" w:hAnsi="Times New Roman" w:cs="Times New Roman"/>
                      <w:szCs w:val="21"/>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continue"/>
                  <w:vAlign w:val="center"/>
                </w:tcPr>
                <w:p>
                  <w:pPr>
                    <w:jc w:val="center"/>
                    <w:rPr>
                      <w:rFonts w:ascii="Times New Roman" w:hAnsi="Times New Roman" w:cs="Times New Roman"/>
                      <w:szCs w:val="21"/>
                    </w:rPr>
                  </w:pPr>
                </w:p>
              </w:tc>
              <w:tc>
                <w:tcPr>
                  <w:tcW w:w="657" w:type="pct"/>
                  <w:vMerge w:val="continue"/>
                  <w:vAlign w:val="center"/>
                </w:tcPr>
                <w:p>
                  <w:pPr>
                    <w:jc w:val="center"/>
                    <w:rPr>
                      <w:rFonts w:ascii="Times New Roman" w:hAnsi="Times New Roman" w:cs="Times New Roman"/>
                      <w:szCs w:val="21"/>
                    </w:rPr>
                  </w:pPr>
                </w:p>
              </w:tc>
              <w:tc>
                <w:tcPr>
                  <w:tcW w:w="2683" w:type="pct"/>
                  <w:gridSpan w:val="9"/>
                  <w:vAlign w:val="center"/>
                </w:tcPr>
                <w:p>
                  <w:pPr>
                    <w:jc w:val="center"/>
                    <w:rPr>
                      <w:rFonts w:ascii="Times New Roman" w:hAnsi="Times New Roman" w:cs="Times New Roman"/>
                      <w:szCs w:val="21"/>
                    </w:rPr>
                  </w:pPr>
                  <w:r>
                    <w:rPr>
                      <w:rFonts w:ascii="Times New Roman" w:hAnsi="Times New Roman" w:cs="Times New Roman"/>
                      <w:szCs w:val="21"/>
                    </w:rPr>
                    <w:t>每公里管段周边200m范围内人口数（最大）</w:t>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u w:val="single"/>
                    </w:rPr>
                    <w:t xml:space="preserve">      </w:t>
                  </w:r>
                  <w:r>
                    <w:rPr>
                      <w:rFonts w:ascii="Times New Roman" w:hAnsi="Times New Roman" w:cs="Times New Roman"/>
                      <w:szCs w:val="21"/>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continue"/>
                  <w:vAlign w:val="center"/>
                </w:tcPr>
                <w:p>
                  <w:pPr>
                    <w:jc w:val="center"/>
                    <w:rPr>
                      <w:rFonts w:ascii="Times New Roman" w:hAnsi="Times New Roman" w:cs="Times New Roman"/>
                      <w:szCs w:val="21"/>
                    </w:rPr>
                  </w:pPr>
                </w:p>
              </w:tc>
              <w:tc>
                <w:tcPr>
                  <w:tcW w:w="657" w:type="pct"/>
                  <w:vMerge w:val="restart"/>
                  <w:vAlign w:val="center"/>
                </w:tcPr>
                <w:p>
                  <w:pPr>
                    <w:jc w:val="center"/>
                    <w:rPr>
                      <w:rFonts w:ascii="Times New Roman" w:hAnsi="Times New Roman" w:cs="Times New Roman"/>
                      <w:szCs w:val="21"/>
                    </w:rPr>
                  </w:pPr>
                  <w:r>
                    <w:rPr>
                      <w:rFonts w:ascii="Times New Roman" w:hAnsi="Times New Roman" w:cs="Times New Roman"/>
                      <w:szCs w:val="21"/>
                    </w:rPr>
                    <w:t>地表水</w:t>
                  </w: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地表水功能敏感性</w:t>
                  </w:r>
                </w:p>
              </w:tc>
              <w:tc>
                <w:tcPr>
                  <w:tcW w:w="735" w:type="pct"/>
                  <w:gridSpan w:val="3"/>
                  <w:vAlign w:val="center"/>
                </w:tcPr>
                <w:p>
                  <w:pPr>
                    <w:jc w:val="center"/>
                    <w:rPr>
                      <w:rFonts w:ascii="Times New Roman" w:hAnsi="Times New Roman" w:cs="Times New Roman"/>
                      <w:szCs w:val="21"/>
                    </w:rPr>
                  </w:pPr>
                  <w:r>
                    <w:rPr>
                      <w:rFonts w:ascii="Times New Roman" w:hAnsi="Times New Roman" w:cs="Times New Roman"/>
                      <w:szCs w:val="21"/>
                    </w:rPr>
                    <w:t>F1</w:t>
                  </w:r>
                  <w:r>
                    <w:rPr>
                      <w:rFonts w:ascii="Times New Roman" w:hAnsi="Times New Roman" w:cs="Times New Roman"/>
                      <w:szCs w:val="21"/>
                    </w:rPr>
                    <w:sym w:font="Wingdings" w:char="00A8"/>
                  </w:r>
                </w:p>
              </w:tc>
              <w:tc>
                <w:tcPr>
                  <w:tcW w:w="914" w:type="pct"/>
                  <w:gridSpan w:val="3"/>
                  <w:vAlign w:val="center"/>
                </w:tcPr>
                <w:p>
                  <w:pPr>
                    <w:jc w:val="center"/>
                    <w:rPr>
                      <w:rFonts w:ascii="Times New Roman" w:hAnsi="Times New Roman" w:cs="Times New Roman"/>
                      <w:szCs w:val="21"/>
                    </w:rPr>
                  </w:pPr>
                  <w:r>
                    <w:rPr>
                      <w:rFonts w:ascii="Times New Roman" w:hAnsi="Times New Roman" w:cs="Times New Roman"/>
                      <w:szCs w:val="21"/>
                    </w:rPr>
                    <w:t>F2</w:t>
                  </w:r>
                  <w:r>
                    <w:rPr>
                      <w:rFonts w:ascii="Times New Roman" w:hAnsi="Times New Roman" w:cs="Times New Roman"/>
                      <w:szCs w:val="21"/>
                    </w:rPr>
                    <w:sym w:font="Wingdings" w:char="00A8"/>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rPr>
                    <w:t>F3</w:t>
                  </w:r>
                  <w:r>
                    <w:rPr>
                      <w:rFonts w:ascii="Times New Roman" w:hAnsi="Times New Roman" w:cs="Times New Roman"/>
                      <w:szCs w:val="21"/>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continue"/>
                  <w:vAlign w:val="center"/>
                </w:tcPr>
                <w:p>
                  <w:pPr>
                    <w:jc w:val="center"/>
                    <w:rPr>
                      <w:rFonts w:ascii="Times New Roman" w:hAnsi="Times New Roman" w:cs="Times New Roman"/>
                      <w:szCs w:val="21"/>
                    </w:rPr>
                  </w:pPr>
                </w:p>
              </w:tc>
              <w:tc>
                <w:tcPr>
                  <w:tcW w:w="657" w:type="pct"/>
                  <w:vMerge w:val="continue"/>
                  <w:vAlign w:val="center"/>
                </w:tcPr>
                <w:p>
                  <w:pPr>
                    <w:jc w:val="center"/>
                    <w:rPr>
                      <w:rFonts w:ascii="Times New Roman" w:hAnsi="Times New Roman" w:cs="Times New Roman"/>
                      <w:szCs w:val="21"/>
                    </w:rPr>
                  </w:pP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环境敏感目标分级</w:t>
                  </w:r>
                </w:p>
              </w:tc>
              <w:tc>
                <w:tcPr>
                  <w:tcW w:w="735" w:type="pct"/>
                  <w:gridSpan w:val="3"/>
                  <w:vAlign w:val="center"/>
                </w:tcPr>
                <w:p>
                  <w:pPr>
                    <w:jc w:val="center"/>
                    <w:rPr>
                      <w:rFonts w:ascii="Times New Roman" w:hAnsi="Times New Roman" w:cs="Times New Roman"/>
                      <w:szCs w:val="21"/>
                    </w:rPr>
                  </w:pPr>
                  <w:r>
                    <w:rPr>
                      <w:rFonts w:ascii="Times New Roman" w:hAnsi="Times New Roman" w:cs="Times New Roman"/>
                      <w:szCs w:val="21"/>
                    </w:rPr>
                    <w:t>S1</w:t>
                  </w:r>
                  <w:r>
                    <w:rPr>
                      <w:rFonts w:ascii="Times New Roman" w:hAnsi="Times New Roman" w:cs="Times New Roman"/>
                      <w:szCs w:val="21"/>
                    </w:rPr>
                    <w:sym w:font="Wingdings" w:char="00A8"/>
                  </w:r>
                </w:p>
              </w:tc>
              <w:tc>
                <w:tcPr>
                  <w:tcW w:w="914" w:type="pct"/>
                  <w:gridSpan w:val="3"/>
                  <w:vAlign w:val="center"/>
                </w:tcPr>
                <w:p>
                  <w:pPr>
                    <w:jc w:val="center"/>
                    <w:rPr>
                      <w:rFonts w:ascii="Times New Roman" w:hAnsi="Times New Roman" w:cs="Times New Roman"/>
                      <w:szCs w:val="21"/>
                    </w:rPr>
                  </w:pPr>
                  <w:r>
                    <w:rPr>
                      <w:rFonts w:ascii="Times New Roman" w:hAnsi="Times New Roman" w:cs="Times New Roman"/>
                      <w:szCs w:val="21"/>
                    </w:rPr>
                    <w:t>S2</w:t>
                  </w:r>
                  <w:r>
                    <w:rPr>
                      <w:rFonts w:ascii="Times New Roman" w:hAnsi="Times New Roman" w:cs="Times New Roman"/>
                      <w:szCs w:val="21"/>
                    </w:rPr>
                    <w:sym w:font="Wingdings" w:char="00A8"/>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rPr>
                    <w:t>S3</w:t>
                  </w:r>
                  <w:r>
                    <w:rPr>
                      <w:rFonts w:ascii="Times New Roman" w:hAnsi="Times New Roman" w:cs="Times New Roman"/>
                      <w:szCs w:val="21"/>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continue"/>
                  <w:vAlign w:val="center"/>
                </w:tcPr>
                <w:p>
                  <w:pPr>
                    <w:jc w:val="center"/>
                    <w:rPr>
                      <w:rFonts w:ascii="Times New Roman" w:hAnsi="Times New Roman" w:cs="Times New Roman"/>
                      <w:szCs w:val="21"/>
                    </w:rPr>
                  </w:pPr>
                </w:p>
              </w:tc>
              <w:tc>
                <w:tcPr>
                  <w:tcW w:w="657" w:type="pct"/>
                  <w:vMerge w:val="restart"/>
                  <w:vAlign w:val="center"/>
                </w:tcPr>
                <w:p>
                  <w:pPr>
                    <w:jc w:val="center"/>
                    <w:rPr>
                      <w:rFonts w:ascii="Times New Roman" w:hAnsi="Times New Roman" w:cs="Times New Roman"/>
                      <w:szCs w:val="21"/>
                    </w:rPr>
                  </w:pPr>
                  <w:r>
                    <w:rPr>
                      <w:rFonts w:ascii="Times New Roman" w:hAnsi="Times New Roman" w:cs="Times New Roman"/>
                      <w:szCs w:val="21"/>
                    </w:rPr>
                    <w:t>地下水</w:t>
                  </w: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地下水功能敏感性</w:t>
                  </w:r>
                </w:p>
              </w:tc>
              <w:tc>
                <w:tcPr>
                  <w:tcW w:w="735" w:type="pct"/>
                  <w:gridSpan w:val="3"/>
                  <w:vAlign w:val="center"/>
                </w:tcPr>
                <w:p>
                  <w:pPr>
                    <w:jc w:val="center"/>
                    <w:rPr>
                      <w:rFonts w:ascii="Times New Roman" w:hAnsi="Times New Roman" w:cs="Times New Roman"/>
                      <w:szCs w:val="21"/>
                    </w:rPr>
                  </w:pPr>
                  <w:r>
                    <w:rPr>
                      <w:rFonts w:ascii="Times New Roman" w:hAnsi="Times New Roman" w:cs="Times New Roman"/>
                      <w:szCs w:val="21"/>
                    </w:rPr>
                    <w:t>G1</w:t>
                  </w:r>
                  <w:r>
                    <w:rPr>
                      <w:rFonts w:ascii="Times New Roman" w:hAnsi="Times New Roman" w:cs="Times New Roman"/>
                      <w:szCs w:val="21"/>
                    </w:rPr>
                    <w:sym w:font="Wingdings" w:char="00A8"/>
                  </w:r>
                </w:p>
              </w:tc>
              <w:tc>
                <w:tcPr>
                  <w:tcW w:w="914" w:type="pct"/>
                  <w:gridSpan w:val="3"/>
                  <w:vAlign w:val="center"/>
                </w:tcPr>
                <w:p>
                  <w:pPr>
                    <w:jc w:val="center"/>
                    <w:rPr>
                      <w:rFonts w:ascii="Times New Roman" w:hAnsi="Times New Roman" w:cs="Times New Roman"/>
                      <w:szCs w:val="21"/>
                    </w:rPr>
                  </w:pPr>
                  <w:r>
                    <w:rPr>
                      <w:rFonts w:ascii="Times New Roman" w:hAnsi="Times New Roman" w:cs="Times New Roman"/>
                      <w:szCs w:val="21"/>
                    </w:rPr>
                    <w:t>G2</w:t>
                  </w:r>
                  <w:r>
                    <w:rPr>
                      <w:rFonts w:ascii="Times New Roman" w:hAnsi="Times New Roman" w:cs="Times New Roman"/>
                      <w:szCs w:val="21"/>
                    </w:rPr>
                    <w:sym w:font="Wingdings" w:char="00A8"/>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rPr>
                    <w:t>G3</w:t>
                  </w:r>
                  <w:r>
                    <w:rPr>
                      <w:rFonts w:ascii="Times New Roman" w:hAnsi="Times New Roman" w:cs="Times New Roman"/>
                      <w:szCs w:val="21"/>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continue"/>
                  <w:vAlign w:val="center"/>
                </w:tcPr>
                <w:p>
                  <w:pPr>
                    <w:jc w:val="center"/>
                    <w:rPr>
                      <w:rFonts w:ascii="Times New Roman" w:hAnsi="Times New Roman" w:cs="Times New Roman"/>
                      <w:szCs w:val="21"/>
                    </w:rPr>
                  </w:pPr>
                </w:p>
              </w:tc>
              <w:tc>
                <w:tcPr>
                  <w:tcW w:w="657" w:type="pct"/>
                  <w:vMerge w:val="continue"/>
                  <w:vAlign w:val="center"/>
                </w:tcPr>
                <w:p>
                  <w:pPr>
                    <w:jc w:val="center"/>
                    <w:rPr>
                      <w:rFonts w:ascii="Times New Roman" w:hAnsi="Times New Roman" w:cs="Times New Roman"/>
                      <w:szCs w:val="21"/>
                    </w:rPr>
                  </w:pP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包气带防污性能</w:t>
                  </w:r>
                </w:p>
              </w:tc>
              <w:tc>
                <w:tcPr>
                  <w:tcW w:w="735" w:type="pct"/>
                  <w:gridSpan w:val="3"/>
                  <w:vAlign w:val="center"/>
                </w:tcPr>
                <w:p>
                  <w:pPr>
                    <w:jc w:val="center"/>
                    <w:rPr>
                      <w:rFonts w:ascii="Times New Roman" w:hAnsi="Times New Roman" w:cs="Times New Roman"/>
                      <w:szCs w:val="21"/>
                    </w:rPr>
                  </w:pPr>
                  <w:r>
                    <w:rPr>
                      <w:rFonts w:ascii="Times New Roman" w:hAnsi="Times New Roman" w:cs="Times New Roman"/>
                      <w:szCs w:val="21"/>
                    </w:rPr>
                    <w:t>D1</w:t>
                  </w:r>
                  <w:r>
                    <w:rPr>
                      <w:rFonts w:ascii="Times New Roman" w:hAnsi="Times New Roman" w:cs="Times New Roman"/>
                      <w:szCs w:val="21"/>
                    </w:rPr>
                    <w:sym w:font="Wingdings" w:char="00FE"/>
                  </w:r>
                </w:p>
              </w:tc>
              <w:tc>
                <w:tcPr>
                  <w:tcW w:w="914" w:type="pct"/>
                  <w:gridSpan w:val="3"/>
                  <w:vAlign w:val="center"/>
                </w:tcPr>
                <w:p>
                  <w:pPr>
                    <w:jc w:val="center"/>
                    <w:rPr>
                      <w:rFonts w:ascii="Times New Roman" w:hAnsi="Times New Roman" w:cs="Times New Roman"/>
                      <w:szCs w:val="21"/>
                    </w:rPr>
                  </w:pPr>
                  <w:r>
                    <w:rPr>
                      <w:rFonts w:ascii="Times New Roman" w:hAnsi="Times New Roman" w:cs="Times New Roman"/>
                      <w:szCs w:val="21"/>
                    </w:rPr>
                    <w:t>D2</w:t>
                  </w:r>
                  <w:r>
                    <w:rPr>
                      <w:rFonts w:ascii="Times New Roman" w:hAnsi="Times New Roman" w:cs="Times New Roman"/>
                      <w:szCs w:val="21"/>
                    </w:rPr>
                    <w:sym w:font="Wingdings" w:char="00A8"/>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rPr>
                    <w:t>D3</w:t>
                  </w:r>
                  <w:r>
                    <w:rPr>
                      <w:rFonts w:ascii="Times New Roman" w:hAnsi="Times New Roman" w:cs="Times New Roman"/>
                      <w:szCs w:val="21"/>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Merge w:val="restart"/>
                  <w:vAlign w:val="center"/>
                </w:tcPr>
                <w:p>
                  <w:pPr>
                    <w:jc w:val="center"/>
                    <w:rPr>
                      <w:rFonts w:ascii="Times New Roman" w:hAnsi="Times New Roman" w:cs="Times New Roman"/>
                      <w:szCs w:val="21"/>
                    </w:rPr>
                  </w:pPr>
                  <w:r>
                    <w:rPr>
                      <w:rFonts w:ascii="Times New Roman" w:hAnsi="Times New Roman" w:cs="Times New Roman"/>
                      <w:szCs w:val="21"/>
                    </w:rPr>
                    <w:t>物质及工艺系统危险性</w:t>
                  </w:r>
                </w:p>
              </w:tc>
              <w:tc>
                <w:tcPr>
                  <w:tcW w:w="657" w:type="pct"/>
                  <w:vAlign w:val="center"/>
                </w:tcPr>
                <w:p>
                  <w:pPr>
                    <w:jc w:val="center"/>
                    <w:rPr>
                      <w:rFonts w:ascii="Times New Roman" w:hAnsi="Times New Roman" w:cs="Times New Roman"/>
                      <w:szCs w:val="21"/>
                    </w:rPr>
                  </w:pPr>
                  <w:r>
                    <w:rPr>
                      <w:rFonts w:ascii="Times New Roman" w:hAnsi="Times New Roman" w:cs="Times New Roman"/>
                      <w:szCs w:val="21"/>
                    </w:rPr>
                    <w:t>Q值</w:t>
                  </w: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Q&lt;1 </w:t>
                  </w:r>
                  <w:r>
                    <w:rPr>
                      <w:rFonts w:ascii="Times New Roman" w:hAnsi="Times New Roman" w:cs="Times New Roman"/>
                      <w:szCs w:val="21"/>
                    </w:rPr>
                    <w:sym w:font="Wingdings" w:char="00FE"/>
                  </w:r>
                </w:p>
              </w:tc>
              <w:tc>
                <w:tcPr>
                  <w:tcW w:w="7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1≤Q&lt;10 </w:t>
                  </w:r>
                  <w:r>
                    <w:rPr>
                      <w:rFonts w:ascii="Times New Roman" w:hAnsi="Times New Roman" w:cs="Times New Roman"/>
                      <w:szCs w:val="21"/>
                    </w:rPr>
                    <w:sym w:font="Wingdings" w:char="00A8"/>
                  </w:r>
                </w:p>
              </w:tc>
              <w:tc>
                <w:tcPr>
                  <w:tcW w:w="914"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10≤Q&lt;100 </w:t>
                  </w:r>
                  <w:r>
                    <w:rPr>
                      <w:rFonts w:ascii="Times New Roman" w:hAnsi="Times New Roman" w:cs="Times New Roman"/>
                      <w:szCs w:val="21"/>
                    </w:rPr>
                    <w:sym w:font="Wingdings" w:char="00A8"/>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rPr>
                    <w:t xml:space="preserve">Q&gt;100 </w:t>
                  </w:r>
                  <w:r>
                    <w:rPr>
                      <w:rFonts w:ascii="Times New Roman" w:hAnsi="Times New Roman" w:cs="Times New Roman"/>
                      <w:szCs w:val="21"/>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Merge w:val="continue"/>
                  <w:vAlign w:val="center"/>
                </w:tcPr>
                <w:p>
                  <w:pPr>
                    <w:jc w:val="center"/>
                    <w:rPr>
                      <w:rFonts w:ascii="Times New Roman" w:hAnsi="Times New Roman" w:cs="Times New Roman"/>
                      <w:szCs w:val="21"/>
                    </w:rPr>
                  </w:pPr>
                </w:p>
              </w:tc>
              <w:tc>
                <w:tcPr>
                  <w:tcW w:w="657" w:type="pct"/>
                  <w:vAlign w:val="center"/>
                </w:tcPr>
                <w:p>
                  <w:pPr>
                    <w:jc w:val="center"/>
                    <w:rPr>
                      <w:rFonts w:ascii="Times New Roman" w:hAnsi="Times New Roman" w:cs="Times New Roman"/>
                      <w:szCs w:val="21"/>
                    </w:rPr>
                  </w:pPr>
                  <w:r>
                    <w:rPr>
                      <w:rFonts w:ascii="Times New Roman" w:hAnsi="Times New Roman" w:cs="Times New Roman"/>
                      <w:szCs w:val="21"/>
                    </w:rPr>
                    <w:t>M值</w:t>
                  </w: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M1 </w:t>
                  </w:r>
                  <w:r>
                    <w:rPr>
                      <w:rFonts w:ascii="Times New Roman" w:hAnsi="Times New Roman" w:cs="Times New Roman"/>
                      <w:szCs w:val="21"/>
                    </w:rPr>
                    <w:sym w:font="Wingdings" w:char="00A8"/>
                  </w:r>
                </w:p>
              </w:tc>
              <w:tc>
                <w:tcPr>
                  <w:tcW w:w="7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M2 </w:t>
                  </w:r>
                  <w:r>
                    <w:rPr>
                      <w:rFonts w:ascii="Times New Roman" w:hAnsi="Times New Roman" w:cs="Times New Roman"/>
                      <w:szCs w:val="21"/>
                    </w:rPr>
                    <w:sym w:font="Wingdings" w:char="00A8"/>
                  </w:r>
                </w:p>
              </w:tc>
              <w:tc>
                <w:tcPr>
                  <w:tcW w:w="914"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M3 </w:t>
                  </w:r>
                  <w:r>
                    <w:rPr>
                      <w:rFonts w:ascii="Times New Roman" w:hAnsi="Times New Roman" w:cs="Times New Roman"/>
                      <w:szCs w:val="21"/>
                    </w:rPr>
                    <w:sym w:font="Wingdings" w:char="00A8"/>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rPr>
                    <w:t xml:space="preserve">M4 </w:t>
                  </w:r>
                  <w:r>
                    <w:rPr>
                      <w:rFonts w:ascii="Times New Roman" w:hAnsi="Times New Roman" w:cs="Times New Roman"/>
                      <w:szCs w:val="21"/>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Merge w:val="continue"/>
                  <w:vAlign w:val="center"/>
                </w:tcPr>
                <w:p>
                  <w:pPr>
                    <w:jc w:val="center"/>
                    <w:rPr>
                      <w:rFonts w:ascii="Times New Roman" w:hAnsi="Times New Roman" w:cs="Times New Roman"/>
                      <w:szCs w:val="21"/>
                    </w:rPr>
                  </w:pPr>
                </w:p>
              </w:tc>
              <w:tc>
                <w:tcPr>
                  <w:tcW w:w="657" w:type="pct"/>
                  <w:vAlign w:val="center"/>
                </w:tcPr>
                <w:p>
                  <w:pPr>
                    <w:jc w:val="center"/>
                    <w:rPr>
                      <w:rFonts w:ascii="Times New Roman" w:hAnsi="Times New Roman" w:cs="Times New Roman"/>
                      <w:szCs w:val="21"/>
                    </w:rPr>
                  </w:pPr>
                  <w:r>
                    <w:rPr>
                      <w:rFonts w:ascii="Times New Roman" w:hAnsi="Times New Roman" w:cs="Times New Roman"/>
                      <w:szCs w:val="21"/>
                    </w:rPr>
                    <w:t>P值</w:t>
                  </w: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P1 </w:t>
                  </w:r>
                  <w:r>
                    <w:rPr>
                      <w:rFonts w:ascii="Times New Roman" w:hAnsi="Times New Roman" w:cs="Times New Roman"/>
                      <w:szCs w:val="21"/>
                    </w:rPr>
                    <w:sym w:font="Wingdings" w:char="00A8"/>
                  </w:r>
                </w:p>
              </w:tc>
              <w:tc>
                <w:tcPr>
                  <w:tcW w:w="7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P2 </w:t>
                  </w:r>
                  <w:r>
                    <w:rPr>
                      <w:rFonts w:ascii="Times New Roman" w:hAnsi="Times New Roman" w:cs="Times New Roman"/>
                      <w:szCs w:val="21"/>
                    </w:rPr>
                    <w:sym w:font="Wingdings" w:char="00A8"/>
                  </w:r>
                </w:p>
              </w:tc>
              <w:tc>
                <w:tcPr>
                  <w:tcW w:w="914"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P3 </w:t>
                  </w:r>
                  <w:r>
                    <w:rPr>
                      <w:rFonts w:ascii="Times New Roman" w:hAnsi="Times New Roman" w:cs="Times New Roman"/>
                      <w:szCs w:val="21"/>
                    </w:rPr>
                    <w:sym w:font="Wingdings" w:char="00A8"/>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rPr>
                    <w:t xml:space="preserve">P4 </w:t>
                  </w:r>
                  <w:r>
                    <w:rPr>
                      <w:rFonts w:ascii="Times New Roman" w:hAnsi="Times New Roman" w:cs="Times New Roman"/>
                      <w:szCs w:val="21"/>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Merge w:val="restart"/>
                  <w:vAlign w:val="center"/>
                </w:tcPr>
                <w:p>
                  <w:pPr>
                    <w:jc w:val="center"/>
                    <w:rPr>
                      <w:rFonts w:ascii="Times New Roman" w:hAnsi="Times New Roman" w:cs="Times New Roman"/>
                      <w:szCs w:val="21"/>
                    </w:rPr>
                  </w:pPr>
                  <w:r>
                    <w:rPr>
                      <w:rFonts w:ascii="Times New Roman" w:hAnsi="Times New Roman" w:cs="Times New Roman"/>
                      <w:szCs w:val="21"/>
                    </w:rPr>
                    <w:t>环境敏感程度</w:t>
                  </w:r>
                </w:p>
              </w:tc>
              <w:tc>
                <w:tcPr>
                  <w:tcW w:w="657" w:type="pct"/>
                  <w:vAlign w:val="center"/>
                </w:tcPr>
                <w:p>
                  <w:pPr>
                    <w:jc w:val="center"/>
                    <w:rPr>
                      <w:rFonts w:ascii="Times New Roman" w:hAnsi="Times New Roman" w:cs="Times New Roman"/>
                      <w:szCs w:val="21"/>
                    </w:rPr>
                  </w:pPr>
                  <w:r>
                    <w:rPr>
                      <w:rFonts w:ascii="Times New Roman" w:hAnsi="Times New Roman" w:cs="Times New Roman"/>
                      <w:szCs w:val="21"/>
                    </w:rPr>
                    <w:t>大气</w:t>
                  </w: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E1 </w:t>
                  </w:r>
                  <w:r>
                    <w:rPr>
                      <w:rFonts w:ascii="Times New Roman" w:hAnsi="Times New Roman" w:cs="Times New Roman"/>
                      <w:szCs w:val="21"/>
                    </w:rPr>
                    <w:sym w:font="Wingdings" w:char="00FE"/>
                  </w:r>
                </w:p>
              </w:tc>
              <w:tc>
                <w:tcPr>
                  <w:tcW w:w="1170" w:type="pct"/>
                  <w:gridSpan w:val="4"/>
                  <w:vAlign w:val="center"/>
                </w:tcPr>
                <w:p>
                  <w:pPr>
                    <w:jc w:val="center"/>
                    <w:rPr>
                      <w:rFonts w:ascii="Times New Roman" w:hAnsi="Times New Roman" w:cs="Times New Roman"/>
                      <w:szCs w:val="21"/>
                    </w:rPr>
                  </w:pPr>
                  <w:r>
                    <w:rPr>
                      <w:rFonts w:ascii="Times New Roman" w:hAnsi="Times New Roman" w:cs="Times New Roman"/>
                      <w:szCs w:val="21"/>
                    </w:rPr>
                    <w:t xml:space="preserve">E2 </w:t>
                  </w:r>
                  <w:r>
                    <w:rPr>
                      <w:rFonts w:ascii="Times New Roman" w:hAnsi="Times New Roman" w:cs="Times New Roman"/>
                      <w:szCs w:val="21"/>
                    </w:rPr>
                    <w:sym w:font="Wingdings" w:char="00A8"/>
                  </w:r>
                </w:p>
              </w:tc>
              <w:tc>
                <w:tcPr>
                  <w:tcW w:w="1250"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E3 </w:t>
                  </w:r>
                  <w:r>
                    <w:rPr>
                      <w:rFonts w:ascii="Times New Roman" w:hAnsi="Times New Roman" w:cs="Times New Roman"/>
                      <w:szCs w:val="21"/>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Merge w:val="continue"/>
                  <w:vAlign w:val="center"/>
                </w:tcPr>
                <w:p>
                  <w:pPr>
                    <w:jc w:val="center"/>
                    <w:rPr>
                      <w:rFonts w:ascii="Times New Roman" w:hAnsi="Times New Roman" w:cs="Times New Roman"/>
                      <w:szCs w:val="21"/>
                    </w:rPr>
                  </w:pPr>
                </w:p>
              </w:tc>
              <w:tc>
                <w:tcPr>
                  <w:tcW w:w="657" w:type="pct"/>
                  <w:vAlign w:val="center"/>
                </w:tcPr>
                <w:p>
                  <w:pPr>
                    <w:jc w:val="center"/>
                    <w:rPr>
                      <w:rFonts w:ascii="Times New Roman" w:hAnsi="Times New Roman" w:cs="Times New Roman"/>
                      <w:szCs w:val="21"/>
                    </w:rPr>
                  </w:pPr>
                  <w:r>
                    <w:rPr>
                      <w:rFonts w:ascii="Times New Roman" w:hAnsi="Times New Roman" w:cs="Times New Roman"/>
                      <w:szCs w:val="21"/>
                    </w:rPr>
                    <w:t>地表水</w:t>
                  </w: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E1 </w:t>
                  </w:r>
                  <w:r>
                    <w:rPr>
                      <w:rFonts w:ascii="Times New Roman" w:hAnsi="Times New Roman" w:cs="Times New Roman"/>
                      <w:szCs w:val="21"/>
                    </w:rPr>
                    <w:sym w:font="Wingdings" w:char="00A8"/>
                  </w:r>
                </w:p>
              </w:tc>
              <w:tc>
                <w:tcPr>
                  <w:tcW w:w="1170" w:type="pct"/>
                  <w:gridSpan w:val="4"/>
                  <w:vAlign w:val="center"/>
                </w:tcPr>
                <w:p>
                  <w:pPr>
                    <w:jc w:val="center"/>
                    <w:rPr>
                      <w:rFonts w:ascii="Times New Roman" w:hAnsi="Times New Roman" w:cs="Times New Roman"/>
                      <w:szCs w:val="21"/>
                    </w:rPr>
                  </w:pPr>
                  <w:r>
                    <w:rPr>
                      <w:rFonts w:ascii="Times New Roman" w:hAnsi="Times New Roman" w:cs="Times New Roman"/>
                      <w:szCs w:val="21"/>
                    </w:rPr>
                    <w:t xml:space="preserve">E2 </w:t>
                  </w:r>
                  <w:r>
                    <w:rPr>
                      <w:rFonts w:ascii="Times New Roman" w:hAnsi="Times New Roman" w:cs="Times New Roman"/>
                      <w:szCs w:val="21"/>
                    </w:rPr>
                    <w:sym w:font="Wingdings" w:char="00A8"/>
                  </w:r>
                </w:p>
              </w:tc>
              <w:tc>
                <w:tcPr>
                  <w:tcW w:w="1250"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E3 </w:t>
                  </w:r>
                  <w:r>
                    <w:rPr>
                      <w:rFonts w:ascii="Times New Roman" w:hAnsi="Times New Roman" w:cs="Times New Roman"/>
                      <w:szCs w:val="21"/>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Merge w:val="continue"/>
                  <w:vAlign w:val="center"/>
                </w:tcPr>
                <w:p>
                  <w:pPr>
                    <w:jc w:val="center"/>
                    <w:rPr>
                      <w:rFonts w:ascii="Times New Roman" w:hAnsi="Times New Roman" w:cs="Times New Roman"/>
                      <w:szCs w:val="21"/>
                    </w:rPr>
                  </w:pPr>
                </w:p>
              </w:tc>
              <w:tc>
                <w:tcPr>
                  <w:tcW w:w="657" w:type="pct"/>
                  <w:vAlign w:val="center"/>
                </w:tcPr>
                <w:p>
                  <w:pPr>
                    <w:jc w:val="center"/>
                    <w:rPr>
                      <w:rFonts w:ascii="Times New Roman" w:hAnsi="Times New Roman" w:cs="Times New Roman"/>
                      <w:szCs w:val="21"/>
                    </w:rPr>
                  </w:pPr>
                  <w:r>
                    <w:rPr>
                      <w:rFonts w:ascii="Times New Roman" w:hAnsi="Times New Roman" w:cs="Times New Roman"/>
                      <w:szCs w:val="21"/>
                    </w:rPr>
                    <w:t>地下水</w:t>
                  </w:r>
                </w:p>
              </w:tc>
              <w:tc>
                <w:tcPr>
                  <w:tcW w:w="10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E1 </w:t>
                  </w:r>
                  <w:r>
                    <w:rPr>
                      <w:rFonts w:ascii="Times New Roman" w:hAnsi="Times New Roman" w:cs="Times New Roman"/>
                      <w:szCs w:val="21"/>
                    </w:rPr>
                    <w:sym w:font="Wingdings" w:char="00A8"/>
                  </w:r>
                </w:p>
              </w:tc>
              <w:tc>
                <w:tcPr>
                  <w:tcW w:w="1170" w:type="pct"/>
                  <w:gridSpan w:val="4"/>
                  <w:vAlign w:val="center"/>
                </w:tcPr>
                <w:p>
                  <w:pPr>
                    <w:jc w:val="center"/>
                    <w:rPr>
                      <w:rFonts w:ascii="Times New Roman" w:hAnsi="Times New Roman" w:cs="Times New Roman"/>
                      <w:szCs w:val="21"/>
                    </w:rPr>
                  </w:pPr>
                  <w:r>
                    <w:rPr>
                      <w:rFonts w:ascii="Times New Roman" w:hAnsi="Times New Roman" w:cs="Times New Roman"/>
                      <w:szCs w:val="21"/>
                    </w:rPr>
                    <w:t xml:space="preserve">E2 </w:t>
                  </w:r>
                  <w:r>
                    <w:rPr>
                      <w:rFonts w:ascii="Times New Roman" w:hAnsi="Times New Roman" w:cs="Times New Roman"/>
                      <w:szCs w:val="21"/>
                    </w:rPr>
                    <w:sym w:font="Wingdings" w:char="00FE"/>
                  </w:r>
                </w:p>
              </w:tc>
              <w:tc>
                <w:tcPr>
                  <w:tcW w:w="1250"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E3 </w:t>
                  </w:r>
                  <w:r>
                    <w:rPr>
                      <w:rFonts w:ascii="Times New Roman" w:hAnsi="Times New Roman" w:cs="Times New Roman"/>
                      <w:szCs w:val="21"/>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Align w:val="center"/>
                </w:tcPr>
                <w:p>
                  <w:pPr>
                    <w:jc w:val="center"/>
                    <w:rPr>
                      <w:rFonts w:ascii="Times New Roman" w:hAnsi="Times New Roman" w:cs="Times New Roman"/>
                      <w:szCs w:val="21"/>
                    </w:rPr>
                  </w:pPr>
                  <w:r>
                    <w:rPr>
                      <w:rFonts w:ascii="Times New Roman" w:hAnsi="Times New Roman" w:cs="Times New Roman"/>
                      <w:szCs w:val="21"/>
                    </w:rPr>
                    <w:t>环境风险趋势</w:t>
                  </w:r>
                </w:p>
              </w:tc>
              <w:tc>
                <w:tcPr>
                  <w:tcW w:w="814" w:type="pct"/>
                  <w:gridSpan w:val="2"/>
                  <w:vAlign w:val="center"/>
                </w:tcPr>
                <w:p>
                  <w:pPr>
                    <w:jc w:val="center"/>
                    <w:rPr>
                      <w:rFonts w:ascii="Times New Roman" w:hAnsi="Times New Roman" w:cs="Times New Roman"/>
                      <w:szCs w:val="21"/>
                    </w:rPr>
                  </w:pPr>
                  <w:r>
                    <w:rPr>
                      <w:rFonts w:ascii="Times New Roman" w:hAnsi="Times New Roman" w:cs="Times New Roman"/>
                      <w:szCs w:val="21"/>
                    </w:rPr>
                    <w:t>Ⅳ</w:t>
                  </w:r>
                  <w:r>
                    <w:rPr>
                      <w:rFonts w:ascii="Times New Roman" w:hAnsi="Times New Roman" w:cs="Times New Roman"/>
                      <w:szCs w:val="21"/>
                      <w:vertAlign w:val="superscript"/>
                    </w:rPr>
                    <w:t>+</w:t>
                  </w:r>
                  <w:r>
                    <w:rPr>
                      <w:rFonts w:ascii="Times New Roman" w:hAnsi="Times New Roman" w:cs="Times New Roman"/>
                      <w:szCs w:val="21"/>
                    </w:rPr>
                    <w:t xml:space="preserve"> </w:t>
                  </w:r>
                  <w:r>
                    <w:rPr>
                      <w:rFonts w:ascii="Times New Roman" w:hAnsi="Times New Roman" w:cs="Times New Roman"/>
                      <w:szCs w:val="21"/>
                    </w:rPr>
                    <w:sym w:font="Wingdings" w:char="00A8"/>
                  </w:r>
                </w:p>
              </w:tc>
              <w:tc>
                <w:tcPr>
                  <w:tcW w:w="879" w:type="pct"/>
                  <w:gridSpan w:val="2"/>
                  <w:vAlign w:val="center"/>
                </w:tcPr>
                <w:p>
                  <w:pPr>
                    <w:jc w:val="center"/>
                    <w:rPr>
                      <w:rFonts w:ascii="Times New Roman" w:hAnsi="Times New Roman" w:cs="Times New Roman"/>
                      <w:szCs w:val="21"/>
                    </w:rPr>
                  </w:pPr>
                  <w:r>
                    <w:rPr>
                      <w:rFonts w:ascii="Times New Roman" w:hAnsi="Times New Roman" w:cs="Times New Roman"/>
                      <w:szCs w:val="21"/>
                    </w:rPr>
                    <w:t xml:space="preserve">Ⅳ </w:t>
                  </w:r>
                  <w:r>
                    <w:rPr>
                      <w:rFonts w:ascii="Times New Roman" w:hAnsi="Times New Roman" w:cs="Times New Roman"/>
                      <w:szCs w:val="21"/>
                    </w:rPr>
                    <w:sym w:font="Wingdings" w:char="00A8"/>
                  </w:r>
                </w:p>
              </w:tc>
              <w:tc>
                <w:tcPr>
                  <w:tcW w:w="7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Ⅲ </w:t>
                  </w:r>
                  <w:r>
                    <w:rPr>
                      <w:rFonts w:ascii="Times New Roman" w:hAnsi="Times New Roman" w:cs="Times New Roman"/>
                      <w:szCs w:val="21"/>
                    </w:rPr>
                    <w:sym w:font="Wingdings" w:char="00A8"/>
                  </w:r>
                </w:p>
              </w:tc>
              <w:tc>
                <w:tcPr>
                  <w:tcW w:w="914"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Ⅱ </w:t>
                  </w:r>
                  <w:r>
                    <w:rPr>
                      <w:rFonts w:ascii="Times New Roman" w:hAnsi="Times New Roman" w:cs="Times New Roman"/>
                      <w:szCs w:val="21"/>
                    </w:rPr>
                    <w:sym w:font="Wingdings" w:char="00A8"/>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rPr>
                    <w:t xml:space="preserve">Ⅰ </w:t>
                  </w:r>
                  <w:r>
                    <w:rPr>
                      <w:rFonts w:ascii="Times New Roman" w:hAnsi="Times New Roman" w:cs="Times New Roman"/>
                      <w:szCs w:val="21"/>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Align w:val="center"/>
                </w:tcPr>
                <w:p>
                  <w:pPr>
                    <w:jc w:val="center"/>
                    <w:rPr>
                      <w:rFonts w:ascii="Times New Roman" w:hAnsi="Times New Roman" w:cs="Times New Roman"/>
                      <w:szCs w:val="21"/>
                    </w:rPr>
                  </w:pPr>
                  <w:r>
                    <w:rPr>
                      <w:rFonts w:ascii="Times New Roman" w:hAnsi="Times New Roman" w:cs="Times New Roman"/>
                      <w:szCs w:val="21"/>
                    </w:rPr>
                    <w:t>评价等级</w:t>
                  </w:r>
                </w:p>
              </w:tc>
              <w:tc>
                <w:tcPr>
                  <w:tcW w:w="1693" w:type="pct"/>
                  <w:gridSpan w:val="4"/>
                  <w:vAlign w:val="center"/>
                </w:tcPr>
                <w:p>
                  <w:pPr>
                    <w:jc w:val="center"/>
                    <w:rPr>
                      <w:rFonts w:ascii="Times New Roman" w:hAnsi="Times New Roman" w:cs="Times New Roman"/>
                      <w:szCs w:val="21"/>
                    </w:rPr>
                  </w:pPr>
                  <w:r>
                    <w:rPr>
                      <w:rFonts w:ascii="Times New Roman" w:hAnsi="Times New Roman" w:cs="Times New Roman"/>
                      <w:szCs w:val="21"/>
                    </w:rPr>
                    <w:t xml:space="preserve">一级 </w:t>
                  </w:r>
                  <w:r>
                    <w:rPr>
                      <w:rFonts w:ascii="Times New Roman" w:hAnsi="Times New Roman" w:cs="Times New Roman"/>
                      <w:szCs w:val="21"/>
                    </w:rPr>
                    <w:sym w:font="Wingdings" w:char="00A8"/>
                  </w:r>
                </w:p>
              </w:tc>
              <w:tc>
                <w:tcPr>
                  <w:tcW w:w="735"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二级 </w:t>
                  </w:r>
                  <w:r>
                    <w:rPr>
                      <w:rFonts w:ascii="Times New Roman" w:hAnsi="Times New Roman" w:cs="Times New Roman"/>
                      <w:szCs w:val="21"/>
                    </w:rPr>
                    <w:sym w:font="Wingdings" w:char="00A8"/>
                  </w:r>
                </w:p>
              </w:tc>
              <w:tc>
                <w:tcPr>
                  <w:tcW w:w="914"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三级 </w:t>
                  </w:r>
                  <w:r>
                    <w:rPr>
                      <w:rFonts w:ascii="Times New Roman" w:hAnsi="Times New Roman" w:cs="Times New Roman"/>
                      <w:szCs w:val="21"/>
                    </w:rPr>
                    <w:sym w:font="Wingdings" w:char="00A8"/>
                  </w:r>
                </w:p>
              </w:tc>
              <w:tc>
                <w:tcPr>
                  <w:tcW w:w="772" w:type="pct"/>
                  <w:vAlign w:val="center"/>
                </w:tcPr>
                <w:p>
                  <w:pPr>
                    <w:jc w:val="center"/>
                    <w:rPr>
                      <w:rFonts w:ascii="Times New Roman" w:hAnsi="Times New Roman" w:cs="Times New Roman"/>
                      <w:szCs w:val="21"/>
                    </w:rPr>
                  </w:pPr>
                  <w:r>
                    <w:rPr>
                      <w:rFonts w:ascii="Times New Roman" w:hAnsi="Times New Roman" w:cs="Times New Roman"/>
                      <w:szCs w:val="21"/>
                    </w:rPr>
                    <w:t xml:space="preserve">简单分析 </w:t>
                  </w:r>
                  <w:r>
                    <w:rPr>
                      <w:rFonts w:ascii="Times New Roman" w:hAnsi="Times New Roman" w:cs="Times New Roman"/>
                      <w:szCs w:val="21"/>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restart"/>
                  <w:vAlign w:val="center"/>
                </w:tcPr>
                <w:p>
                  <w:pPr>
                    <w:jc w:val="center"/>
                    <w:rPr>
                      <w:rFonts w:ascii="Times New Roman" w:hAnsi="Times New Roman" w:cs="Times New Roman"/>
                      <w:szCs w:val="21"/>
                    </w:rPr>
                  </w:pPr>
                  <w:r>
                    <w:rPr>
                      <w:rFonts w:ascii="Times New Roman" w:hAnsi="Times New Roman" w:cs="Times New Roman"/>
                      <w:szCs w:val="21"/>
                    </w:rPr>
                    <w:t>风险识别</w:t>
                  </w:r>
                </w:p>
              </w:tc>
              <w:tc>
                <w:tcPr>
                  <w:tcW w:w="663" w:type="pct"/>
                  <w:vAlign w:val="center"/>
                </w:tcPr>
                <w:p>
                  <w:pPr>
                    <w:jc w:val="center"/>
                    <w:rPr>
                      <w:rFonts w:ascii="Times New Roman" w:hAnsi="Times New Roman" w:cs="Times New Roman"/>
                      <w:szCs w:val="21"/>
                    </w:rPr>
                  </w:pPr>
                  <w:r>
                    <w:rPr>
                      <w:rFonts w:ascii="Times New Roman" w:hAnsi="Times New Roman" w:cs="Times New Roman"/>
                      <w:szCs w:val="21"/>
                    </w:rPr>
                    <w:t>物质危险性</w:t>
                  </w:r>
                </w:p>
              </w:tc>
              <w:tc>
                <w:tcPr>
                  <w:tcW w:w="2037" w:type="pct"/>
                  <w:gridSpan w:val="5"/>
                  <w:vAlign w:val="center"/>
                </w:tcPr>
                <w:p>
                  <w:pPr>
                    <w:jc w:val="center"/>
                    <w:rPr>
                      <w:rFonts w:ascii="Times New Roman" w:hAnsi="Times New Roman" w:cs="Times New Roman"/>
                      <w:szCs w:val="21"/>
                    </w:rPr>
                  </w:pPr>
                  <w:r>
                    <w:rPr>
                      <w:rFonts w:ascii="Times New Roman" w:hAnsi="Times New Roman" w:cs="Times New Roman"/>
                      <w:szCs w:val="21"/>
                    </w:rPr>
                    <w:t xml:space="preserve">有毒有害 </w:t>
                  </w:r>
                  <w:r>
                    <w:rPr>
                      <w:rFonts w:ascii="Times New Roman" w:hAnsi="Times New Roman" w:cs="Times New Roman"/>
                      <w:szCs w:val="21"/>
                    </w:rPr>
                    <w:sym w:font="Wingdings" w:char="00A8"/>
                  </w:r>
                </w:p>
              </w:tc>
              <w:tc>
                <w:tcPr>
                  <w:tcW w:w="2075" w:type="pct"/>
                  <w:gridSpan w:val="6"/>
                  <w:vAlign w:val="center"/>
                </w:tcPr>
                <w:p>
                  <w:pPr>
                    <w:jc w:val="center"/>
                    <w:rPr>
                      <w:rFonts w:ascii="Times New Roman" w:hAnsi="Times New Roman" w:cs="Times New Roman"/>
                      <w:szCs w:val="21"/>
                    </w:rPr>
                  </w:pPr>
                  <w:r>
                    <w:rPr>
                      <w:rFonts w:ascii="Times New Roman" w:hAnsi="Times New Roman" w:cs="Times New Roman"/>
                      <w:szCs w:val="21"/>
                    </w:rPr>
                    <w:t xml:space="preserve">易燃易爆 </w:t>
                  </w:r>
                  <w:r>
                    <w:rPr>
                      <w:rFonts w:ascii="Times New Roman" w:hAnsi="Times New Roman" w:cs="Times New Roman"/>
                      <w:szCs w:val="21"/>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continue"/>
                  <w:vAlign w:val="center"/>
                </w:tcPr>
                <w:p>
                  <w:pPr>
                    <w:jc w:val="center"/>
                    <w:rPr>
                      <w:rFonts w:ascii="Times New Roman" w:hAnsi="Times New Roman" w:cs="Times New Roman"/>
                      <w:szCs w:val="21"/>
                    </w:rPr>
                  </w:pPr>
                </w:p>
              </w:tc>
              <w:tc>
                <w:tcPr>
                  <w:tcW w:w="663" w:type="pct"/>
                  <w:vAlign w:val="center"/>
                </w:tcPr>
                <w:p>
                  <w:pPr>
                    <w:jc w:val="center"/>
                    <w:rPr>
                      <w:rFonts w:ascii="Times New Roman" w:hAnsi="Times New Roman" w:cs="Times New Roman"/>
                      <w:szCs w:val="21"/>
                    </w:rPr>
                  </w:pPr>
                  <w:r>
                    <w:rPr>
                      <w:rFonts w:ascii="Times New Roman" w:hAnsi="Times New Roman" w:cs="Times New Roman"/>
                      <w:szCs w:val="21"/>
                    </w:rPr>
                    <w:t>环境风险类型</w:t>
                  </w:r>
                </w:p>
              </w:tc>
              <w:tc>
                <w:tcPr>
                  <w:tcW w:w="1693" w:type="pct"/>
                  <w:gridSpan w:val="4"/>
                  <w:vAlign w:val="center"/>
                </w:tcPr>
                <w:p>
                  <w:pPr>
                    <w:jc w:val="center"/>
                    <w:rPr>
                      <w:rFonts w:ascii="Times New Roman" w:hAnsi="Times New Roman" w:cs="Times New Roman"/>
                      <w:szCs w:val="21"/>
                    </w:rPr>
                  </w:pPr>
                  <w:r>
                    <w:rPr>
                      <w:rFonts w:ascii="Times New Roman" w:hAnsi="Times New Roman" w:cs="Times New Roman"/>
                      <w:szCs w:val="21"/>
                    </w:rPr>
                    <w:t xml:space="preserve">泄漏 </w:t>
                  </w:r>
                  <w:r>
                    <w:rPr>
                      <w:rFonts w:ascii="Times New Roman" w:hAnsi="Times New Roman" w:cs="Times New Roman"/>
                      <w:szCs w:val="21"/>
                    </w:rPr>
                    <w:sym w:font="Wingdings" w:char="00FE"/>
                  </w:r>
                </w:p>
              </w:tc>
              <w:tc>
                <w:tcPr>
                  <w:tcW w:w="2420" w:type="pct"/>
                  <w:gridSpan w:val="7"/>
                  <w:vAlign w:val="center"/>
                </w:tcPr>
                <w:p>
                  <w:pPr>
                    <w:jc w:val="center"/>
                    <w:rPr>
                      <w:rFonts w:ascii="Times New Roman" w:hAnsi="Times New Roman" w:cs="Times New Roman"/>
                      <w:szCs w:val="21"/>
                    </w:rPr>
                  </w:pPr>
                  <w:r>
                    <w:rPr>
                      <w:rFonts w:ascii="Times New Roman" w:hAnsi="Times New Roman" w:cs="Times New Roman"/>
                      <w:szCs w:val="21"/>
                    </w:rPr>
                    <w:t xml:space="preserve">火灾、爆炸引发伴生/次生污染物排放 </w:t>
                  </w:r>
                  <w:r>
                    <w:rPr>
                      <w:rFonts w:ascii="Times New Roman" w:hAnsi="Times New Roman" w:cs="Times New Roman"/>
                      <w:szCs w:val="21"/>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continue"/>
                  <w:vAlign w:val="center"/>
                </w:tcPr>
                <w:p>
                  <w:pPr>
                    <w:jc w:val="center"/>
                    <w:rPr>
                      <w:rFonts w:ascii="Times New Roman" w:hAnsi="Times New Roman" w:cs="Times New Roman"/>
                      <w:szCs w:val="21"/>
                    </w:rPr>
                  </w:pPr>
                </w:p>
              </w:tc>
              <w:tc>
                <w:tcPr>
                  <w:tcW w:w="663" w:type="pct"/>
                  <w:vAlign w:val="center"/>
                </w:tcPr>
                <w:p>
                  <w:pPr>
                    <w:jc w:val="center"/>
                    <w:rPr>
                      <w:rFonts w:ascii="Times New Roman" w:hAnsi="Times New Roman" w:cs="Times New Roman"/>
                      <w:szCs w:val="21"/>
                    </w:rPr>
                  </w:pPr>
                  <w:r>
                    <w:rPr>
                      <w:rFonts w:ascii="Times New Roman" w:hAnsi="Times New Roman" w:cs="Times New Roman"/>
                      <w:szCs w:val="21"/>
                    </w:rPr>
                    <w:t>影响途径</w:t>
                  </w:r>
                </w:p>
              </w:tc>
              <w:tc>
                <w:tcPr>
                  <w:tcW w:w="1693" w:type="pct"/>
                  <w:gridSpan w:val="4"/>
                  <w:vAlign w:val="center"/>
                </w:tcPr>
                <w:p>
                  <w:pPr>
                    <w:jc w:val="center"/>
                    <w:rPr>
                      <w:rFonts w:ascii="Times New Roman" w:hAnsi="Times New Roman" w:cs="Times New Roman"/>
                      <w:szCs w:val="21"/>
                    </w:rPr>
                  </w:pPr>
                  <w:r>
                    <w:rPr>
                      <w:rFonts w:ascii="Times New Roman" w:hAnsi="Times New Roman" w:cs="Times New Roman"/>
                      <w:szCs w:val="21"/>
                    </w:rPr>
                    <w:t xml:space="preserve">大气 </w:t>
                  </w:r>
                  <w:r>
                    <w:rPr>
                      <w:rFonts w:ascii="Times New Roman" w:hAnsi="Times New Roman" w:cs="Times New Roman"/>
                      <w:szCs w:val="21"/>
                    </w:rPr>
                    <w:sym w:font="Wingdings" w:char="00FE"/>
                  </w:r>
                </w:p>
              </w:tc>
              <w:tc>
                <w:tcPr>
                  <w:tcW w:w="1170" w:type="pct"/>
                  <w:gridSpan w:val="4"/>
                  <w:vAlign w:val="center"/>
                </w:tcPr>
                <w:p>
                  <w:pPr>
                    <w:jc w:val="center"/>
                    <w:rPr>
                      <w:rFonts w:ascii="Times New Roman" w:hAnsi="Times New Roman" w:cs="Times New Roman"/>
                      <w:szCs w:val="21"/>
                    </w:rPr>
                  </w:pPr>
                  <w:r>
                    <w:rPr>
                      <w:rFonts w:ascii="Times New Roman" w:hAnsi="Times New Roman" w:cs="Times New Roman"/>
                      <w:szCs w:val="21"/>
                    </w:rPr>
                    <w:t xml:space="preserve">地表水 </w:t>
                  </w:r>
                  <w:r>
                    <w:rPr>
                      <w:rFonts w:ascii="Times New Roman" w:hAnsi="Times New Roman" w:cs="Times New Roman"/>
                      <w:szCs w:val="21"/>
                    </w:rPr>
                    <w:sym w:font="Wingdings" w:char="00FE"/>
                  </w:r>
                </w:p>
              </w:tc>
              <w:tc>
                <w:tcPr>
                  <w:tcW w:w="1250"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地下水 </w:t>
                  </w:r>
                  <w:r>
                    <w:rPr>
                      <w:rFonts w:ascii="Times New Roman" w:hAnsi="Times New Roman" w:cs="Times New Roman"/>
                      <w:szCs w:val="21"/>
                    </w:rPr>
                    <w:sym w:font="Wingdings" w:char="00F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888" w:type="pct"/>
                  <w:gridSpan w:val="2"/>
                  <w:vAlign w:val="center"/>
                </w:tcPr>
                <w:p>
                  <w:pPr>
                    <w:jc w:val="center"/>
                    <w:rPr>
                      <w:rFonts w:ascii="Times New Roman" w:hAnsi="Times New Roman" w:cs="Times New Roman"/>
                      <w:szCs w:val="21"/>
                    </w:rPr>
                  </w:pPr>
                  <w:r>
                    <w:rPr>
                      <w:rFonts w:ascii="Times New Roman" w:hAnsi="Times New Roman" w:cs="Times New Roman"/>
                      <w:szCs w:val="21"/>
                    </w:rPr>
                    <w:t>事故情形分析</w:t>
                  </w:r>
                </w:p>
              </w:tc>
              <w:tc>
                <w:tcPr>
                  <w:tcW w:w="814" w:type="pct"/>
                  <w:gridSpan w:val="2"/>
                  <w:vAlign w:val="center"/>
                </w:tcPr>
                <w:p>
                  <w:pPr>
                    <w:jc w:val="center"/>
                    <w:rPr>
                      <w:rFonts w:ascii="Times New Roman" w:hAnsi="Times New Roman" w:cs="Times New Roman"/>
                      <w:szCs w:val="21"/>
                    </w:rPr>
                  </w:pPr>
                  <w:r>
                    <w:rPr>
                      <w:rFonts w:ascii="Times New Roman" w:hAnsi="Times New Roman" w:cs="Times New Roman"/>
                      <w:szCs w:val="21"/>
                    </w:rPr>
                    <w:t>源强设定方法</w:t>
                  </w:r>
                </w:p>
              </w:tc>
              <w:tc>
                <w:tcPr>
                  <w:tcW w:w="879" w:type="pct"/>
                  <w:gridSpan w:val="2"/>
                  <w:vAlign w:val="center"/>
                </w:tcPr>
                <w:p>
                  <w:pPr>
                    <w:jc w:val="center"/>
                    <w:rPr>
                      <w:rFonts w:ascii="Times New Roman" w:hAnsi="Times New Roman" w:cs="Times New Roman"/>
                      <w:szCs w:val="21"/>
                    </w:rPr>
                  </w:pPr>
                  <w:r>
                    <w:rPr>
                      <w:rFonts w:ascii="Times New Roman" w:hAnsi="Times New Roman" w:cs="Times New Roman"/>
                      <w:szCs w:val="21"/>
                    </w:rPr>
                    <w:t xml:space="preserve">计算法 </w:t>
                  </w:r>
                  <w:r>
                    <w:rPr>
                      <w:rFonts w:ascii="Times New Roman" w:hAnsi="Times New Roman" w:cs="Times New Roman"/>
                      <w:szCs w:val="21"/>
                    </w:rPr>
                    <w:sym w:font="Wingdings" w:char="00A8"/>
                  </w:r>
                </w:p>
              </w:tc>
              <w:tc>
                <w:tcPr>
                  <w:tcW w:w="1170" w:type="pct"/>
                  <w:gridSpan w:val="4"/>
                  <w:vAlign w:val="center"/>
                </w:tcPr>
                <w:p>
                  <w:pPr>
                    <w:jc w:val="center"/>
                    <w:rPr>
                      <w:rFonts w:ascii="Times New Roman" w:hAnsi="Times New Roman" w:cs="Times New Roman"/>
                      <w:szCs w:val="21"/>
                    </w:rPr>
                  </w:pPr>
                  <w:r>
                    <w:rPr>
                      <w:rFonts w:ascii="Times New Roman" w:hAnsi="Times New Roman" w:cs="Times New Roman"/>
                      <w:szCs w:val="21"/>
                    </w:rPr>
                    <w:t xml:space="preserve">经验估算法 </w:t>
                  </w:r>
                  <w:r>
                    <w:rPr>
                      <w:rFonts w:ascii="Times New Roman" w:hAnsi="Times New Roman" w:cs="Times New Roman"/>
                      <w:szCs w:val="21"/>
                    </w:rPr>
                    <w:sym w:font="Wingdings" w:char="00A8"/>
                  </w:r>
                </w:p>
              </w:tc>
              <w:tc>
                <w:tcPr>
                  <w:tcW w:w="1250"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其他估算法 </w:t>
                  </w:r>
                  <w:r>
                    <w:rPr>
                      <w:rFonts w:ascii="Times New Roman" w:hAnsi="Times New Roman" w:cs="Times New Roman"/>
                      <w:szCs w:val="21"/>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224" w:type="pct"/>
                  <w:vMerge w:val="restart"/>
                  <w:vAlign w:val="center"/>
                </w:tcPr>
                <w:p>
                  <w:pPr>
                    <w:jc w:val="center"/>
                    <w:rPr>
                      <w:rFonts w:ascii="Times New Roman" w:hAnsi="Times New Roman" w:cs="Times New Roman"/>
                      <w:szCs w:val="21"/>
                    </w:rPr>
                  </w:pPr>
                  <w:r>
                    <w:rPr>
                      <w:rFonts w:ascii="Times New Roman" w:hAnsi="Times New Roman" w:cs="Times New Roman"/>
                      <w:szCs w:val="21"/>
                    </w:rPr>
                    <w:t>风险预测与评价</w:t>
                  </w:r>
                </w:p>
              </w:tc>
              <w:tc>
                <w:tcPr>
                  <w:tcW w:w="663" w:type="pct"/>
                  <w:vMerge w:val="restart"/>
                  <w:vAlign w:val="center"/>
                </w:tcPr>
                <w:p>
                  <w:pPr>
                    <w:jc w:val="center"/>
                    <w:rPr>
                      <w:rFonts w:ascii="Times New Roman" w:hAnsi="Times New Roman" w:cs="Times New Roman"/>
                      <w:szCs w:val="21"/>
                    </w:rPr>
                  </w:pPr>
                  <w:r>
                    <w:rPr>
                      <w:rFonts w:ascii="Times New Roman" w:hAnsi="Times New Roman" w:cs="Times New Roman"/>
                      <w:szCs w:val="21"/>
                    </w:rPr>
                    <w:t>大气</w:t>
                  </w:r>
                </w:p>
              </w:tc>
              <w:tc>
                <w:tcPr>
                  <w:tcW w:w="814" w:type="pct"/>
                  <w:gridSpan w:val="2"/>
                  <w:vAlign w:val="center"/>
                </w:tcPr>
                <w:p>
                  <w:pPr>
                    <w:jc w:val="center"/>
                    <w:rPr>
                      <w:rFonts w:ascii="Times New Roman" w:hAnsi="Times New Roman" w:cs="Times New Roman"/>
                      <w:szCs w:val="21"/>
                    </w:rPr>
                  </w:pPr>
                  <w:r>
                    <w:rPr>
                      <w:rFonts w:ascii="Times New Roman" w:hAnsi="Times New Roman" w:cs="Times New Roman"/>
                      <w:szCs w:val="21"/>
                    </w:rPr>
                    <w:t>预测模型</w:t>
                  </w:r>
                </w:p>
              </w:tc>
              <w:tc>
                <w:tcPr>
                  <w:tcW w:w="879" w:type="pct"/>
                  <w:gridSpan w:val="2"/>
                  <w:vAlign w:val="center"/>
                </w:tcPr>
                <w:p>
                  <w:pPr>
                    <w:jc w:val="center"/>
                    <w:rPr>
                      <w:rFonts w:ascii="Times New Roman" w:hAnsi="Times New Roman" w:cs="Times New Roman"/>
                      <w:szCs w:val="21"/>
                    </w:rPr>
                  </w:pPr>
                  <w:r>
                    <w:rPr>
                      <w:rFonts w:ascii="Times New Roman" w:hAnsi="Times New Roman" w:cs="Times New Roman"/>
                      <w:szCs w:val="21"/>
                    </w:rPr>
                    <w:t xml:space="preserve">SLAB </w:t>
                  </w:r>
                  <w:r>
                    <w:rPr>
                      <w:rFonts w:ascii="Times New Roman" w:hAnsi="Times New Roman" w:cs="Times New Roman"/>
                      <w:szCs w:val="21"/>
                    </w:rPr>
                    <w:sym w:font="Wingdings" w:char="00A8"/>
                  </w:r>
                </w:p>
              </w:tc>
              <w:tc>
                <w:tcPr>
                  <w:tcW w:w="1170" w:type="pct"/>
                  <w:gridSpan w:val="4"/>
                  <w:vAlign w:val="center"/>
                </w:tcPr>
                <w:p>
                  <w:pPr>
                    <w:jc w:val="center"/>
                    <w:rPr>
                      <w:rFonts w:ascii="Times New Roman" w:hAnsi="Times New Roman" w:cs="Times New Roman"/>
                      <w:szCs w:val="21"/>
                    </w:rPr>
                  </w:pPr>
                  <w:r>
                    <w:rPr>
                      <w:rFonts w:ascii="Times New Roman" w:hAnsi="Times New Roman" w:cs="Times New Roman"/>
                      <w:szCs w:val="21"/>
                    </w:rPr>
                    <w:t xml:space="preserve">AFTOX </w:t>
                  </w:r>
                  <w:r>
                    <w:rPr>
                      <w:rFonts w:ascii="Times New Roman" w:hAnsi="Times New Roman" w:cs="Times New Roman"/>
                      <w:szCs w:val="21"/>
                    </w:rPr>
                    <w:sym w:font="Wingdings" w:char="00A8"/>
                  </w:r>
                </w:p>
              </w:tc>
              <w:tc>
                <w:tcPr>
                  <w:tcW w:w="1250" w:type="pct"/>
                  <w:gridSpan w:val="3"/>
                  <w:vAlign w:val="center"/>
                </w:tcPr>
                <w:p>
                  <w:pPr>
                    <w:jc w:val="center"/>
                    <w:rPr>
                      <w:rFonts w:ascii="Times New Roman" w:hAnsi="Times New Roman" w:cs="Times New Roman"/>
                      <w:szCs w:val="21"/>
                    </w:rPr>
                  </w:pPr>
                  <w:r>
                    <w:rPr>
                      <w:rFonts w:ascii="Times New Roman" w:hAnsi="Times New Roman" w:cs="Times New Roman"/>
                      <w:szCs w:val="21"/>
                    </w:rPr>
                    <w:t xml:space="preserve">其他 </w:t>
                  </w:r>
                  <w:r>
                    <w:rPr>
                      <w:rFonts w:ascii="Times New Roman" w:hAnsi="Times New Roman" w:cs="Times New Roman"/>
                      <w:szCs w:val="21"/>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continue"/>
                  <w:vAlign w:val="center"/>
                </w:tcPr>
                <w:p>
                  <w:pPr>
                    <w:jc w:val="center"/>
                    <w:rPr>
                      <w:rFonts w:ascii="Times New Roman" w:hAnsi="Times New Roman" w:cs="Times New Roman"/>
                      <w:szCs w:val="21"/>
                    </w:rPr>
                  </w:pPr>
                </w:p>
              </w:tc>
              <w:tc>
                <w:tcPr>
                  <w:tcW w:w="814" w:type="pct"/>
                  <w:gridSpan w:val="2"/>
                  <w:vMerge w:val="restart"/>
                  <w:vAlign w:val="center"/>
                </w:tcPr>
                <w:p>
                  <w:pPr>
                    <w:jc w:val="center"/>
                    <w:rPr>
                      <w:rFonts w:ascii="Times New Roman" w:hAnsi="Times New Roman" w:cs="Times New Roman"/>
                      <w:szCs w:val="21"/>
                    </w:rPr>
                  </w:pPr>
                  <w:r>
                    <w:rPr>
                      <w:rFonts w:ascii="Times New Roman" w:hAnsi="Times New Roman" w:cs="Times New Roman"/>
                      <w:szCs w:val="21"/>
                    </w:rPr>
                    <w:t>预测结果</w:t>
                  </w:r>
                </w:p>
              </w:tc>
              <w:tc>
                <w:tcPr>
                  <w:tcW w:w="3298" w:type="pct"/>
                  <w:gridSpan w:val="9"/>
                  <w:vAlign w:val="center"/>
                </w:tcPr>
                <w:p>
                  <w:pPr>
                    <w:jc w:val="center"/>
                    <w:rPr>
                      <w:rFonts w:ascii="Times New Roman" w:hAnsi="Times New Roman" w:cs="Times New Roman"/>
                      <w:szCs w:val="21"/>
                    </w:rPr>
                  </w:pPr>
                  <w:r>
                    <w:rPr>
                      <w:rFonts w:ascii="Times New Roman" w:hAnsi="Times New Roman" w:cs="Times New Roman"/>
                      <w:szCs w:val="21"/>
                    </w:rPr>
                    <w:t>大气毒性终点浓度-1 最大影响范围</w:t>
                  </w:r>
                  <w:r>
                    <w:rPr>
                      <w:rFonts w:ascii="Times New Roman" w:hAnsi="Times New Roman" w:cs="Times New Roman"/>
                      <w:szCs w:val="21"/>
                      <w:u w:val="single"/>
                    </w:rPr>
                    <w:t xml:space="preserve">    </w:t>
                  </w:r>
                  <w:r>
                    <w:rPr>
                      <w:rFonts w:ascii="Times New Roman" w:hAnsi="Times New Roman" w:cs="Times New Roman"/>
                      <w:szCs w:val="21"/>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continue"/>
                  <w:vAlign w:val="center"/>
                </w:tcPr>
                <w:p>
                  <w:pPr>
                    <w:jc w:val="center"/>
                    <w:rPr>
                      <w:rFonts w:ascii="Times New Roman" w:hAnsi="Times New Roman" w:cs="Times New Roman"/>
                      <w:szCs w:val="21"/>
                    </w:rPr>
                  </w:pPr>
                </w:p>
              </w:tc>
              <w:tc>
                <w:tcPr>
                  <w:tcW w:w="814" w:type="pct"/>
                  <w:gridSpan w:val="2"/>
                  <w:vMerge w:val="continue"/>
                  <w:vAlign w:val="center"/>
                </w:tcPr>
                <w:p>
                  <w:pPr>
                    <w:jc w:val="center"/>
                    <w:rPr>
                      <w:rFonts w:ascii="Times New Roman" w:hAnsi="Times New Roman" w:cs="Times New Roman"/>
                      <w:szCs w:val="21"/>
                    </w:rPr>
                  </w:pPr>
                </w:p>
              </w:tc>
              <w:tc>
                <w:tcPr>
                  <w:tcW w:w="3298" w:type="pct"/>
                  <w:gridSpan w:val="9"/>
                  <w:vAlign w:val="center"/>
                </w:tcPr>
                <w:p>
                  <w:pPr>
                    <w:jc w:val="center"/>
                    <w:rPr>
                      <w:rFonts w:ascii="Times New Roman" w:hAnsi="Times New Roman" w:cs="Times New Roman"/>
                      <w:szCs w:val="21"/>
                    </w:rPr>
                  </w:pPr>
                  <w:r>
                    <w:rPr>
                      <w:rFonts w:ascii="Times New Roman" w:hAnsi="Times New Roman" w:cs="Times New Roman"/>
                      <w:szCs w:val="21"/>
                    </w:rPr>
                    <w:t>大气毒性终点浓度-2 最大影响范围</w:t>
                  </w:r>
                  <w:r>
                    <w:rPr>
                      <w:rFonts w:ascii="Times New Roman" w:hAnsi="Times New Roman" w:cs="Times New Roman"/>
                      <w:szCs w:val="21"/>
                      <w:u w:val="single"/>
                    </w:rPr>
                    <w:t xml:space="preserve">    </w:t>
                  </w:r>
                  <w:r>
                    <w:rPr>
                      <w:rFonts w:ascii="Times New Roman" w:hAnsi="Times New Roman" w:cs="Times New Roman"/>
                      <w:szCs w:val="21"/>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224" w:type="pct"/>
                  <w:vMerge w:val="continue"/>
                  <w:vAlign w:val="center"/>
                </w:tcPr>
                <w:p>
                  <w:pPr>
                    <w:jc w:val="center"/>
                    <w:rPr>
                      <w:rFonts w:ascii="Times New Roman" w:hAnsi="Times New Roman" w:cs="Times New Roman"/>
                      <w:szCs w:val="21"/>
                    </w:rPr>
                  </w:pPr>
                </w:p>
              </w:tc>
              <w:tc>
                <w:tcPr>
                  <w:tcW w:w="663" w:type="pct"/>
                  <w:vAlign w:val="center"/>
                </w:tcPr>
                <w:p>
                  <w:pPr>
                    <w:jc w:val="center"/>
                    <w:rPr>
                      <w:rFonts w:ascii="Times New Roman" w:hAnsi="Times New Roman" w:cs="Times New Roman"/>
                      <w:szCs w:val="21"/>
                    </w:rPr>
                  </w:pPr>
                  <w:r>
                    <w:rPr>
                      <w:rFonts w:ascii="Times New Roman" w:hAnsi="Times New Roman" w:cs="Times New Roman"/>
                      <w:szCs w:val="21"/>
                    </w:rPr>
                    <w:t>地表水</w:t>
                  </w:r>
                </w:p>
              </w:tc>
              <w:tc>
                <w:tcPr>
                  <w:tcW w:w="4112" w:type="pct"/>
                  <w:gridSpan w:val="11"/>
                  <w:vAlign w:val="center"/>
                </w:tcPr>
                <w:p>
                  <w:pPr>
                    <w:jc w:val="center"/>
                    <w:rPr>
                      <w:rFonts w:ascii="Times New Roman" w:hAnsi="Times New Roman" w:cs="Times New Roman"/>
                      <w:szCs w:val="21"/>
                    </w:rPr>
                  </w:pPr>
                  <w:r>
                    <w:rPr>
                      <w:rFonts w:ascii="Times New Roman" w:hAnsi="Times New Roman" w:cs="Times New Roman"/>
                      <w:szCs w:val="21"/>
                    </w:rPr>
                    <w:t>最近环境敏感目标</w:t>
                  </w:r>
                  <w:r>
                    <w:rPr>
                      <w:rFonts w:ascii="Times New Roman" w:hAnsi="Times New Roman" w:cs="Times New Roman"/>
                      <w:szCs w:val="21"/>
                      <w:u w:val="single"/>
                    </w:rPr>
                    <w:t xml:space="preserve">    </w:t>
                  </w:r>
                  <w:r>
                    <w:rPr>
                      <w:rFonts w:ascii="Times New Roman" w:hAnsi="Times New Roman" w:cs="Times New Roman"/>
                      <w:szCs w:val="21"/>
                    </w:rPr>
                    <w:t>，到达时间</w:t>
                  </w:r>
                  <w:r>
                    <w:rPr>
                      <w:rFonts w:ascii="Times New Roman" w:hAnsi="Times New Roman" w:cs="Times New Roman"/>
                      <w:szCs w:val="21"/>
                      <w:u w:val="single"/>
                    </w:rPr>
                    <w:t xml:space="preserve">    </w:t>
                  </w:r>
                  <w:r>
                    <w:rPr>
                      <w:rFonts w:ascii="Times New Roman" w:hAnsi="Times New Roman" w:cs="Times New Roman"/>
                      <w:szCs w:val="21"/>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restart"/>
                  <w:vAlign w:val="center"/>
                </w:tcPr>
                <w:p>
                  <w:pPr>
                    <w:jc w:val="center"/>
                    <w:rPr>
                      <w:rFonts w:ascii="Times New Roman" w:hAnsi="Times New Roman" w:cs="Times New Roman"/>
                      <w:szCs w:val="21"/>
                    </w:rPr>
                  </w:pPr>
                  <w:r>
                    <w:rPr>
                      <w:rFonts w:ascii="Times New Roman" w:hAnsi="Times New Roman" w:cs="Times New Roman"/>
                      <w:szCs w:val="21"/>
                    </w:rPr>
                    <w:t>地下水</w:t>
                  </w:r>
                </w:p>
              </w:tc>
              <w:tc>
                <w:tcPr>
                  <w:tcW w:w="4112" w:type="pct"/>
                  <w:gridSpan w:val="11"/>
                  <w:vAlign w:val="center"/>
                </w:tcPr>
                <w:p>
                  <w:pPr>
                    <w:jc w:val="center"/>
                    <w:rPr>
                      <w:rFonts w:ascii="Times New Roman" w:hAnsi="Times New Roman" w:cs="Times New Roman"/>
                      <w:szCs w:val="21"/>
                    </w:rPr>
                  </w:pPr>
                  <w:r>
                    <w:rPr>
                      <w:rFonts w:ascii="Times New Roman" w:hAnsi="Times New Roman" w:cs="Times New Roman"/>
                      <w:szCs w:val="21"/>
                    </w:rPr>
                    <w:t>下游厂区边界到达时间</w:t>
                  </w:r>
                  <w:r>
                    <w:rPr>
                      <w:rFonts w:ascii="Times New Roman" w:hAnsi="Times New Roman" w:cs="Times New Roman"/>
                      <w:szCs w:val="21"/>
                      <w:u w:val="single"/>
                    </w:rPr>
                    <w:t xml:space="preserve">     </w:t>
                  </w:r>
                  <w:r>
                    <w:rPr>
                      <w:rFonts w:ascii="Times New Roman" w:hAnsi="Times New Roman" w:cs="Times New Roman"/>
                      <w:szCs w:val="21"/>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24" w:type="pct"/>
                  <w:vMerge w:val="continue"/>
                  <w:vAlign w:val="center"/>
                </w:tcPr>
                <w:p>
                  <w:pPr>
                    <w:jc w:val="center"/>
                    <w:rPr>
                      <w:rFonts w:ascii="Times New Roman" w:hAnsi="Times New Roman" w:cs="Times New Roman"/>
                      <w:szCs w:val="21"/>
                    </w:rPr>
                  </w:pPr>
                </w:p>
              </w:tc>
              <w:tc>
                <w:tcPr>
                  <w:tcW w:w="663" w:type="pct"/>
                  <w:vMerge w:val="continue"/>
                  <w:vAlign w:val="center"/>
                </w:tcPr>
                <w:p>
                  <w:pPr>
                    <w:jc w:val="center"/>
                    <w:rPr>
                      <w:rFonts w:ascii="Times New Roman" w:hAnsi="Times New Roman" w:cs="Times New Roman"/>
                      <w:szCs w:val="21"/>
                    </w:rPr>
                  </w:pPr>
                </w:p>
              </w:tc>
              <w:tc>
                <w:tcPr>
                  <w:tcW w:w="4112" w:type="pct"/>
                  <w:gridSpan w:val="11"/>
                  <w:vAlign w:val="center"/>
                </w:tcPr>
                <w:p>
                  <w:pPr>
                    <w:jc w:val="center"/>
                    <w:rPr>
                      <w:rFonts w:ascii="Times New Roman" w:hAnsi="Times New Roman" w:cs="Times New Roman"/>
                      <w:szCs w:val="21"/>
                    </w:rPr>
                  </w:pPr>
                  <w:r>
                    <w:rPr>
                      <w:rFonts w:ascii="Times New Roman" w:hAnsi="Times New Roman" w:cs="Times New Roman"/>
                      <w:szCs w:val="21"/>
                    </w:rPr>
                    <w:t>最近环境敏感目标</w:t>
                  </w:r>
                  <w:r>
                    <w:rPr>
                      <w:rFonts w:ascii="Times New Roman" w:hAnsi="Times New Roman" w:cs="Times New Roman"/>
                      <w:szCs w:val="21"/>
                      <w:u w:val="single"/>
                    </w:rPr>
                    <w:t xml:space="preserve">    </w:t>
                  </w:r>
                  <w:r>
                    <w:rPr>
                      <w:rFonts w:ascii="Times New Roman" w:hAnsi="Times New Roman" w:cs="Times New Roman"/>
                      <w:szCs w:val="21"/>
                    </w:rPr>
                    <w:t>，到达时间</w:t>
                  </w:r>
                  <w:r>
                    <w:rPr>
                      <w:rFonts w:ascii="Times New Roman" w:hAnsi="Times New Roman" w:cs="Times New Roman"/>
                      <w:szCs w:val="21"/>
                      <w:u w:val="single"/>
                    </w:rPr>
                    <w:t xml:space="preserve">    </w:t>
                  </w:r>
                  <w:r>
                    <w:rPr>
                      <w:rFonts w:ascii="Times New Roman" w:hAnsi="Times New Roman" w:cs="Times New Roman"/>
                      <w:szCs w:val="21"/>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4" w:hRule="atLeast"/>
                <w:jc w:val="center"/>
              </w:trPr>
              <w:tc>
                <w:tcPr>
                  <w:tcW w:w="888" w:type="pct"/>
                  <w:gridSpan w:val="2"/>
                  <w:vMerge w:val="restart"/>
                  <w:vAlign w:val="center"/>
                </w:tcPr>
                <w:p>
                  <w:pPr>
                    <w:jc w:val="center"/>
                    <w:rPr>
                      <w:rFonts w:ascii="Times New Roman" w:hAnsi="Times New Roman" w:cs="Times New Roman"/>
                      <w:szCs w:val="21"/>
                    </w:rPr>
                  </w:pPr>
                  <w:r>
                    <w:rPr>
                      <w:rFonts w:ascii="Times New Roman" w:hAnsi="Times New Roman" w:cs="Times New Roman"/>
                      <w:szCs w:val="21"/>
                    </w:rPr>
                    <w:t>重点风险防范措施</w:t>
                  </w:r>
                </w:p>
              </w:tc>
              <w:tc>
                <w:tcPr>
                  <w:tcW w:w="4112" w:type="pct"/>
                  <w:gridSpan w:val="11"/>
                  <w:vAlign w:val="center"/>
                </w:tcPr>
                <w:p>
                  <w:pPr>
                    <w:jc w:val="left"/>
                    <w:rPr>
                      <w:rFonts w:ascii="Times New Roman" w:hAnsi="Times New Roman" w:cs="Times New Roman"/>
                      <w:szCs w:val="21"/>
                    </w:rPr>
                  </w:pPr>
                  <w:r>
                    <w:rPr>
                      <w:rFonts w:ascii="Times New Roman" w:hAnsi="Times New Roman" w:cs="Times New Roman"/>
                      <w:szCs w:val="21"/>
                    </w:rPr>
                    <w:t>1.泄漏物料设置围堰进行收集，收集的危险化学品按危险废物的处理方法委托有资质单位处理。仓库地面应做防腐、防渗措施。若发生渗漏，可通过导流沟进行收集，不会对外环境造成影响。废切削液、切削液贮存于密闭容器内，并设置防泄漏托盘，防止物料泄漏。若发生渗漏，可通过导流沟进行收集，不会对外环境造成影响。不和其它废水混合排放，不进入雨水管网，不直接进入水体；</w:t>
                  </w:r>
                </w:p>
                <w:p>
                  <w:pPr>
                    <w:jc w:val="left"/>
                    <w:rPr>
                      <w:rFonts w:ascii="Times New Roman" w:hAnsi="Times New Roman" w:cs="Times New Roman"/>
                      <w:szCs w:val="21"/>
                    </w:rPr>
                  </w:pPr>
                  <w:r>
                    <w:rPr>
                      <w:rFonts w:ascii="Times New Roman" w:hAnsi="Times New Roman" w:cs="Times New Roman"/>
                      <w:szCs w:val="21"/>
                    </w:rPr>
                    <w:t>2.加强各类生产设备的检修及保养，提高管理人员素质，并设置机器事故应急措施及管理制度，确保设备长期处于良好状态，使设备达到预期的处理效果；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3" w:hRule="atLeast"/>
                <w:jc w:val="center"/>
              </w:trPr>
              <w:tc>
                <w:tcPr>
                  <w:tcW w:w="888" w:type="pct"/>
                  <w:gridSpan w:val="2"/>
                  <w:vAlign w:val="center"/>
                </w:tcPr>
                <w:p>
                  <w:pPr>
                    <w:jc w:val="center"/>
                    <w:rPr>
                      <w:rFonts w:ascii="Times New Roman" w:hAnsi="Times New Roman" w:cs="Times New Roman"/>
                      <w:szCs w:val="21"/>
                    </w:rPr>
                  </w:pPr>
                  <w:r>
                    <w:rPr>
                      <w:rFonts w:ascii="Times New Roman" w:hAnsi="Times New Roman" w:cs="Times New Roman"/>
                      <w:szCs w:val="21"/>
                    </w:rPr>
                    <w:t>评价结论与建议</w:t>
                  </w:r>
                </w:p>
              </w:tc>
              <w:tc>
                <w:tcPr>
                  <w:tcW w:w="4112" w:type="pct"/>
                  <w:gridSpan w:val="11"/>
                  <w:vAlign w:val="center"/>
                </w:tcPr>
                <w:p>
                  <w:pPr>
                    <w:jc w:val="left"/>
                    <w:rPr>
                      <w:rFonts w:ascii="Times New Roman" w:hAnsi="Times New Roman" w:cs="Times New Roman"/>
                      <w:szCs w:val="21"/>
                    </w:rPr>
                  </w:pPr>
                  <w:r>
                    <w:rPr>
                      <w:rFonts w:ascii="Times New Roman" w:hAnsi="Times New Roman" w:cs="Times New Roman"/>
                      <w:szCs w:val="21"/>
                    </w:rPr>
                    <w:t>根据环境风险判定结果，建设项目环境风险潜势为</w:t>
                  </w:r>
                  <w:r>
                    <w:rPr>
                      <w:rFonts w:ascii="Times New Roman" w:hAnsi="Times New Roman" w:eastAsia="微软雅黑" w:cs="Times New Roman"/>
                      <w:szCs w:val="21"/>
                    </w:rPr>
                    <w:t>Ⅰ</w:t>
                  </w:r>
                  <w:r>
                    <w:rPr>
                      <w:rFonts w:ascii="Times New Roman" w:hAnsi="Times New Roman" w:cs="Times New Roman"/>
                      <w:szCs w:val="21"/>
                    </w:rPr>
                    <w:t>，环境风险较小，太仓东泰精密机械有限公司新建升降床等专用设备项目建设单位通过强化对有毒有害物质、危险化学品、废气的工程控制措施，同时制定有针对性的应急计划，建设项目环境风险可控。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5000" w:type="pct"/>
                  <w:gridSpan w:val="13"/>
                  <w:vAlign w:val="center"/>
                </w:tcPr>
                <w:p>
                  <w:pPr>
                    <w:rPr>
                      <w:rFonts w:ascii="Times New Roman" w:hAnsi="Times New Roman" w:cs="Times New Roman"/>
                      <w:szCs w:val="21"/>
                    </w:rPr>
                  </w:pPr>
                  <w:r>
                    <w:rPr>
                      <w:rFonts w:ascii="Times New Roman" w:hAnsi="Times New Roman" w:cs="Times New Roman"/>
                      <w:szCs w:val="21"/>
                    </w:rPr>
                    <w:t>注：“</w:t>
                  </w:r>
                  <w:r>
                    <w:rPr>
                      <w:rFonts w:ascii="Times New Roman" w:hAnsi="Times New Roman" w:cs="Times New Roman"/>
                      <w:szCs w:val="21"/>
                    </w:rPr>
                    <w:sym w:font="Wingdings" w:char="00A8"/>
                  </w:r>
                  <w:r>
                    <w:rPr>
                      <w:rFonts w:ascii="Times New Roman" w:hAnsi="Times New Roman" w:cs="Times New Roman"/>
                      <w:szCs w:val="21"/>
                    </w:rPr>
                    <w:t>”为勾选项，“</w:t>
                  </w:r>
                  <w:r>
                    <w:rPr>
                      <w:rFonts w:ascii="Times New Roman" w:hAnsi="Times New Roman" w:cs="Times New Roman"/>
                      <w:szCs w:val="21"/>
                      <w:u w:val="single"/>
                    </w:rPr>
                    <w:t xml:space="preserve">    </w:t>
                  </w:r>
                  <w:r>
                    <w:rPr>
                      <w:rFonts w:ascii="Times New Roman" w:hAnsi="Times New Roman" w:cs="Times New Roman"/>
                      <w:szCs w:val="21"/>
                    </w:rPr>
                    <w:t>”为填写项。</w:t>
                  </w:r>
                </w:p>
              </w:tc>
            </w:tr>
          </w:tbl>
          <w:p>
            <w:pPr>
              <w:pStyle w:val="16"/>
              <w:jc w:val="cente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tabs>
                <w:tab w:val="left" w:pos="2202"/>
              </w:tabs>
              <w:rPr>
                <w:rFonts w:ascii="Times New Roman" w:hAnsi="Times New Roman" w:cs="Times New Roman"/>
              </w:rPr>
            </w:pPr>
            <w:r>
              <w:rPr>
                <w:rFonts w:ascii="Times New Roman" w:hAnsi="Times New Roman" w:cs="Times New Roman"/>
              </w:rPr>
              <w:tab/>
            </w:r>
          </w:p>
          <w:p>
            <w:pPr>
              <w:tabs>
                <w:tab w:val="left" w:pos="2202"/>
              </w:tabs>
              <w:rPr>
                <w:rFonts w:ascii="Times New Roman" w:hAnsi="Times New Roman" w:cs="Times New Roman"/>
              </w:rPr>
            </w:pPr>
          </w:p>
          <w:p>
            <w:pPr>
              <w:tabs>
                <w:tab w:val="left" w:pos="2202"/>
              </w:tabs>
              <w:rPr>
                <w:rFonts w:ascii="Times New Roman" w:hAnsi="Times New Roman" w:cs="Times New Roman"/>
              </w:rPr>
            </w:pPr>
          </w:p>
          <w:p>
            <w:pPr>
              <w:tabs>
                <w:tab w:val="left" w:pos="2202"/>
              </w:tabs>
              <w:rPr>
                <w:rFonts w:ascii="Times New Roman" w:hAnsi="Times New Roman" w:cs="Times New Roman"/>
              </w:rPr>
            </w:pPr>
          </w:p>
          <w:p>
            <w:pPr>
              <w:tabs>
                <w:tab w:val="left" w:pos="2202"/>
              </w:tabs>
              <w:rPr>
                <w:rFonts w:ascii="Times New Roman" w:hAnsi="Times New Roman" w:cs="Times New Roman"/>
              </w:rPr>
            </w:pPr>
          </w:p>
          <w:p>
            <w:pPr>
              <w:tabs>
                <w:tab w:val="left" w:pos="2202"/>
              </w:tabs>
              <w:rPr>
                <w:rFonts w:ascii="Times New Roman" w:hAnsi="Times New Roman" w:cs="Times New Roman"/>
              </w:rPr>
            </w:pPr>
          </w:p>
          <w:p>
            <w:pPr>
              <w:tabs>
                <w:tab w:val="left" w:pos="2202"/>
              </w:tabs>
              <w:rPr>
                <w:rFonts w:ascii="Times New Roman" w:hAnsi="Times New Roman" w:cs="Times New Roman"/>
              </w:rPr>
            </w:pPr>
          </w:p>
          <w:p>
            <w:pPr>
              <w:tabs>
                <w:tab w:val="left" w:pos="2202"/>
              </w:tabs>
              <w:rPr>
                <w:rFonts w:ascii="Times New Roman" w:hAnsi="Times New Roman" w:cs="Times New Roman"/>
              </w:rPr>
            </w:pPr>
          </w:p>
        </w:tc>
      </w:tr>
    </w:tbl>
    <w:p>
      <w:pPr>
        <w:rPr>
          <w:rFonts w:ascii="Times New Roman" w:hAnsi="Times New Roman" w:cs="Times New Roman"/>
        </w:rPr>
      </w:pPr>
    </w:p>
    <w:p>
      <w:pPr>
        <w:pStyle w:val="2"/>
        <w:spacing w:before="0" w:after="0" w:line="440" w:lineRule="exact"/>
        <w:rPr>
          <w:sz w:val="28"/>
          <w:szCs w:val="28"/>
        </w:rPr>
      </w:pPr>
      <w:r>
        <w:rPr>
          <w:sz w:val="28"/>
          <w:szCs w:val="28"/>
        </w:rPr>
        <w:t>八、建设项目拟采取的治措施及预期治理效果</w:t>
      </w:r>
    </w:p>
    <w:p>
      <w:pPr>
        <w:rPr>
          <w:rFonts w:ascii="Times New Roman" w:hAnsi="Times New Roman" w:cs="Times New Roman"/>
        </w:rPr>
      </w:pPr>
    </w:p>
    <w:tbl>
      <w:tblPr>
        <w:tblStyle w:val="36"/>
        <w:tblW w:w="935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2"/>
        <w:gridCol w:w="1036"/>
        <w:gridCol w:w="1640"/>
        <w:gridCol w:w="2693"/>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 w:hRule="atLeast"/>
        </w:trPr>
        <w:tc>
          <w:tcPr>
            <w:tcW w:w="1152" w:type="dxa"/>
            <w:tcBorders>
              <w:top w:val="single" w:color="auto" w:sz="12" w:space="0"/>
              <w:left w:val="single" w:color="auto" w:sz="12" w:space="0"/>
              <w:tl2br w:val="single" w:color="auto" w:sz="4"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 xml:space="preserve">  内容</w:t>
            </w:r>
          </w:p>
          <w:p>
            <w:pPr>
              <w:rPr>
                <w:rFonts w:ascii="Times New Roman" w:hAnsi="Times New Roman" w:cs="Times New Roman"/>
                <w:b/>
                <w:bCs/>
                <w:szCs w:val="21"/>
              </w:rPr>
            </w:pPr>
            <w:r>
              <w:rPr>
                <w:rFonts w:ascii="Times New Roman" w:hAnsi="Times New Roman" w:cs="Times New Roman"/>
                <w:b/>
                <w:bCs/>
                <w:szCs w:val="21"/>
              </w:rPr>
              <w:t>类型</w:t>
            </w:r>
          </w:p>
        </w:tc>
        <w:tc>
          <w:tcPr>
            <w:tcW w:w="1036" w:type="dxa"/>
            <w:tcBorders>
              <w:top w:val="single" w:color="auto" w:sz="12"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排放源</w:t>
            </w:r>
          </w:p>
        </w:tc>
        <w:tc>
          <w:tcPr>
            <w:tcW w:w="1640" w:type="dxa"/>
            <w:tcBorders>
              <w:top w:val="single" w:color="auto" w:sz="12"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污染物名称</w:t>
            </w:r>
          </w:p>
        </w:tc>
        <w:tc>
          <w:tcPr>
            <w:tcW w:w="2693" w:type="dxa"/>
            <w:tcBorders>
              <w:top w:val="single" w:color="auto" w:sz="12"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防治措施</w:t>
            </w:r>
          </w:p>
        </w:tc>
        <w:tc>
          <w:tcPr>
            <w:tcW w:w="2835" w:type="dxa"/>
            <w:tcBorders>
              <w:top w:val="single" w:color="auto" w:sz="12" w:space="0"/>
              <w:right w:val="single" w:color="auto" w:sz="12" w:space="0"/>
            </w:tcBorders>
            <w:vAlign w:val="center"/>
          </w:tcPr>
          <w:p>
            <w:pPr>
              <w:jc w:val="center"/>
              <w:rPr>
                <w:rFonts w:ascii="Times New Roman" w:hAnsi="Times New Roman" w:cs="Times New Roman"/>
                <w:b/>
                <w:bCs/>
                <w:szCs w:val="21"/>
              </w:rPr>
            </w:pPr>
            <w:r>
              <w:rPr>
                <w:rFonts w:ascii="Times New Roman" w:hAnsi="Times New Roman" w:cs="Times New Roman"/>
                <w:b/>
                <w:bCs/>
                <w:szCs w:val="21"/>
              </w:rPr>
              <w:t>预期治理</w:t>
            </w:r>
          </w:p>
          <w:p>
            <w:pPr>
              <w:jc w:val="center"/>
              <w:rPr>
                <w:rFonts w:ascii="Times New Roman" w:hAnsi="Times New Roman" w:cs="Times New Roman"/>
                <w:b/>
                <w:bCs/>
                <w:szCs w:val="21"/>
              </w:rPr>
            </w:pPr>
            <w:r>
              <w:rPr>
                <w:rFonts w:ascii="Times New Roman" w:hAnsi="Times New Roman" w:cs="Times New Roman"/>
                <w:b/>
                <w:bCs/>
                <w:szCs w:val="21"/>
              </w:rPr>
              <w:t>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8" w:hRule="atLeast"/>
        </w:trPr>
        <w:tc>
          <w:tcPr>
            <w:tcW w:w="1152" w:type="dxa"/>
            <w:tcBorders>
              <w:left w:val="single" w:color="auto" w:sz="12" w:space="0"/>
            </w:tcBorders>
            <w:vAlign w:val="center"/>
          </w:tcPr>
          <w:p>
            <w:pPr>
              <w:jc w:val="center"/>
              <w:rPr>
                <w:rFonts w:ascii="Times New Roman" w:hAnsi="Times New Roman" w:cs="Times New Roman"/>
                <w:szCs w:val="21"/>
              </w:rPr>
            </w:pPr>
            <w:r>
              <w:rPr>
                <w:rFonts w:ascii="Times New Roman" w:hAnsi="Times New Roman" w:cs="Times New Roman"/>
                <w:szCs w:val="21"/>
              </w:rPr>
              <w:t>大气污染物</w:t>
            </w:r>
          </w:p>
        </w:tc>
        <w:tc>
          <w:tcPr>
            <w:tcW w:w="1036"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生产车间</w:t>
            </w:r>
          </w:p>
        </w:tc>
        <w:tc>
          <w:tcPr>
            <w:tcW w:w="1640" w:type="dxa"/>
            <w:vAlign w:val="center"/>
          </w:tcPr>
          <w:p>
            <w:pPr>
              <w:jc w:val="center"/>
              <w:rPr>
                <w:rFonts w:ascii="Times New Roman" w:hAnsi="Times New Roman" w:cs="Times New Roman"/>
                <w:szCs w:val="21"/>
              </w:rPr>
            </w:pPr>
            <w:r>
              <w:rPr>
                <w:rFonts w:ascii="Times New Roman" w:hAnsi="Times New Roman" w:cs="Times New Roman"/>
                <w:szCs w:val="21"/>
              </w:rPr>
              <w:t>非甲烷总烃</w:t>
            </w:r>
          </w:p>
        </w:tc>
        <w:tc>
          <w:tcPr>
            <w:tcW w:w="2693" w:type="dxa"/>
            <w:vAlign w:val="center"/>
          </w:tcPr>
          <w:p>
            <w:pPr>
              <w:jc w:val="center"/>
              <w:rPr>
                <w:rFonts w:ascii="Times New Roman" w:hAnsi="Times New Roman" w:cs="Times New Roman"/>
                <w:szCs w:val="21"/>
              </w:rPr>
            </w:pPr>
            <w:r>
              <w:rPr>
                <w:rFonts w:ascii="Times New Roman" w:hAnsi="Times New Roman" w:cs="Times New Roman"/>
                <w:szCs w:val="21"/>
              </w:rPr>
              <w:t>车间通风后排放</w:t>
            </w:r>
          </w:p>
        </w:tc>
        <w:tc>
          <w:tcPr>
            <w:tcW w:w="2835" w:type="dxa"/>
            <w:tcBorders>
              <w:right w:val="single" w:color="auto" w:sz="12" w:space="0"/>
            </w:tcBorders>
            <w:vAlign w:val="center"/>
          </w:tcPr>
          <w:p>
            <w:pPr>
              <w:jc w:val="center"/>
              <w:rPr>
                <w:rFonts w:ascii="Times New Roman" w:hAnsi="Times New Roman" w:cs="Times New Roman"/>
                <w:szCs w:val="21"/>
              </w:rPr>
            </w:pPr>
            <w:r>
              <w:rPr>
                <w:rFonts w:ascii="Times New Roman" w:hAnsi="Times New Roman" w:cs="Times New Roman"/>
                <w:szCs w:val="21"/>
              </w:rPr>
              <w:t>达《大气污染物综合排放标准》（GB16297-1996）表2无组织排放监控浓度限值</w:t>
            </w:r>
          </w:p>
          <w:p>
            <w:pPr>
              <w:jc w:val="center"/>
              <w:rPr>
                <w:rFonts w:ascii="Times New Roman" w:hAnsi="Times New Roman" w:cs="Times New Roman"/>
                <w:szCs w:val="21"/>
              </w:rPr>
            </w:pPr>
            <w:r>
              <w:rPr>
                <w:rFonts w:ascii="Times New Roman" w:hAnsi="Times New Roman" w:cs="Times New Roman"/>
                <w:snapToGrid w:val="0"/>
                <w:kern w:val="0"/>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06" w:hRule="atLeast"/>
        </w:trPr>
        <w:tc>
          <w:tcPr>
            <w:tcW w:w="1152" w:type="dxa"/>
            <w:tcBorders>
              <w:left w:val="single" w:color="auto" w:sz="12" w:space="0"/>
            </w:tcBorders>
            <w:vAlign w:val="center"/>
          </w:tcPr>
          <w:p>
            <w:pPr>
              <w:jc w:val="center"/>
              <w:rPr>
                <w:rFonts w:ascii="Times New Roman" w:hAnsi="Times New Roman" w:cs="Times New Roman"/>
                <w:szCs w:val="21"/>
              </w:rPr>
            </w:pPr>
            <w:r>
              <w:rPr>
                <w:rFonts w:ascii="Times New Roman" w:hAnsi="Times New Roman" w:cs="Times New Roman"/>
                <w:szCs w:val="21"/>
              </w:rPr>
              <w:t>水污</w:t>
            </w:r>
          </w:p>
          <w:p>
            <w:pPr>
              <w:jc w:val="center"/>
              <w:rPr>
                <w:rFonts w:ascii="Times New Roman" w:hAnsi="Times New Roman" w:cs="Times New Roman"/>
                <w:szCs w:val="21"/>
              </w:rPr>
            </w:pPr>
            <w:r>
              <w:rPr>
                <w:rFonts w:ascii="Times New Roman" w:hAnsi="Times New Roman" w:cs="Times New Roman"/>
                <w:szCs w:val="21"/>
              </w:rPr>
              <w:t>染物</w:t>
            </w:r>
          </w:p>
        </w:tc>
        <w:tc>
          <w:tcPr>
            <w:tcW w:w="1036"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生活污水</w:t>
            </w:r>
          </w:p>
        </w:tc>
        <w:tc>
          <w:tcPr>
            <w:tcW w:w="1640"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COD、SS、NH</w:t>
            </w:r>
            <w:r>
              <w:rPr>
                <w:rFonts w:ascii="Times New Roman" w:hAnsi="Times New Roman" w:cs="Times New Roman"/>
                <w:szCs w:val="21"/>
                <w:vertAlign w:val="subscript"/>
              </w:rPr>
              <w:t>3</w:t>
            </w:r>
            <w:r>
              <w:rPr>
                <w:rFonts w:ascii="Times New Roman" w:hAnsi="Times New Roman" w:cs="Times New Roman"/>
                <w:szCs w:val="21"/>
              </w:rPr>
              <w:t>-N、TN、TP</w:t>
            </w:r>
          </w:p>
        </w:tc>
        <w:tc>
          <w:tcPr>
            <w:tcW w:w="2693"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w:t>
            </w:r>
          </w:p>
        </w:tc>
        <w:tc>
          <w:tcPr>
            <w:tcW w:w="2835" w:type="dxa"/>
            <w:tcBorders>
              <w:right w:val="single" w:color="auto" w:sz="12" w:space="0"/>
            </w:tcBorders>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达《污水处理厂进水水质要求》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5" w:hRule="atLeast"/>
        </w:trPr>
        <w:tc>
          <w:tcPr>
            <w:tcW w:w="1152" w:type="dxa"/>
            <w:tcBorders>
              <w:left w:val="single" w:color="auto" w:sz="12" w:space="0"/>
            </w:tcBorders>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电离和电磁辐射</w:t>
            </w:r>
          </w:p>
        </w:tc>
        <w:tc>
          <w:tcPr>
            <w:tcW w:w="8204" w:type="dxa"/>
            <w:gridSpan w:val="4"/>
            <w:tcBorders>
              <w:right w:val="single" w:color="auto" w:sz="12" w:space="0"/>
            </w:tcBorders>
            <w:tcMar>
              <w:left w:w="28" w:type="dxa"/>
              <w:right w:w="28" w:type="dxa"/>
            </w:tcMar>
            <w:vAlign w:val="center"/>
          </w:tcPr>
          <w:p>
            <w:pPr>
              <w:jc w:val="center"/>
              <w:rPr>
                <w:rFonts w:ascii="Times New Roman" w:hAnsi="Times New Roman" w:cs="Times New Roman"/>
                <w:szCs w:val="21"/>
              </w:rPr>
            </w:pPr>
            <w:r>
              <w:rPr>
                <w:rFonts w:ascii="Times New Roman" w:hAnsi="Times New Roman" w:cs="Times New Roman"/>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1" w:hRule="atLeast"/>
        </w:trPr>
        <w:tc>
          <w:tcPr>
            <w:tcW w:w="1152" w:type="dxa"/>
            <w:vMerge w:val="restart"/>
            <w:tcBorders>
              <w:left w:val="single" w:color="auto" w:sz="12" w:space="0"/>
            </w:tcBorders>
            <w:vAlign w:val="center"/>
          </w:tcPr>
          <w:p>
            <w:pPr>
              <w:jc w:val="center"/>
              <w:rPr>
                <w:rFonts w:ascii="Times New Roman" w:hAnsi="Times New Roman" w:cs="Times New Roman"/>
                <w:szCs w:val="21"/>
              </w:rPr>
            </w:pPr>
            <w:r>
              <w:rPr>
                <w:rFonts w:ascii="Times New Roman" w:hAnsi="Times New Roman" w:cs="Times New Roman"/>
                <w:szCs w:val="21"/>
              </w:rPr>
              <w:t>固</w:t>
            </w:r>
          </w:p>
          <w:p>
            <w:pPr>
              <w:jc w:val="center"/>
              <w:rPr>
                <w:rFonts w:ascii="Times New Roman" w:hAnsi="Times New Roman" w:cs="Times New Roman"/>
                <w:szCs w:val="21"/>
              </w:rPr>
            </w:pPr>
            <w:r>
              <w:rPr>
                <w:rFonts w:ascii="Times New Roman" w:hAnsi="Times New Roman" w:cs="Times New Roman"/>
                <w:szCs w:val="21"/>
              </w:rPr>
              <w:t>体</w:t>
            </w:r>
          </w:p>
          <w:p>
            <w:pPr>
              <w:jc w:val="center"/>
              <w:rPr>
                <w:rFonts w:ascii="Times New Roman" w:hAnsi="Times New Roman" w:cs="Times New Roman"/>
                <w:szCs w:val="21"/>
              </w:rPr>
            </w:pPr>
            <w:r>
              <w:rPr>
                <w:rFonts w:ascii="Times New Roman" w:hAnsi="Times New Roman" w:cs="Times New Roman"/>
                <w:szCs w:val="21"/>
              </w:rPr>
              <w:t>废</w:t>
            </w:r>
          </w:p>
          <w:p>
            <w:pPr>
              <w:jc w:val="center"/>
              <w:rPr>
                <w:rFonts w:ascii="Times New Roman" w:hAnsi="Times New Roman" w:cs="Times New Roman"/>
                <w:szCs w:val="21"/>
              </w:rPr>
            </w:pPr>
            <w:r>
              <w:rPr>
                <w:rFonts w:ascii="Times New Roman" w:hAnsi="Times New Roman" w:cs="Times New Roman"/>
                <w:szCs w:val="21"/>
              </w:rPr>
              <w:t>物</w:t>
            </w:r>
          </w:p>
        </w:tc>
        <w:tc>
          <w:tcPr>
            <w:tcW w:w="1036"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一般固废</w:t>
            </w:r>
          </w:p>
        </w:tc>
        <w:tc>
          <w:tcPr>
            <w:tcW w:w="1640"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金属边角料及碎屑</w:t>
            </w:r>
          </w:p>
        </w:tc>
        <w:tc>
          <w:tcPr>
            <w:tcW w:w="2693" w:type="dxa"/>
            <w:vAlign w:val="center"/>
          </w:tcPr>
          <w:p>
            <w:pPr>
              <w:jc w:val="center"/>
              <w:rPr>
                <w:rFonts w:ascii="Times New Roman" w:hAnsi="Times New Roman" w:cs="Times New Roman"/>
                <w:szCs w:val="21"/>
              </w:rPr>
            </w:pPr>
            <w:r>
              <w:rPr>
                <w:rFonts w:ascii="Times New Roman" w:hAnsi="Times New Roman" w:cs="Times New Roman"/>
                <w:szCs w:val="21"/>
              </w:rPr>
              <w:t>集中收集后外售</w:t>
            </w:r>
          </w:p>
        </w:tc>
        <w:tc>
          <w:tcPr>
            <w:tcW w:w="2835" w:type="dxa"/>
            <w:vMerge w:val="restart"/>
            <w:tcBorders>
              <w:right w:val="single" w:color="auto" w:sz="12" w:space="0"/>
            </w:tcBorders>
            <w:vAlign w:val="center"/>
          </w:tcPr>
          <w:p>
            <w:pPr>
              <w:jc w:val="center"/>
              <w:rPr>
                <w:rFonts w:ascii="Times New Roman" w:hAnsi="Times New Roman" w:cs="Times New Roman"/>
                <w:szCs w:val="21"/>
              </w:rPr>
            </w:pPr>
            <w:r>
              <w:rPr>
                <w:rFonts w:ascii="Times New Roman" w:hAnsi="Times New Roman" w:cs="Times New Roman"/>
                <w:szCs w:val="21"/>
              </w:rPr>
              <w:t>100%处置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1" w:hRule="atLeast"/>
        </w:trPr>
        <w:tc>
          <w:tcPr>
            <w:tcW w:w="1152" w:type="dxa"/>
            <w:vMerge w:val="continue"/>
            <w:tcBorders>
              <w:left w:val="single" w:color="auto" w:sz="12" w:space="0"/>
            </w:tcBorders>
            <w:vAlign w:val="center"/>
          </w:tcPr>
          <w:p>
            <w:pPr>
              <w:jc w:val="center"/>
              <w:rPr>
                <w:rFonts w:ascii="Times New Roman" w:hAnsi="Times New Roman" w:cs="Times New Roman"/>
                <w:szCs w:val="21"/>
              </w:rPr>
            </w:pPr>
          </w:p>
        </w:tc>
        <w:tc>
          <w:tcPr>
            <w:tcW w:w="1036"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危险固废</w:t>
            </w:r>
          </w:p>
        </w:tc>
        <w:tc>
          <w:tcPr>
            <w:tcW w:w="1640"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废切削液、废导轨油、废包装桶</w:t>
            </w:r>
          </w:p>
        </w:tc>
        <w:tc>
          <w:tcPr>
            <w:tcW w:w="2693" w:type="dxa"/>
            <w:vAlign w:val="center"/>
          </w:tcPr>
          <w:p>
            <w:pPr>
              <w:jc w:val="center"/>
              <w:rPr>
                <w:rFonts w:ascii="Times New Roman" w:hAnsi="Times New Roman" w:cs="Times New Roman"/>
                <w:szCs w:val="21"/>
              </w:rPr>
            </w:pPr>
            <w:r>
              <w:rPr>
                <w:rFonts w:ascii="Times New Roman" w:hAnsi="Times New Roman" w:cs="Times New Roman"/>
                <w:szCs w:val="21"/>
              </w:rPr>
              <w:t>有资质单位处理</w:t>
            </w:r>
          </w:p>
        </w:tc>
        <w:tc>
          <w:tcPr>
            <w:tcW w:w="2835" w:type="dxa"/>
            <w:vMerge w:val="continue"/>
            <w:tcBorders>
              <w:right w:val="single" w:color="auto" w:sz="12" w:space="0"/>
            </w:tcBorders>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40" w:hRule="atLeast"/>
        </w:trPr>
        <w:tc>
          <w:tcPr>
            <w:tcW w:w="1152" w:type="dxa"/>
            <w:vMerge w:val="continue"/>
            <w:tcBorders>
              <w:left w:val="single" w:color="auto" w:sz="12" w:space="0"/>
            </w:tcBorders>
            <w:vAlign w:val="center"/>
          </w:tcPr>
          <w:p>
            <w:pPr>
              <w:jc w:val="center"/>
              <w:rPr>
                <w:rFonts w:ascii="Times New Roman" w:hAnsi="Times New Roman" w:cs="Times New Roman"/>
                <w:szCs w:val="21"/>
              </w:rPr>
            </w:pPr>
          </w:p>
        </w:tc>
        <w:tc>
          <w:tcPr>
            <w:tcW w:w="1036"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员工生活</w:t>
            </w:r>
          </w:p>
        </w:tc>
        <w:tc>
          <w:tcPr>
            <w:tcW w:w="1640" w:type="dxa"/>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生活垃圾</w:t>
            </w:r>
          </w:p>
        </w:tc>
        <w:tc>
          <w:tcPr>
            <w:tcW w:w="2693" w:type="dxa"/>
            <w:vAlign w:val="center"/>
          </w:tcPr>
          <w:p>
            <w:pPr>
              <w:jc w:val="center"/>
              <w:rPr>
                <w:rFonts w:ascii="Times New Roman" w:hAnsi="Times New Roman" w:cs="Times New Roman"/>
                <w:szCs w:val="21"/>
              </w:rPr>
            </w:pPr>
            <w:r>
              <w:rPr>
                <w:rFonts w:ascii="Times New Roman" w:hAnsi="Times New Roman" w:cs="Times New Roman"/>
                <w:szCs w:val="21"/>
              </w:rPr>
              <w:t>统一收集后交由环卫部门外运处理</w:t>
            </w:r>
          </w:p>
        </w:tc>
        <w:tc>
          <w:tcPr>
            <w:tcW w:w="2835" w:type="dxa"/>
            <w:vMerge w:val="continue"/>
            <w:tcBorders>
              <w:right w:val="single" w:color="auto" w:sz="12" w:space="0"/>
            </w:tcBorders>
            <w:vAlign w:val="center"/>
          </w:tcPr>
          <w:p>
            <w:pPr>
              <w:jc w:val="center"/>
              <w:rPr>
                <w:rFonts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02" w:hRule="atLeast"/>
        </w:trPr>
        <w:tc>
          <w:tcPr>
            <w:tcW w:w="1152" w:type="dxa"/>
            <w:tcBorders>
              <w:left w:val="single" w:color="auto" w:sz="12" w:space="0"/>
            </w:tcBorders>
            <w:vAlign w:val="center"/>
          </w:tcPr>
          <w:p>
            <w:pPr>
              <w:jc w:val="center"/>
              <w:rPr>
                <w:rFonts w:ascii="Times New Roman" w:hAnsi="Times New Roman" w:cs="Times New Roman"/>
                <w:szCs w:val="21"/>
              </w:rPr>
            </w:pPr>
            <w:r>
              <w:rPr>
                <w:rFonts w:ascii="Times New Roman" w:hAnsi="Times New Roman" w:cs="Times New Roman"/>
                <w:szCs w:val="21"/>
              </w:rPr>
              <w:t>噪</w:t>
            </w:r>
          </w:p>
          <w:p>
            <w:pPr>
              <w:jc w:val="center"/>
              <w:rPr>
                <w:rFonts w:ascii="Times New Roman" w:hAnsi="Times New Roman" w:cs="Times New Roman"/>
                <w:szCs w:val="21"/>
              </w:rPr>
            </w:pPr>
            <w:r>
              <w:rPr>
                <w:rFonts w:ascii="Times New Roman" w:hAnsi="Times New Roman" w:cs="Times New Roman"/>
                <w:szCs w:val="21"/>
              </w:rPr>
              <w:t>声</w:t>
            </w:r>
          </w:p>
        </w:tc>
        <w:tc>
          <w:tcPr>
            <w:tcW w:w="1036" w:type="dxa"/>
            <w:tcBorders>
              <w:right w:val="single" w:color="auto" w:sz="6" w:space="0"/>
            </w:tcBorders>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生产设备</w:t>
            </w:r>
          </w:p>
        </w:tc>
        <w:tc>
          <w:tcPr>
            <w:tcW w:w="1640" w:type="dxa"/>
            <w:tcBorders>
              <w:left w:val="single" w:color="auto" w:sz="6" w:space="0"/>
              <w:right w:val="single" w:color="auto" w:sz="4" w:space="0"/>
            </w:tcBorders>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等效A声级</w:t>
            </w:r>
          </w:p>
        </w:tc>
        <w:tc>
          <w:tcPr>
            <w:tcW w:w="2693" w:type="dxa"/>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合理布局、厂房隔声、距离衰减等</w:t>
            </w:r>
          </w:p>
        </w:tc>
        <w:tc>
          <w:tcPr>
            <w:tcW w:w="2835" w:type="dxa"/>
            <w:tcBorders>
              <w:left w:val="single" w:color="auto" w:sz="4" w:space="0"/>
              <w:right w:val="single" w:color="auto" w:sz="12" w:space="0"/>
            </w:tcBorders>
            <w:vAlign w:val="center"/>
          </w:tcPr>
          <w:p>
            <w:pPr>
              <w:jc w:val="center"/>
              <w:rPr>
                <w:rFonts w:ascii="Times New Roman" w:hAnsi="Times New Roman" w:cs="Times New Roman"/>
                <w:szCs w:val="21"/>
              </w:rPr>
            </w:pPr>
            <w:r>
              <w:rPr>
                <w:rFonts w:ascii="Times New Roman" w:hAnsi="Times New Roman" w:cs="Times New Roman"/>
                <w:szCs w:val="21"/>
              </w:rPr>
              <w:t>达到《工业企业厂界环境噪声排放标准》（GB12348-2008）3类标准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1152" w:type="dxa"/>
            <w:tcBorders>
              <w:left w:val="single" w:color="auto" w:sz="12" w:space="0"/>
            </w:tcBorders>
            <w:vAlign w:val="center"/>
          </w:tcPr>
          <w:p>
            <w:pPr>
              <w:jc w:val="center"/>
              <w:rPr>
                <w:rFonts w:ascii="Times New Roman" w:hAnsi="Times New Roman" w:cs="Times New Roman"/>
                <w:szCs w:val="21"/>
              </w:rPr>
            </w:pPr>
            <w:r>
              <w:rPr>
                <w:rFonts w:ascii="Times New Roman" w:hAnsi="Times New Roman" w:cs="Times New Roman"/>
                <w:szCs w:val="21"/>
              </w:rPr>
              <w:t>其他</w:t>
            </w:r>
          </w:p>
        </w:tc>
        <w:tc>
          <w:tcPr>
            <w:tcW w:w="8204" w:type="dxa"/>
            <w:gridSpan w:val="4"/>
            <w:tcBorders>
              <w:right w:val="single" w:color="auto" w:sz="12" w:space="0"/>
            </w:tcBorders>
            <w:tcMar>
              <w:left w:w="0" w:type="dxa"/>
              <w:right w:w="0" w:type="dxa"/>
            </w:tcMar>
            <w:vAlign w:val="center"/>
          </w:tcPr>
          <w:p>
            <w:pPr>
              <w:jc w:val="center"/>
              <w:rPr>
                <w:rFonts w:ascii="Times New Roman" w:hAnsi="Times New Roman" w:cs="Times New Roman"/>
                <w:szCs w:val="21"/>
              </w:rPr>
            </w:pPr>
            <w:r>
              <w:rPr>
                <w:rFonts w:ascii="Times New Roman" w:hAnsi="Times New Roman" w:cs="Times New Roman"/>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4" w:hRule="atLeast"/>
        </w:trPr>
        <w:tc>
          <w:tcPr>
            <w:tcW w:w="9356" w:type="dxa"/>
            <w:gridSpan w:val="5"/>
            <w:tcBorders>
              <w:left w:val="single" w:color="auto" w:sz="12" w:space="0"/>
              <w:bottom w:val="single" w:color="auto" w:sz="12" w:space="0"/>
              <w:right w:val="single" w:color="auto" w:sz="12" w:space="0"/>
            </w:tcBorders>
            <w:vAlign w:val="center"/>
          </w:tcPr>
          <w:p>
            <w:pPr>
              <w:spacing w:line="360" w:lineRule="auto"/>
              <w:rPr>
                <w:rFonts w:ascii="Times New Roman" w:hAnsi="Times New Roman" w:cs="Times New Roman"/>
                <w:b/>
                <w:sz w:val="24"/>
              </w:rPr>
            </w:pPr>
            <w:r>
              <w:rPr>
                <w:rFonts w:ascii="Times New Roman" w:hAnsi="Times New Roman" w:cs="Times New Roman"/>
                <w:b/>
                <w:sz w:val="24"/>
              </w:rPr>
              <w:t>生态保护措施预期效果：</w:t>
            </w:r>
          </w:p>
          <w:p>
            <w:pPr>
              <w:ind w:firstLine="420" w:firstLineChars="200"/>
              <w:jc w:val="left"/>
              <w:rPr>
                <w:rFonts w:ascii="Times New Roman" w:hAnsi="Times New Roman" w:cs="Times New Roman"/>
                <w:szCs w:val="21"/>
              </w:rPr>
            </w:pPr>
            <w:r>
              <w:rPr>
                <w:rFonts w:ascii="Times New Roman" w:hAnsi="Times New Roman" w:cs="Times New Roman"/>
                <w:szCs w:val="21"/>
              </w:rPr>
              <w:t>无</w:t>
            </w:r>
          </w:p>
          <w:p>
            <w:pPr>
              <w:pStyle w:val="16"/>
              <w:rPr>
                <w:szCs w:val="21"/>
              </w:rPr>
            </w:pPr>
          </w:p>
          <w:p>
            <w:pPr>
              <w:pStyle w:val="16"/>
              <w:rPr>
                <w:szCs w:val="21"/>
              </w:rPr>
            </w:pPr>
          </w:p>
          <w:p>
            <w:pPr>
              <w:pStyle w:val="16"/>
              <w:rPr>
                <w:szCs w:val="21"/>
              </w:rPr>
            </w:pPr>
            <w:r>
              <w:rPr>
                <w:szCs w:val="21"/>
              </w:rPr>
              <w:t xml:space="preserve"> </w:t>
            </w:r>
          </w:p>
          <w:p>
            <w:pPr>
              <w:pStyle w:val="16"/>
              <w:rPr>
                <w:szCs w:val="21"/>
              </w:rPr>
            </w:pPr>
          </w:p>
          <w:p>
            <w:pPr>
              <w:pStyle w:val="16"/>
              <w:rPr>
                <w:szCs w:val="21"/>
              </w:rPr>
            </w:pPr>
          </w:p>
          <w:p>
            <w:pPr>
              <w:pStyle w:val="16"/>
              <w:rPr>
                <w:szCs w:val="21"/>
              </w:rPr>
            </w:pPr>
          </w:p>
          <w:p>
            <w:pPr>
              <w:pStyle w:val="16"/>
              <w:rPr>
                <w:szCs w:val="21"/>
              </w:rPr>
            </w:pPr>
          </w:p>
          <w:p>
            <w:pPr>
              <w:pStyle w:val="16"/>
              <w:rPr>
                <w:szCs w:val="21"/>
              </w:rPr>
            </w:pPr>
          </w:p>
          <w:p>
            <w:pPr>
              <w:pStyle w:val="16"/>
              <w:rPr>
                <w:szCs w:val="21"/>
              </w:rPr>
            </w:pPr>
          </w:p>
          <w:p>
            <w:pPr>
              <w:pStyle w:val="16"/>
              <w:rPr>
                <w:szCs w:val="21"/>
              </w:rPr>
            </w:pPr>
          </w:p>
        </w:tc>
      </w:tr>
    </w:tbl>
    <w:p>
      <w:pPr>
        <w:keepNext/>
        <w:keepLines/>
        <w:spacing w:line="240" w:lineRule="atLeast"/>
        <w:outlineLvl w:val="0"/>
        <w:rPr>
          <w:rFonts w:ascii="Times New Roman" w:hAnsi="Times New Roman" w:eastAsia="宋体" w:cs="Times New Roman"/>
          <w:b/>
          <w:bCs/>
          <w:kern w:val="44"/>
          <w:sz w:val="28"/>
          <w:szCs w:val="28"/>
        </w:rPr>
      </w:pPr>
      <w:r>
        <w:rPr>
          <w:rFonts w:ascii="Times New Roman" w:hAnsi="Times New Roman" w:eastAsia="宋体" w:cs="Times New Roman"/>
          <w:b/>
          <w:bCs/>
          <w:kern w:val="44"/>
          <w:sz w:val="28"/>
          <w:szCs w:val="28"/>
        </w:rPr>
        <w:t>九、结论与建议</w:t>
      </w:r>
    </w:p>
    <w:tbl>
      <w:tblPr>
        <w:tblStyle w:val="36"/>
        <w:tblW w:w="9640" w:type="dxa"/>
        <w:tblInd w:w="-176" w:type="dxa"/>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Layout w:type="fixed"/>
        <w:tblCellMar>
          <w:top w:w="0" w:type="dxa"/>
          <w:left w:w="108" w:type="dxa"/>
          <w:bottom w:w="0" w:type="dxa"/>
          <w:right w:w="108" w:type="dxa"/>
        </w:tblCellMar>
      </w:tblPr>
      <w:tblGrid>
        <w:gridCol w:w="964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c>
          <w:tcPr>
            <w:tcW w:w="9640" w:type="dxa"/>
          </w:tcPr>
          <w:p>
            <w:pPr>
              <w:snapToGrid w:val="0"/>
              <w:spacing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结论</w:t>
            </w:r>
          </w:p>
          <w:p>
            <w:pPr>
              <w:snapToGrid w:val="0"/>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1、项目概况</w:t>
            </w:r>
          </w:p>
          <w:p>
            <w:pPr>
              <w:tabs>
                <w:tab w:val="left" w:pos="3969"/>
              </w:tabs>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太仓东泰精密机械有限公司成立于2012年，注册地址为</w:t>
            </w:r>
            <w:r>
              <w:rPr>
                <w:rFonts w:ascii="Times New Roman" w:hAnsi="Times New Roman" w:eastAsia="宋体" w:cs="Times New Roman"/>
                <w:sz w:val="24"/>
                <w:szCs w:val="24"/>
              </w:rPr>
              <w:t>太仓高新区宣东公路8号1幢</w:t>
            </w:r>
            <w:r>
              <w:rPr>
                <w:rFonts w:ascii="Times New Roman" w:hAnsi="Times New Roman" w:eastAsia="宋体" w:cs="Times New Roman"/>
                <w:sz w:val="24"/>
                <w:szCs w:val="20"/>
              </w:rPr>
              <w:t>。经营范围为生产、加工、销售精密机械设备及配件、模具、五金件、金属制品、汽车配件；经销金属材料、机电产品、塑料制品、电动工具；自营和代理各类商品及技术的进出口业务（国家限定企业经营或禁止进出口的商品和技术除外）；信息技术咨询服务。项目生产拓展机构、升降床、升顶、大拓展等产品。</w:t>
            </w:r>
          </w:p>
          <w:p>
            <w:pPr>
              <w:spacing w:line="360" w:lineRule="auto"/>
              <w:ind w:firstLine="480" w:firstLineChars="200"/>
              <w:rPr>
                <w:rFonts w:ascii="Times New Roman" w:hAnsi="Times New Roman" w:eastAsia="宋体" w:cs="Times New Roman"/>
                <w:sz w:val="24"/>
                <w:szCs w:val="20"/>
              </w:rPr>
            </w:pPr>
            <w:r>
              <w:rPr>
                <w:rFonts w:ascii="Times New Roman" w:hAnsi="Times New Roman" w:eastAsia="宋体" w:cs="Times New Roman"/>
                <w:sz w:val="24"/>
                <w:szCs w:val="20"/>
              </w:rPr>
              <w:t>全厂共有员工32人，1班制生产，天工作8小时，全年工作300天。厂内不设置员工食堂及宿舍。</w:t>
            </w:r>
          </w:p>
          <w:p>
            <w:pPr>
              <w:snapToGrid w:val="0"/>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2、项目建设与地方规划相容</w:t>
            </w:r>
          </w:p>
          <w:p>
            <w:pPr>
              <w:spacing w:line="360" w:lineRule="auto"/>
              <w:ind w:firstLine="480" w:firstLineChars="200"/>
              <w:rPr>
                <w:rFonts w:ascii="Times New Roman" w:hAnsi="Times New Roman" w:eastAsia="宋体" w:cs="Times New Roman"/>
                <w:caps/>
                <w:sz w:val="24"/>
                <w:szCs w:val="24"/>
              </w:rPr>
            </w:pPr>
            <w:r>
              <w:rPr>
                <w:rFonts w:ascii="Times New Roman" w:hAnsi="Times New Roman" w:eastAsia="宋体" w:cs="Times New Roman"/>
                <w:bCs/>
                <w:caps/>
                <w:sz w:val="24"/>
                <w:szCs w:val="24"/>
              </w:rPr>
              <w:t>本</w:t>
            </w:r>
            <w:r>
              <w:rPr>
                <w:rFonts w:ascii="Times New Roman" w:hAnsi="Times New Roman" w:eastAsia="宋体" w:cs="Times New Roman"/>
                <w:caps/>
                <w:sz w:val="24"/>
                <w:szCs w:val="24"/>
              </w:rPr>
              <w:t>项目位于</w:t>
            </w:r>
            <w:r>
              <w:rPr>
                <w:rFonts w:ascii="Times New Roman" w:hAnsi="Times New Roman" w:eastAsia="宋体" w:cs="Times New Roman"/>
                <w:sz w:val="24"/>
                <w:szCs w:val="24"/>
              </w:rPr>
              <w:t>太仓高新区宣东公路8号1幢</w:t>
            </w:r>
            <w:r>
              <w:rPr>
                <w:rFonts w:ascii="Times New Roman" w:hAnsi="Times New Roman" w:eastAsia="宋体" w:cs="Times New Roman"/>
                <w:caps/>
                <w:sz w:val="24"/>
                <w:szCs w:val="24"/>
              </w:rPr>
              <w:t>，根据太仓市总体规划，项目所在地为工业用地，符合太仓市用地规划。</w:t>
            </w:r>
          </w:p>
          <w:p>
            <w:pPr>
              <w:spacing w:line="360" w:lineRule="auto"/>
              <w:ind w:firstLine="480" w:firstLineChars="200"/>
              <w:rPr>
                <w:rFonts w:ascii="Times New Roman" w:hAnsi="Times New Roman" w:eastAsia="宋体" w:cs="Times New Roman"/>
                <w:caps/>
                <w:sz w:val="24"/>
                <w:szCs w:val="24"/>
              </w:rPr>
            </w:pPr>
            <w:r>
              <w:rPr>
                <w:rFonts w:ascii="Times New Roman" w:hAnsi="Times New Roman" w:eastAsia="宋体" w:cs="Times New Roman"/>
                <w:caps/>
                <w:sz w:val="24"/>
                <w:szCs w:val="24"/>
              </w:rPr>
              <w:t>本项目周围300</w:t>
            </w:r>
            <w:r>
              <w:rPr>
                <w:rFonts w:ascii="Times New Roman" w:hAnsi="Times New Roman" w:eastAsia="宋体" w:cs="Times New Roman"/>
                <w:szCs w:val="21"/>
              </w:rPr>
              <w:t>m</w:t>
            </w:r>
            <w:r>
              <w:rPr>
                <w:rFonts w:ascii="Times New Roman" w:hAnsi="Times New Roman" w:eastAsia="宋体" w:cs="Times New Roman"/>
                <w:caps/>
                <w:sz w:val="24"/>
                <w:szCs w:val="24"/>
              </w:rPr>
              <w:t>范围内无学校、居住小区等环境敏感目标。具体见附图2项目周边关系图。</w:t>
            </w:r>
          </w:p>
          <w:p>
            <w:pPr>
              <w:spacing w:line="360" w:lineRule="auto"/>
              <w:ind w:firstLine="482" w:firstLineChars="200"/>
              <w:jc w:val="left"/>
              <w:rPr>
                <w:rFonts w:ascii="Times New Roman" w:hAnsi="Times New Roman" w:eastAsia="宋体" w:cs="Times New Roman"/>
                <w:b/>
                <w:sz w:val="24"/>
                <w:szCs w:val="24"/>
              </w:rPr>
            </w:pPr>
            <w:r>
              <w:rPr>
                <w:rFonts w:ascii="Times New Roman" w:hAnsi="Times New Roman" w:eastAsia="宋体" w:cs="Times New Roman"/>
                <w:b/>
                <w:sz w:val="24"/>
                <w:szCs w:val="24"/>
              </w:rPr>
              <w:t>3、与太湖流域管理要求相符性</w:t>
            </w:r>
          </w:p>
          <w:p>
            <w:pPr>
              <w:spacing w:line="360" w:lineRule="auto"/>
              <w:ind w:firstLine="480" w:firstLineChars="200"/>
              <w:rPr>
                <w:rFonts w:ascii="Times New Roman" w:hAnsi="Times New Roman" w:eastAsia="宋体" w:cs="Times New Roman"/>
                <w:sz w:val="24"/>
                <w:szCs w:val="21"/>
              </w:rPr>
            </w:pPr>
            <w:r>
              <w:rPr>
                <w:rFonts w:ascii="Times New Roman" w:hAnsi="Times New Roman" w:eastAsia="宋体" w:cs="Times New Roman"/>
                <w:sz w:val="24"/>
                <w:szCs w:val="21"/>
              </w:rPr>
              <w:t>本项目属于太湖流域级保护区，不在</w:t>
            </w:r>
            <w:r>
              <w:rPr>
                <w:rFonts w:ascii="Times New Roman" w:hAnsi="Times New Roman" w:eastAsia="宋体" w:cs="Times New Roman"/>
                <w:caps/>
                <w:sz w:val="24"/>
                <w:szCs w:val="24"/>
              </w:rPr>
              <w:t>《江苏省太湖水污染防治条例》（2018 年修订）</w:t>
            </w:r>
            <w:r>
              <w:rPr>
                <w:rFonts w:ascii="Times New Roman" w:hAnsi="Times New Roman" w:eastAsia="宋体" w:cs="Times New Roman"/>
                <w:sz w:val="24"/>
                <w:szCs w:val="21"/>
              </w:rPr>
              <w:t>中第四十三条中禁止、限制类的企业名录中，本项目生产过程，不产生含N、P的工艺废水，生活污水接管至</w:t>
            </w:r>
            <w:r>
              <w:rPr>
                <w:rFonts w:ascii="Times New Roman" w:hAnsi="Times New Roman" w:eastAsia="宋体" w:cs="Times New Roman"/>
                <w:sz w:val="24"/>
                <w:szCs w:val="24"/>
              </w:rPr>
              <w:t>太仓城东污水处理厂</w:t>
            </w:r>
            <w:r>
              <w:rPr>
                <w:rFonts w:ascii="Times New Roman" w:hAnsi="Times New Roman" w:eastAsia="宋体" w:cs="Times New Roman"/>
                <w:sz w:val="24"/>
                <w:szCs w:val="21"/>
              </w:rPr>
              <w:t>集中处理后达标排放。</w:t>
            </w:r>
          </w:p>
          <w:p>
            <w:pPr>
              <w:spacing w:line="360" w:lineRule="auto"/>
              <w:ind w:firstLine="472" w:firstLineChars="196"/>
              <w:jc w:val="left"/>
              <w:rPr>
                <w:rFonts w:ascii="Times New Roman" w:hAnsi="Times New Roman" w:eastAsia="宋体" w:cs="Times New Roman"/>
                <w:b/>
                <w:sz w:val="24"/>
                <w:szCs w:val="24"/>
              </w:rPr>
            </w:pPr>
            <w:r>
              <w:rPr>
                <w:rFonts w:ascii="Times New Roman" w:hAnsi="Times New Roman" w:eastAsia="宋体" w:cs="Times New Roman"/>
                <w:b/>
                <w:sz w:val="24"/>
                <w:szCs w:val="24"/>
              </w:rPr>
              <w:t>4、产业政策符合性</w:t>
            </w:r>
          </w:p>
          <w:p>
            <w:pPr>
              <w:snapToGrid w:val="0"/>
              <w:spacing w:line="360" w:lineRule="auto"/>
              <w:ind w:firstLine="480" w:firstLineChars="200"/>
              <w:rPr>
                <w:rFonts w:ascii="Times New Roman" w:hAnsi="Times New Roman" w:eastAsia="宋体" w:cs="Times New Roman"/>
                <w:sz w:val="24"/>
                <w:szCs w:val="21"/>
              </w:rPr>
            </w:pPr>
            <w:r>
              <w:rPr>
                <w:rFonts w:ascii="Times New Roman" w:hAnsi="Times New Roman" w:eastAsia="宋体" w:cs="Times New Roman"/>
                <w:sz w:val="24"/>
                <w:szCs w:val="21"/>
              </w:rPr>
              <w:t>本项目产品、设备不属于国家发展和改革委员会《产业结构调整指导目录(2019年版)》鼓励类、限制类和淘汰类；不属于《</w:t>
            </w:r>
            <w:r>
              <w:fldChar w:fldCharType="begin"/>
            </w:r>
            <w:r>
              <w:instrText xml:space="preserve"> HYPERLINK "http://www.baidu.com/link?url=iXhWGJqjJ4zBBpC8yDF8xDhdujWhB6sfDWMUakoCM2qu2ktxVCongtZ-L8CkpTPP49SRAIvva6K" \t "_blank" </w:instrText>
            </w:r>
            <w:r>
              <w:fldChar w:fldCharType="separate"/>
            </w:r>
            <w:r>
              <w:rPr>
                <w:rFonts w:ascii="Times New Roman" w:hAnsi="Times New Roman" w:eastAsia="宋体" w:cs="Times New Roman"/>
                <w:sz w:val="24"/>
                <w:szCs w:val="21"/>
              </w:rPr>
              <w:t>江苏省工业和信息产业结构调整指导目录(2012年本)</w:t>
            </w:r>
            <w:r>
              <w:rPr>
                <w:rFonts w:ascii="Times New Roman" w:hAnsi="Times New Roman" w:eastAsia="宋体" w:cs="Times New Roman"/>
                <w:sz w:val="24"/>
                <w:szCs w:val="21"/>
              </w:rPr>
              <w:fldChar w:fldCharType="end"/>
            </w:r>
            <w:r>
              <w:rPr>
                <w:rFonts w:ascii="Times New Roman" w:hAnsi="Times New Roman" w:eastAsia="宋体" w:cs="Times New Roman"/>
                <w:sz w:val="24"/>
                <w:szCs w:val="21"/>
              </w:rPr>
              <w:t>（修订）》鼓励类、限制类和淘汰类所规定的内容；也不属于《苏州市产业发展导向目录（2007年本）》鼓励类、限制类、禁止类和淘汰类之列，视为允许类。故该项目符合国家及地方的产业政策。并且本项目产品及工艺不属于《限制用地项目目录》(2012年本)和《禁止用地项目目录》(2012年本)中所列项目，因此，属于允许用地项目类。</w:t>
            </w:r>
          </w:p>
          <w:p>
            <w:pPr>
              <w:snapToGrid w:val="0"/>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5、“三线一单”相符性</w:t>
            </w:r>
          </w:p>
          <w:p>
            <w:pPr>
              <w:snapToGrid w:val="0"/>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项目符合当地生态保护红线要求，不超出当地资源利用上线。根据环境现状监测结果，区域内的大气环境PM</w:t>
            </w:r>
            <w:r>
              <w:rPr>
                <w:rFonts w:ascii="Times New Roman" w:hAnsi="Times New Roman" w:eastAsia="宋体" w:cs="Times New Roman"/>
                <w:bCs/>
                <w:sz w:val="24"/>
                <w:szCs w:val="24"/>
                <w:vertAlign w:val="subscript"/>
              </w:rPr>
              <w:t>2.5</w:t>
            </w:r>
            <w:r>
              <w:rPr>
                <w:rFonts w:ascii="Times New Roman" w:hAnsi="Times New Roman" w:eastAsia="宋体" w:cs="Times New Roman"/>
                <w:bCs/>
                <w:sz w:val="24"/>
                <w:szCs w:val="24"/>
              </w:rPr>
              <w:t>、O</w:t>
            </w:r>
            <w:r>
              <w:rPr>
                <w:rFonts w:ascii="Times New Roman" w:hAnsi="Times New Roman" w:eastAsia="宋体" w:cs="Times New Roman"/>
                <w:bCs/>
                <w:sz w:val="24"/>
                <w:szCs w:val="24"/>
                <w:vertAlign w:val="subscript"/>
              </w:rPr>
              <w:t>3</w:t>
            </w:r>
            <w:r>
              <w:rPr>
                <w:rFonts w:ascii="Times New Roman" w:hAnsi="Times New Roman" w:eastAsia="宋体" w:cs="Times New Roman"/>
                <w:bCs/>
                <w:sz w:val="24"/>
                <w:szCs w:val="24"/>
              </w:rPr>
              <w:t>因子超出《环境空气质量标准》(GB3095-2012)二级标准，其余因子可以满足；为改善太仓市环境质量情况，太仓市将根据苏州市政府颁布的《关于进一步加强环境空气质量管控的通知》（苏府办[2016]272号）要求，通过强化执法，加强区域工业废气的收集和处理，以及严格要求和管理企业，减少移动污染源的排放，严控油烟污染等措施，太仓市的环境空气质量将会得到改善。区域内夏驾河的水质轻度优，流域内河道水质断面全部达到IV类标准；声环境可以满足《声环境质量标准》（GB3096-2008）3类区标准要求。</w:t>
            </w:r>
          </w:p>
          <w:p>
            <w:pPr>
              <w:snapToGrid w:val="0"/>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6、项目各种污染物达标排放</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（1）废水</w:t>
            </w:r>
          </w:p>
          <w:p>
            <w:pPr>
              <w:spacing w:line="360" w:lineRule="auto"/>
              <w:ind w:firstLine="480" w:firstLineChars="200"/>
              <w:rPr>
                <w:rFonts w:ascii="Times New Roman" w:hAnsi="Times New Roman" w:eastAsia="宋体" w:cs="Times New Roman"/>
                <w:kern w:val="10"/>
                <w:sz w:val="24"/>
                <w:szCs w:val="24"/>
              </w:rPr>
            </w:pPr>
            <w:r>
              <w:rPr>
                <w:rFonts w:ascii="Times New Roman" w:hAnsi="Times New Roman" w:eastAsia="宋体" w:cs="Times New Roman"/>
                <w:bCs/>
                <w:sz w:val="24"/>
                <w:szCs w:val="24"/>
              </w:rPr>
              <w:t>项目无生产废水产生，排放的废水主要为生活污水640t/a，主要污染物为</w:t>
            </w:r>
            <w:r>
              <w:rPr>
                <w:rFonts w:ascii="Times New Roman" w:hAnsi="Times New Roman" w:eastAsia="宋体" w:cs="Times New Roman"/>
                <w:sz w:val="24"/>
                <w:szCs w:val="24"/>
              </w:rPr>
              <w:t>COD、SS、氨氮、TP、TN等</w:t>
            </w:r>
            <w:r>
              <w:rPr>
                <w:rFonts w:ascii="Times New Roman" w:hAnsi="Times New Roman" w:eastAsia="宋体" w:cs="Times New Roman"/>
                <w:bCs/>
                <w:sz w:val="24"/>
                <w:szCs w:val="24"/>
              </w:rPr>
              <w:t>，</w:t>
            </w:r>
            <w:r>
              <w:rPr>
                <w:rFonts w:ascii="Times New Roman" w:hAnsi="Times New Roman" w:eastAsia="宋体" w:cs="Times New Roman"/>
                <w:sz w:val="24"/>
                <w:szCs w:val="24"/>
              </w:rPr>
              <w:t>生活污水经市政管网纳入太仓城东污水处理厂处理</w:t>
            </w:r>
            <w:r>
              <w:rPr>
                <w:rFonts w:ascii="Times New Roman" w:hAnsi="Times New Roman" w:eastAsia="宋体" w:cs="Times New Roman"/>
                <w:kern w:val="10"/>
                <w:sz w:val="24"/>
                <w:szCs w:val="24"/>
              </w:rPr>
              <w:t>达标后排放，对纳污水体影响不大。</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（2）废气</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本项目废气排放量较少，经预测，项目厂界废气浓度可达到《大气污染物综合排放标准》（GB16297-1996）表2无组织排放标准限值要求。</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（3）噪声</w:t>
            </w:r>
          </w:p>
          <w:p>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噪声主要来源于CNC加工中心、深孔钻、钻床、磨床设备产生的噪声，其噪声源强约75-85dB(A)，经减振、厂房隔声、距离衰减后，厂界噪声可达到《工业企业厂界环境噪声排放标准》（GB12348-2008）3类标准要求。本项目距离最近敏感点较远，项目建成后不会产生扰民现象。</w:t>
            </w:r>
          </w:p>
          <w:p>
            <w:pPr>
              <w:spacing w:line="360" w:lineRule="auto"/>
              <w:ind w:firstLine="480" w:firstLineChars="200"/>
              <w:rPr>
                <w:rFonts w:ascii="Times New Roman" w:hAnsi="Times New Roman" w:eastAsia="宋体" w:cs="Times New Roman"/>
                <w:b/>
                <w:sz w:val="24"/>
                <w:szCs w:val="24"/>
              </w:rPr>
            </w:pPr>
            <w:r>
              <w:rPr>
                <w:rFonts w:ascii="Times New Roman" w:hAnsi="Times New Roman" w:eastAsia="宋体" w:cs="Times New Roman"/>
                <w:sz w:val="24"/>
                <w:szCs w:val="24"/>
              </w:rPr>
              <w:t>（4）固废</w:t>
            </w:r>
          </w:p>
          <w:p>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本项目各种固废可以得到妥善处理处置，实现“零排放”。</w:t>
            </w:r>
          </w:p>
          <w:p>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7、项目建设符合国家与地方的总量控制要求</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水污染物总量约640t/a，则污染物排放总量指标如下：</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污染物接管的量指标如下：废水：COD：0.252t/a、氨氮：0.0216t/a、TN：0.0288t/a、TP：0.0036t/a。</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项目生活污水通过市政管道纳入太仓城东污水处理厂。因此，项目的污染物总量可从</w:t>
            </w:r>
            <w:r>
              <w:rPr>
                <w:rFonts w:ascii="Times New Roman" w:hAnsi="Times New Roman" w:eastAsia="宋体" w:cs="Times New Roman"/>
                <w:kern w:val="44"/>
                <w:sz w:val="24"/>
                <w:szCs w:val="24"/>
              </w:rPr>
              <w:t>太仓城东污水处理厂</w:t>
            </w:r>
            <w:r>
              <w:rPr>
                <w:rFonts w:ascii="Times New Roman" w:hAnsi="Times New Roman" w:eastAsia="宋体" w:cs="Times New Roman"/>
                <w:sz w:val="24"/>
                <w:szCs w:val="24"/>
              </w:rPr>
              <w:t>总量中平衡。</w:t>
            </w:r>
          </w:p>
          <w:p>
            <w:pPr>
              <w:spacing w:line="360" w:lineRule="auto"/>
              <w:ind w:left="420" w:leftChars="200"/>
              <w:rPr>
                <w:rFonts w:ascii="Times New Roman" w:hAnsi="Times New Roman" w:eastAsia="宋体" w:cs="Times New Roman"/>
                <w:b/>
                <w:sz w:val="24"/>
                <w:szCs w:val="24"/>
              </w:rPr>
            </w:pPr>
            <w:r>
              <w:rPr>
                <w:rFonts w:ascii="Times New Roman" w:hAnsi="Times New Roman" w:eastAsia="宋体" w:cs="Times New Roman"/>
                <w:b/>
                <w:sz w:val="24"/>
                <w:szCs w:val="24"/>
              </w:rPr>
              <w:t>8、“三同时”验收一览表</w:t>
            </w:r>
          </w:p>
          <w:p>
            <w:pPr>
              <w:spacing w:line="360" w:lineRule="auto"/>
              <w:ind w:left="420" w:leftChars="200"/>
              <w:rPr>
                <w:rFonts w:ascii="Times New Roman" w:hAnsi="Times New Roman" w:eastAsia="宋体" w:cs="Times New Roman"/>
                <w:b/>
                <w:sz w:val="24"/>
                <w:szCs w:val="24"/>
              </w:rPr>
            </w:pPr>
          </w:p>
          <w:p>
            <w:pPr>
              <w:spacing w:line="360" w:lineRule="auto"/>
              <w:ind w:left="420" w:leftChars="200"/>
              <w:rPr>
                <w:rFonts w:ascii="Times New Roman" w:hAnsi="Times New Roman" w:eastAsia="宋体" w:cs="Times New Roman"/>
                <w:b/>
                <w:sz w:val="24"/>
                <w:szCs w:val="24"/>
              </w:rPr>
            </w:pPr>
          </w:p>
          <w:p>
            <w:pPr>
              <w:ind w:firstLine="482" w:firstLineChars="200"/>
              <w:jc w:val="center"/>
              <w:rPr>
                <w:rFonts w:ascii="Times New Roman" w:hAnsi="Times New Roman" w:eastAsia="宋体" w:cs="Times New Roman"/>
                <w:b/>
                <w:bCs/>
                <w:sz w:val="24"/>
                <w:szCs w:val="24"/>
                <w:lang w:val="zh-CN"/>
              </w:rPr>
            </w:pPr>
            <w:r>
              <w:rPr>
                <w:rFonts w:ascii="Times New Roman" w:hAnsi="Times New Roman" w:eastAsia="宋体" w:cs="Times New Roman"/>
                <w:b/>
                <w:bCs/>
                <w:sz w:val="24"/>
                <w:szCs w:val="24"/>
              </w:rPr>
              <w:t>表 9-2 污染治理投资和“</w:t>
            </w:r>
            <w:r>
              <w:rPr>
                <w:rFonts w:ascii="Times New Roman" w:hAnsi="Times New Roman" w:eastAsia="宋体" w:cs="Times New Roman"/>
                <w:b/>
                <w:bCs/>
                <w:sz w:val="24"/>
                <w:szCs w:val="24"/>
                <w:lang w:val="zh-CN"/>
              </w:rPr>
              <w:t>三同时</w:t>
            </w:r>
            <w:r>
              <w:rPr>
                <w:rFonts w:ascii="Times New Roman" w:hAnsi="Times New Roman" w:eastAsia="宋体" w:cs="Times New Roman"/>
                <w:b/>
                <w:bCs/>
                <w:sz w:val="24"/>
                <w:szCs w:val="24"/>
              </w:rPr>
              <w:t>”</w:t>
            </w:r>
            <w:r>
              <w:rPr>
                <w:rFonts w:ascii="Times New Roman" w:hAnsi="Times New Roman" w:eastAsia="宋体" w:cs="Times New Roman"/>
                <w:b/>
                <w:bCs/>
                <w:sz w:val="24"/>
                <w:szCs w:val="24"/>
                <w:lang w:val="zh-CN"/>
              </w:rPr>
              <w:t>验收一览表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0"/>
              <w:gridCol w:w="736"/>
              <w:gridCol w:w="1186"/>
              <w:gridCol w:w="478"/>
              <w:gridCol w:w="1909"/>
              <w:gridCol w:w="1964"/>
              <w:gridCol w:w="859"/>
              <w:gridCol w:w="7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0" w:type="dxa"/>
                  <w:vAlign w:val="center"/>
                </w:tcPr>
                <w:p>
                  <w:pPr>
                    <w:jc w:val="center"/>
                    <w:rPr>
                      <w:rFonts w:ascii="Times New Roman" w:hAnsi="Times New Roman" w:eastAsia="宋体" w:cs="Times New Roman"/>
                      <w:b/>
                      <w:bCs/>
                      <w:szCs w:val="21"/>
                    </w:rPr>
                  </w:pPr>
                  <w:r>
                    <w:rPr>
                      <w:rFonts w:ascii="Times New Roman" w:hAnsi="Times New Roman" w:eastAsia="宋体" w:cs="Times New Roman"/>
                      <w:b/>
                      <w:bCs/>
                      <w:szCs w:val="21"/>
                    </w:rPr>
                    <w:t>项目名称</w:t>
                  </w:r>
                </w:p>
              </w:tc>
              <w:tc>
                <w:tcPr>
                  <w:tcW w:w="7866" w:type="dxa"/>
                  <w:gridSpan w:val="7"/>
                  <w:vAlign w:val="center"/>
                </w:tcPr>
                <w:p>
                  <w:pPr>
                    <w:jc w:val="center"/>
                    <w:rPr>
                      <w:rFonts w:ascii="Times New Roman" w:hAnsi="Times New Roman" w:eastAsia="宋体" w:cs="Times New Roman"/>
                      <w:b/>
                      <w:bCs/>
                      <w:szCs w:val="21"/>
                    </w:rPr>
                  </w:pPr>
                  <w:r>
                    <w:rPr>
                      <w:rFonts w:ascii="Times New Roman" w:hAnsi="Times New Roman" w:eastAsia="宋体" w:cs="Times New Roman"/>
                      <w:b/>
                      <w:bCs/>
                      <w:szCs w:val="21"/>
                    </w:rPr>
                    <w:t>太仓东泰精密机械有限公司新建升降床等专用设备项目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类别</w:t>
                  </w:r>
                </w:p>
              </w:tc>
              <w:tc>
                <w:tcPr>
                  <w:tcW w:w="73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污染源</w:t>
                  </w:r>
                </w:p>
              </w:tc>
              <w:tc>
                <w:tcPr>
                  <w:tcW w:w="1664"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190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治理措施（设施数量、规模、处理能力等）</w:t>
                  </w:r>
                </w:p>
              </w:tc>
              <w:tc>
                <w:tcPr>
                  <w:tcW w:w="1964"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处理效果、执行标准或拟达要求</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环保投资（万元)</w:t>
                  </w:r>
                </w:p>
              </w:tc>
              <w:tc>
                <w:tcPr>
                  <w:tcW w:w="734"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完成</w:t>
                  </w:r>
                </w:p>
                <w:p>
                  <w:pPr>
                    <w:jc w:val="center"/>
                    <w:rPr>
                      <w:rFonts w:ascii="Times New Roman" w:hAnsi="Times New Roman" w:eastAsia="宋体" w:cs="Times New Roman"/>
                      <w:szCs w:val="21"/>
                    </w:rPr>
                  </w:pPr>
                  <w:r>
                    <w:rPr>
                      <w:rFonts w:ascii="Times New Roman" w:hAnsi="Times New Roman" w:eastAsia="宋体" w:cs="Times New Roman"/>
                      <w:szCs w:val="21"/>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废水</w:t>
                  </w:r>
                </w:p>
              </w:tc>
              <w:tc>
                <w:tcPr>
                  <w:tcW w:w="73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生活</w:t>
                  </w:r>
                </w:p>
                <w:p>
                  <w:pPr>
                    <w:jc w:val="center"/>
                    <w:rPr>
                      <w:rFonts w:ascii="Times New Roman" w:hAnsi="Times New Roman" w:eastAsia="宋体" w:cs="Times New Roman"/>
                      <w:szCs w:val="21"/>
                    </w:rPr>
                  </w:pPr>
                  <w:r>
                    <w:rPr>
                      <w:rFonts w:ascii="Times New Roman" w:hAnsi="Times New Roman" w:eastAsia="宋体" w:cs="Times New Roman"/>
                      <w:szCs w:val="21"/>
                    </w:rPr>
                    <w:t>污水</w:t>
                  </w:r>
                </w:p>
              </w:tc>
              <w:tc>
                <w:tcPr>
                  <w:tcW w:w="1664" w:type="dxa"/>
                  <w:gridSpan w:val="2"/>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COD、SS、NH</w:t>
                  </w:r>
                  <w:r>
                    <w:rPr>
                      <w:rFonts w:ascii="Times New Roman" w:hAnsi="Times New Roman" w:eastAsia="宋体" w:cs="Times New Roman"/>
                      <w:szCs w:val="21"/>
                      <w:vertAlign w:val="subscript"/>
                    </w:rPr>
                    <w:t>3</w:t>
                  </w:r>
                  <w:r>
                    <w:rPr>
                      <w:rFonts w:ascii="Times New Roman" w:hAnsi="Times New Roman" w:eastAsia="宋体" w:cs="Times New Roman"/>
                      <w:szCs w:val="21"/>
                    </w:rPr>
                    <w:t>-N、TN、 TP</w:t>
                  </w:r>
                </w:p>
              </w:tc>
              <w:tc>
                <w:tcPr>
                  <w:tcW w:w="1909"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污水收集管网</w:t>
                  </w:r>
                </w:p>
              </w:tc>
              <w:tc>
                <w:tcPr>
                  <w:tcW w:w="1964"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达《太仓城东污水处理厂进水水质要求》</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34" w:type="dxa"/>
                  <w:vMerge w:val="restart"/>
                  <w:vAlign w:val="center"/>
                </w:tcPr>
                <w:p>
                  <w:pPr>
                    <w:jc w:val="center"/>
                    <w:rPr>
                      <w:rFonts w:ascii="Times New Roman" w:hAnsi="Times New Roman" w:eastAsia="宋体" w:cs="Times New Roman"/>
                      <w:szCs w:val="21"/>
                    </w:rPr>
                  </w:pPr>
                </w:p>
                <w:p>
                  <w:pPr>
                    <w:jc w:val="center"/>
                    <w:rPr>
                      <w:rFonts w:ascii="Times New Roman" w:hAnsi="Times New Roman" w:eastAsia="宋体" w:cs="Times New Roman"/>
                      <w:szCs w:val="21"/>
                    </w:rPr>
                  </w:pPr>
                </w:p>
                <w:p>
                  <w:pPr>
                    <w:jc w:val="center"/>
                    <w:rPr>
                      <w:rFonts w:ascii="Times New Roman" w:hAnsi="Times New Roman" w:eastAsia="宋体" w:cs="Times New Roman"/>
                      <w:szCs w:val="21"/>
                    </w:rPr>
                  </w:pPr>
                </w:p>
                <w:p>
                  <w:pPr>
                    <w:jc w:val="center"/>
                    <w:rPr>
                      <w:rFonts w:ascii="Times New Roman" w:hAnsi="Times New Roman" w:eastAsia="宋体" w:cs="Times New Roman"/>
                      <w:szCs w:val="21"/>
                    </w:rPr>
                  </w:pPr>
                </w:p>
                <w:p>
                  <w:pPr>
                    <w:jc w:val="center"/>
                    <w:rPr>
                      <w:rFonts w:ascii="Times New Roman" w:hAnsi="Times New Roman" w:eastAsia="宋体" w:cs="Times New Roman"/>
                      <w:szCs w:val="21"/>
                    </w:rPr>
                  </w:pPr>
                </w:p>
                <w:p>
                  <w:pPr>
                    <w:jc w:val="center"/>
                    <w:rPr>
                      <w:rFonts w:ascii="Times New Roman" w:hAnsi="Times New Roman" w:eastAsia="宋体" w:cs="Times New Roman"/>
                      <w:szCs w:val="21"/>
                    </w:rPr>
                  </w:pPr>
                </w:p>
                <w:p>
                  <w:pPr>
                    <w:jc w:val="center"/>
                    <w:rPr>
                      <w:rFonts w:ascii="Times New Roman" w:hAnsi="Times New Roman" w:eastAsia="宋体" w:cs="Times New Roman"/>
                      <w:szCs w:val="21"/>
                    </w:rPr>
                  </w:pPr>
                </w:p>
                <w:p>
                  <w:pPr>
                    <w:jc w:val="center"/>
                    <w:rPr>
                      <w:rFonts w:ascii="Times New Roman" w:hAnsi="Times New Roman" w:eastAsia="宋体" w:cs="Times New Roman"/>
                      <w:szCs w:val="21"/>
                    </w:rPr>
                  </w:pPr>
                </w:p>
                <w:p>
                  <w:pPr>
                    <w:jc w:val="center"/>
                    <w:rPr>
                      <w:rFonts w:ascii="Times New Roman" w:hAnsi="Times New Roman" w:eastAsia="宋体" w:cs="Times New Roman"/>
                      <w:szCs w:val="21"/>
                    </w:rPr>
                  </w:pPr>
                </w:p>
                <w:p>
                  <w:pPr>
                    <w:jc w:val="center"/>
                    <w:rPr>
                      <w:rFonts w:ascii="Times New Roman" w:hAnsi="Times New Roman" w:eastAsia="宋体" w:cs="Times New Roman"/>
                      <w:szCs w:val="21"/>
                    </w:rPr>
                  </w:pPr>
                  <w:r>
                    <w:rPr>
                      <w:rFonts w:ascii="Times New Roman" w:hAnsi="Times New Roman" w:eastAsia="宋体" w:cs="Times New Roman"/>
                      <w:szCs w:val="21"/>
                    </w:rPr>
                    <w:t>与主体工程同时设计、同时施工、同时投入运行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73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设备运转噪声</w:t>
                  </w:r>
                </w:p>
              </w:tc>
              <w:tc>
                <w:tcPr>
                  <w:tcW w:w="1664"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等效连续A声级</w:t>
                  </w:r>
                </w:p>
              </w:tc>
              <w:tc>
                <w:tcPr>
                  <w:tcW w:w="190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合理布局、安装减振垫、不在夜间作业</w:t>
                  </w:r>
                </w:p>
              </w:tc>
              <w:tc>
                <w:tcPr>
                  <w:tcW w:w="1964" w:type="dxa"/>
                  <w:vAlign w:val="center"/>
                </w:tcPr>
                <w:p>
                  <w:pPr>
                    <w:rPr>
                      <w:rFonts w:ascii="Times New Roman" w:hAnsi="Times New Roman" w:eastAsia="宋体" w:cs="Times New Roman"/>
                      <w:szCs w:val="21"/>
                    </w:rPr>
                  </w:pPr>
                  <w:r>
                    <w:rPr>
                      <w:rFonts w:ascii="Times New Roman" w:hAnsi="Times New Roman" w:eastAsia="宋体" w:cs="Times New Roman"/>
                      <w:szCs w:val="21"/>
                    </w:rPr>
                    <w:t>《工业企业厂界环境噪声排放准》</w:t>
                  </w:r>
                </w:p>
                <w:p>
                  <w:pPr>
                    <w:rPr>
                      <w:rFonts w:ascii="Times New Roman" w:hAnsi="Times New Roman" w:eastAsia="宋体" w:cs="Times New Roman"/>
                      <w:szCs w:val="21"/>
                    </w:rPr>
                  </w:pPr>
                  <w:r>
                    <w:rPr>
                      <w:rFonts w:ascii="Times New Roman" w:hAnsi="Times New Roman" w:eastAsia="宋体" w:cs="Times New Roman"/>
                      <w:szCs w:val="21"/>
                    </w:rPr>
                    <w:t>（GB12348-2008）3类标准</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w:t>
                  </w: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atLeast"/>
                <w:jc w:val="center"/>
              </w:trPr>
              <w:tc>
                <w:tcPr>
                  <w:tcW w:w="980"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固废</w:t>
                  </w:r>
                </w:p>
              </w:tc>
              <w:tc>
                <w:tcPr>
                  <w:tcW w:w="73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生活</w:t>
                  </w:r>
                </w:p>
                <w:p>
                  <w:pPr>
                    <w:jc w:val="center"/>
                    <w:rPr>
                      <w:rFonts w:ascii="Times New Roman" w:hAnsi="Times New Roman" w:eastAsia="宋体" w:cs="Times New Roman"/>
                      <w:szCs w:val="21"/>
                    </w:rPr>
                  </w:pPr>
                  <w:r>
                    <w:rPr>
                      <w:rFonts w:ascii="Times New Roman" w:hAnsi="Times New Roman" w:eastAsia="宋体" w:cs="Times New Roman"/>
                      <w:szCs w:val="21"/>
                    </w:rPr>
                    <w:t>过程</w:t>
                  </w:r>
                </w:p>
              </w:tc>
              <w:tc>
                <w:tcPr>
                  <w:tcW w:w="1664" w:type="dxa"/>
                  <w:gridSpan w:val="2"/>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生活</w:t>
                  </w:r>
                </w:p>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垃圾</w:t>
                  </w:r>
                </w:p>
              </w:tc>
              <w:tc>
                <w:tcPr>
                  <w:tcW w:w="1909"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集中收集后委托环卫部门处理</w:t>
                  </w:r>
                </w:p>
              </w:tc>
              <w:tc>
                <w:tcPr>
                  <w:tcW w:w="1964" w:type="dxa"/>
                  <w:vMerge w:val="restart"/>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“零”排放，不造成二次污染</w:t>
                  </w:r>
                </w:p>
              </w:tc>
              <w:tc>
                <w:tcPr>
                  <w:tcW w:w="859" w:type="dxa"/>
                  <w:vMerge w:val="restart"/>
                  <w:vAlign w:val="center"/>
                </w:tcPr>
                <w:p>
                  <w:pPr>
                    <w:spacing w:line="300" w:lineRule="exact"/>
                    <w:jc w:val="center"/>
                    <w:rPr>
                      <w:rFonts w:ascii="Times New Roman" w:hAnsi="Times New Roman" w:eastAsia="宋体" w:cs="Times New Roman"/>
                      <w:szCs w:val="21"/>
                    </w:rPr>
                  </w:pP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980" w:type="dxa"/>
                  <w:vMerge w:val="continue"/>
                  <w:vAlign w:val="center"/>
                </w:tcPr>
                <w:p>
                  <w:pPr>
                    <w:jc w:val="center"/>
                    <w:rPr>
                      <w:rFonts w:ascii="Times New Roman" w:hAnsi="Times New Roman" w:eastAsia="宋体" w:cs="Times New Roman"/>
                      <w:szCs w:val="21"/>
                    </w:rPr>
                  </w:pPr>
                </w:p>
              </w:tc>
              <w:tc>
                <w:tcPr>
                  <w:tcW w:w="736"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生产过程</w:t>
                  </w:r>
                </w:p>
              </w:tc>
              <w:tc>
                <w:tcPr>
                  <w:tcW w:w="1664" w:type="dxa"/>
                  <w:gridSpan w:val="2"/>
                  <w:tcBorders>
                    <w:bottom w:val="single" w:color="auto" w:sz="4" w:space="0"/>
                  </w:tcBorders>
                  <w:vAlign w:val="center"/>
                </w:tcPr>
                <w:p>
                  <w:pPr>
                    <w:autoSpaceDE w:val="0"/>
                    <w:autoSpaceDN w:val="0"/>
                    <w:adjustRightInd w:val="0"/>
                    <w:jc w:val="center"/>
                    <w:rPr>
                      <w:rFonts w:ascii="Times New Roman" w:hAnsi="Times New Roman" w:eastAsia="宋体" w:cs="Times New Roman"/>
                      <w:szCs w:val="21"/>
                    </w:rPr>
                  </w:pPr>
                  <w:r>
                    <w:rPr>
                      <w:rFonts w:ascii="Times New Roman" w:hAnsi="Times New Roman" w:eastAsia="宋体" w:cs="Times New Roman"/>
                      <w:spacing w:val="8"/>
                      <w:szCs w:val="21"/>
                    </w:rPr>
                    <w:t>金属边角料及碎屑</w:t>
                  </w:r>
                </w:p>
              </w:tc>
              <w:tc>
                <w:tcPr>
                  <w:tcW w:w="1909" w:type="dxa"/>
                  <w:tcBorders>
                    <w:bottom w:val="single" w:color="auto" w:sz="4" w:space="0"/>
                  </w:tcBorders>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集中收集后外售</w:t>
                  </w:r>
                </w:p>
              </w:tc>
              <w:tc>
                <w:tcPr>
                  <w:tcW w:w="1964" w:type="dxa"/>
                  <w:vMerge w:val="continue"/>
                  <w:vAlign w:val="center"/>
                </w:tcPr>
                <w:p>
                  <w:pPr>
                    <w:spacing w:line="300" w:lineRule="exact"/>
                    <w:jc w:val="center"/>
                    <w:rPr>
                      <w:rFonts w:ascii="Times New Roman" w:hAnsi="Times New Roman" w:eastAsia="宋体" w:cs="Times New Roman"/>
                      <w:szCs w:val="21"/>
                    </w:rPr>
                  </w:pPr>
                </w:p>
              </w:tc>
              <w:tc>
                <w:tcPr>
                  <w:tcW w:w="859" w:type="dxa"/>
                  <w:vMerge w:val="continue"/>
                  <w:tcBorders>
                    <w:bottom w:val="single" w:color="auto" w:sz="4" w:space="0"/>
                  </w:tcBorders>
                  <w:vAlign w:val="center"/>
                </w:tcPr>
                <w:p>
                  <w:pPr>
                    <w:spacing w:line="300" w:lineRule="exact"/>
                    <w:jc w:val="center"/>
                    <w:rPr>
                      <w:rFonts w:ascii="Times New Roman" w:hAnsi="Times New Roman" w:eastAsia="宋体" w:cs="Times New Roman"/>
                      <w:szCs w:val="21"/>
                    </w:rPr>
                  </w:pP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980" w:type="dxa"/>
                  <w:vMerge w:val="continue"/>
                  <w:tcBorders>
                    <w:bottom w:val="single" w:color="auto" w:sz="4" w:space="0"/>
                  </w:tcBorders>
                  <w:vAlign w:val="center"/>
                </w:tcPr>
                <w:p>
                  <w:pPr>
                    <w:jc w:val="center"/>
                    <w:rPr>
                      <w:rFonts w:ascii="Times New Roman" w:hAnsi="Times New Roman" w:eastAsia="宋体" w:cs="Times New Roman"/>
                      <w:szCs w:val="21"/>
                    </w:rPr>
                  </w:pPr>
                </w:p>
              </w:tc>
              <w:tc>
                <w:tcPr>
                  <w:tcW w:w="736" w:type="dxa"/>
                  <w:vMerge w:val="continue"/>
                  <w:tcBorders>
                    <w:bottom w:val="single" w:color="auto" w:sz="4" w:space="0"/>
                  </w:tcBorders>
                  <w:vAlign w:val="center"/>
                </w:tcPr>
                <w:p>
                  <w:pPr>
                    <w:jc w:val="center"/>
                    <w:rPr>
                      <w:rFonts w:ascii="Times New Roman" w:hAnsi="Times New Roman" w:eastAsia="宋体" w:cs="Times New Roman"/>
                      <w:szCs w:val="21"/>
                    </w:rPr>
                  </w:pPr>
                </w:p>
              </w:tc>
              <w:tc>
                <w:tcPr>
                  <w:tcW w:w="1664" w:type="dxa"/>
                  <w:gridSpan w:val="2"/>
                  <w:tcBorders>
                    <w:bottom w:val="single" w:color="auto" w:sz="4" w:space="0"/>
                  </w:tcBorders>
                  <w:vAlign w:val="center"/>
                </w:tcPr>
                <w:p>
                  <w:pPr>
                    <w:autoSpaceDE w:val="0"/>
                    <w:autoSpaceDN w:val="0"/>
                    <w:adjustRightInd w:val="0"/>
                    <w:jc w:val="center"/>
                    <w:rPr>
                      <w:rFonts w:ascii="Times New Roman" w:hAnsi="Times New Roman" w:eastAsia="宋体" w:cs="Times New Roman"/>
                      <w:spacing w:val="8"/>
                      <w:szCs w:val="21"/>
                    </w:rPr>
                  </w:pPr>
                  <w:r>
                    <w:rPr>
                      <w:rFonts w:ascii="Times New Roman" w:hAnsi="Times New Roman" w:eastAsia="宋体" w:cs="Times New Roman"/>
                      <w:spacing w:val="8"/>
                      <w:szCs w:val="21"/>
                    </w:rPr>
                    <w:t>废切削液、废导轨油、废包装桶</w:t>
                  </w:r>
                </w:p>
              </w:tc>
              <w:tc>
                <w:tcPr>
                  <w:tcW w:w="1909" w:type="dxa"/>
                  <w:tcBorders>
                    <w:bottom w:val="single" w:color="auto" w:sz="4" w:space="0"/>
                  </w:tcBorders>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委托有资质单位处理</w:t>
                  </w:r>
                </w:p>
              </w:tc>
              <w:tc>
                <w:tcPr>
                  <w:tcW w:w="1964" w:type="dxa"/>
                  <w:vMerge w:val="continue"/>
                  <w:tcBorders>
                    <w:bottom w:val="single" w:color="auto" w:sz="4" w:space="0"/>
                  </w:tcBorders>
                  <w:vAlign w:val="center"/>
                </w:tcPr>
                <w:p>
                  <w:pPr>
                    <w:spacing w:line="300" w:lineRule="exact"/>
                    <w:jc w:val="center"/>
                    <w:rPr>
                      <w:rFonts w:ascii="Times New Roman" w:hAnsi="Times New Roman" w:eastAsia="宋体" w:cs="Times New Roman"/>
                      <w:szCs w:val="21"/>
                    </w:rPr>
                  </w:pPr>
                </w:p>
              </w:tc>
              <w:tc>
                <w:tcPr>
                  <w:tcW w:w="859" w:type="dxa"/>
                  <w:tcBorders>
                    <w:bottom w:val="single" w:color="auto" w:sz="4" w:space="0"/>
                  </w:tcBorders>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3</w:t>
                  </w: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98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废气</w:t>
                  </w:r>
                </w:p>
              </w:tc>
              <w:tc>
                <w:tcPr>
                  <w:tcW w:w="736"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生产车间</w:t>
                  </w:r>
                </w:p>
              </w:tc>
              <w:tc>
                <w:tcPr>
                  <w:tcW w:w="1664" w:type="dxa"/>
                  <w:gridSpan w:val="2"/>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非甲烷总烃</w:t>
                  </w:r>
                </w:p>
              </w:tc>
              <w:tc>
                <w:tcPr>
                  <w:tcW w:w="1909"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车间通风后排放</w:t>
                  </w:r>
                </w:p>
              </w:tc>
              <w:tc>
                <w:tcPr>
                  <w:tcW w:w="1964"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napToGrid w:val="0"/>
                      <w:kern w:val="0"/>
                      <w:szCs w:val="21"/>
                    </w:rPr>
                    <w:t>《大气污染物综合排放标准》（GB16297-1996）表2无组织浓度限值</w:t>
                  </w:r>
                </w:p>
              </w:tc>
              <w:tc>
                <w:tcPr>
                  <w:tcW w:w="859"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5</w:t>
                  </w: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98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绿化</w:t>
                  </w:r>
                </w:p>
              </w:tc>
              <w:tc>
                <w:tcPr>
                  <w:tcW w:w="6273" w:type="dxa"/>
                  <w:gridSpan w:val="5"/>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依托租用厂区的现有绿化</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98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环境管理（机构、监测能力等）</w:t>
                  </w:r>
                </w:p>
              </w:tc>
              <w:tc>
                <w:tcPr>
                  <w:tcW w:w="6273" w:type="dxa"/>
                  <w:gridSpan w:val="5"/>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委托</w:t>
                  </w:r>
                  <w:r>
                    <w:rPr>
                      <w:rFonts w:ascii="Times New Roman" w:hAnsi="Times New Roman" w:eastAsia="宋体" w:cs="Times New Roman"/>
                      <w:szCs w:val="24"/>
                    </w:rPr>
                    <w:t>有资质的监测公司</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7" w:hRule="atLeast"/>
                <w:jc w:val="center"/>
              </w:trPr>
              <w:tc>
                <w:tcPr>
                  <w:tcW w:w="98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清污分流、排污口规范化设置</w:t>
                  </w:r>
                </w:p>
              </w:tc>
              <w:tc>
                <w:tcPr>
                  <w:tcW w:w="6273" w:type="dxa"/>
                  <w:gridSpan w:val="5"/>
                  <w:vAlign w:val="center"/>
                </w:tcPr>
                <w:p>
                  <w:pPr>
                    <w:spacing w:line="300" w:lineRule="exact"/>
                    <w:jc w:val="left"/>
                    <w:rPr>
                      <w:rFonts w:ascii="Times New Roman" w:hAnsi="Times New Roman" w:eastAsia="宋体" w:cs="Times New Roman"/>
                      <w:szCs w:val="21"/>
                    </w:rPr>
                  </w:pPr>
                  <w:r>
                    <w:rPr>
                      <w:rFonts w:ascii="Times New Roman" w:hAnsi="Times New Roman" w:eastAsia="宋体" w:cs="Times New Roman"/>
                      <w:szCs w:val="21"/>
                    </w:rPr>
                    <w:t>废水：废污水排污口规范化设置，在废污水排口附近醒目处树立环保图形标志牌。</w:t>
                  </w:r>
                </w:p>
                <w:p>
                  <w:pPr>
                    <w:spacing w:after="120"/>
                    <w:jc w:val="left"/>
                    <w:rPr>
                      <w:rFonts w:ascii="Times New Roman" w:hAnsi="Times New Roman" w:eastAsia="宋体" w:cs="Times New Roman"/>
                      <w:szCs w:val="24"/>
                    </w:rPr>
                  </w:pPr>
                  <w:r>
                    <w:rPr>
                      <w:rFonts w:ascii="Times New Roman" w:hAnsi="Times New Roman" w:eastAsia="宋体" w:cs="Times New Roman"/>
                      <w:szCs w:val="21"/>
                    </w:rPr>
                    <w:t>噪声：固定噪声污染源对边界影响最大处，设置环境噪声监测点，并在该处附近醒目处设置环境保护图形标志牌。</w:t>
                  </w:r>
                  <w:r>
                    <w:rPr>
                      <w:rFonts w:ascii="Times New Roman" w:hAnsi="Times New Roman" w:eastAsia="宋体" w:cs="Times New Roman"/>
                      <w:szCs w:val="21"/>
                    </w:rPr>
                    <w:br w:type="textWrapping"/>
                  </w:r>
                  <w:r>
                    <w:rPr>
                      <w:rFonts w:ascii="Times New Roman" w:hAnsi="Times New Roman" w:eastAsia="宋体" w:cs="Times New Roman"/>
                      <w:szCs w:val="21"/>
                    </w:rPr>
                    <w:t>固废：工业固废设置专用的贮存设施或堆放场地；固废贮存场所在醒目处设置标志牌。</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2902"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总量平衡具体方案</w:t>
                  </w:r>
                </w:p>
              </w:tc>
              <w:tc>
                <w:tcPr>
                  <w:tcW w:w="4351"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生活污水总量在太仓城东污水处理厂总量中平衡</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1" w:hRule="atLeast"/>
                <w:jc w:val="center"/>
              </w:trPr>
              <w:tc>
                <w:tcPr>
                  <w:tcW w:w="2902"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卫生防护距离设置（以设施或厂界设置，敏感保护目标情况等）</w:t>
                  </w:r>
                </w:p>
              </w:tc>
              <w:tc>
                <w:tcPr>
                  <w:tcW w:w="4351" w:type="dxa"/>
                  <w:gridSpan w:val="3"/>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在生产车间周围设置100米卫生防护距离</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1" w:hRule="atLeast"/>
                <w:jc w:val="center"/>
              </w:trPr>
              <w:tc>
                <w:tcPr>
                  <w:tcW w:w="980" w:type="dxa"/>
                  <w:vAlign w:val="center"/>
                </w:tcPr>
                <w:p>
                  <w:pPr>
                    <w:jc w:val="center"/>
                    <w:rPr>
                      <w:rFonts w:ascii="Times New Roman" w:hAnsi="Times New Roman" w:eastAsia="宋体" w:cs="Times New Roman"/>
                      <w:szCs w:val="21"/>
                    </w:rPr>
                  </w:pPr>
                  <w:r>
                    <w:rPr>
                      <w:rFonts w:ascii="Times New Roman" w:hAnsi="Times New Roman" w:eastAsia="宋体" w:cs="Times New Roman"/>
                      <w:kern w:val="0"/>
                      <w:szCs w:val="21"/>
                    </w:rPr>
                    <w:t>风险防范措施要求</w:t>
                  </w:r>
                </w:p>
              </w:tc>
              <w:tc>
                <w:tcPr>
                  <w:tcW w:w="6273" w:type="dxa"/>
                  <w:gridSpan w:val="5"/>
                  <w:vAlign w:val="center"/>
                </w:tcPr>
                <w:p>
                  <w:pPr>
                    <w:spacing w:line="32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1.泄漏物料设置围堰进行收集，收集的危险化学品按危险废物的处理方法委托有资质单位处理。仓库、危废暂存点地面应做防腐、防渗措施。若发生渗漏，可通过导流沟进行收集，不会对外环境造成影响。不和其它废水混合排放，不进入雨水管网，不直接进入水体；</w:t>
                  </w:r>
                </w:p>
                <w:p>
                  <w:pPr>
                    <w:spacing w:line="32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2.加强各类生产设备的检修及保养，提高管理人员素质，并设置机器事故应急措施及管理制度，确保设备长期处于良好状态，使设备达到预期的处理效果；</w:t>
                  </w:r>
                </w:p>
                <w:p>
                  <w:pPr>
                    <w:jc w:val="center"/>
                    <w:rPr>
                      <w:rFonts w:ascii="Times New Roman" w:hAnsi="Times New Roman" w:eastAsia="宋体" w:cs="Times New Roman"/>
                      <w:szCs w:val="21"/>
                    </w:rPr>
                  </w:pPr>
                  <w:r>
                    <w:rPr>
                      <w:rFonts w:ascii="Times New Roman" w:hAnsi="Times New Roman" w:eastAsia="宋体" w:cs="Times New Roman"/>
                      <w:kern w:val="0"/>
                      <w:szCs w:val="21"/>
                    </w:rPr>
                    <w:t>3.设置事故排水系统，事故状态下事故废水进入应急事故池暂存。</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34"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980"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总计</w:t>
                  </w:r>
                </w:p>
              </w:tc>
              <w:tc>
                <w:tcPr>
                  <w:tcW w:w="6273" w:type="dxa"/>
                  <w:gridSpan w:val="5"/>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859"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w:t>
                  </w:r>
                </w:p>
              </w:tc>
              <w:tc>
                <w:tcPr>
                  <w:tcW w:w="734" w:type="dxa"/>
                  <w:vAlign w:val="center"/>
                </w:tcPr>
                <w:p>
                  <w:pPr>
                    <w:jc w:val="center"/>
                    <w:rPr>
                      <w:rFonts w:ascii="Times New Roman" w:hAnsi="Times New Roman" w:eastAsia="宋体" w:cs="Times New Roman"/>
                      <w:szCs w:val="21"/>
                    </w:rPr>
                  </w:pPr>
                </w:p>
              </w:tc>
            </w:tr>
          </w:tbl>
          <w:p>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综上所述，通过对项目所在地区的环境现状评价以及项目的环境影响分析，认为本项目落实环评报告中的全部治理措施后，对周围环境的影响可控制在允许范围内，具有环境可行性。</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说明：</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上述评价结果是在建设单位提供的有关资料基础上得出的。一旦项目规模、用途等发生变化，建设单位应根据有关规定重新申报。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4565" w:hRule="atLeast"/>
        </w:trPr>
        <w:tc>
          <w:tcPr>
            <w:tcW w:w="9640" w:type="dxa"/>
          </w:tcPr>
          <w:p>
            <w:pPr>
              <w:spacing w:line="360" w:lineRule="exact"/>
              <w:rPr>
                <w:rFonts w:ascii="Times New Roman" w:hAnsi="Times New Roman" w:eastAsia="宋体" w:cs="Times New Roman"/>
                <w:sz w:val="24"/>
                <w:szCs w:val="24"/>
              </w:rPr>
            </w:pPr>
            <w:r>
              <w:rPr>
                <w:rFonts w:ascii="Times New Roman" w:hAnsi="Times New Roman" w:eastAsia="宋体" w:cs="Times New Roman"/>
                <w:sz w:val="24"/>
                <w:szCs w:val="24"/>
              </w:rPr>
              <w:t>预审意见：</w:t>
            </w:r>
          </w:p>
          <w:p>
            <w:pPr>
              <w:rPr>
                <w:rFonts w:ascii="Times New Roman" w:hAnsi="Times New Roman" w:eastAsia="宋体" w:cs="Times New Roman"/>
                <w:sz w:val="28"/>
                <w:szCs w:val="24"/>
              </w:rPr>
            </w:pPr>
          </w:p>
          <w:p>
            <w:pPr>
              <w:ind w:firstLine="560" w:firstLineChars="200"/>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spacing w:after="120"/>
              <w:rPr>
                <w:rFonts w:ascii="Times New Roman" w:hAnsi="Times New Roman" w:eastAsia="宋体" w:cs="Times New Roman"/>
                <w:sz w:val="28"/>
                <w:szCs w:val="24"/>
              </w:rPr>
            </w:pPr>
          </w:p>
          <w:p>
            <w:pPr>
              <w:spacing w:after="120"/>
              <w:rPr>
                <w:rFonts w:ascii="Times New Roman" w:hAnsi="Times New Roman" w:eastAsia="宋体" w:cs="Times New Roman"/>
                <w:sz w:val="28"/>
                <w:szCs w:val="24"/>
              </w:rPr>
            </w:pPr>
          </w:p>
          <w:p>
            <w:pPr>
              <w:spacing w:after="120"/>
              <w:rPr>
                <w:rFonts w:ascii="Times New Roman" w:hAnsi="Times New Roman" w:eastAsia="宋体" w:cs="Times New Roman"/>
                <w:sz w:val="28"/>
                <w:szCs w:val="24"/>
              </w:rPr>
            </w:pPr>
          </w:p>
          <w:p>
            <w:pPr>
              <w:spacing w:after="120"/>
              <w:rPr>
                <w:rFonts w:ascii="Times New Roman" w:hAnsi="Times New Roman" w:eastAsia="宋体" w:cs="Times New Roman"/>
                <w:sz w:val="28"/>
                <w:szCs w:val="24"/>
              </w:rPr>
            </w:pPr>
          </w:p>
          <w:p>
            <w:pPr>
              <w:spacing w:after="120"/>
              <w:rPr>
                <w:rFonts w:ascii="Times New Roman" w:hAnsi="Times New Roman" w:eastAsia="宋体" w:cs="Times New Roman"/>
                <w:sz w:val="28"/>
                <w:szCs w:val="24"/>
              </w:rPr>
            </w:pPr>
          </w:p>
          <w:p>
            <w:pPr>
              <w:spacing w:after="120"/>
              <w:rPr>
                <w:rFonts w:ascii="Times New Roman" w:hAnsi="Times New Roman" w:eastAsia="宋体" w:cs="Times New Roman"/>
                <w:sz w:val="28"/>
                <w:szCs w:val="24"/>
              </w:rPr>
            </w:pPr>
          </w:p>
          <w:p>
            <w:pPr>
              <w:spacing w:after="120"/>
              <w:rPr>
                <w:rFonts w:ascii="Times New Roman" w:hAnsi="Times New Roman" w:eastAsia="宋体" w:cs="Times New Roman"/>
                <w:sz w:val="28"/>
                <w:szCs w:val="24"/>
              </w:rPr>
            </w:pPr>
          </w:p>
          <w:p>
            <w:pPr>
              <w:spacing w:after="120"/>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4"/>
                <w:szCs w:val="24"/>
              </w:rPr>
            </w:pPr>
            <w:r>
              <w:rPr>
                <w:rFonts w:ascii="Times New Roman" w:hAnsi="Times New Roman" w:eastAsia="宋体" w:cs="Times New Roman"/>
                <w:sz w:val="28"/>
                <w:szCs w:val="24"/>
              </w:rPr>
              <w:t xml:space="preserve">                                               </w:t>
            </w:r>
            <w:r>
              <w:rPr>
                <w:rFonts w:ascii="Times New Roman" w:hAnsi="Times New Roman" w:eastAsia="宋体" w:cs="Times New Roman"/>
                <w:sz w:val="24"/>
                <w:szCs w:val="24"/>
              </w:rPr>
              <w:t>公   章</w:t>
            </w:r>
          </w:p>
          <w:p>
            <w:pPr>
              <w:rPr>
                <w:rFonts w:ascii="Times New Roman" w:hAnsi="Times New Roman" w:eastAsia="宋体" w:cs="Times New Roman"/>
                <w:sz w:val="28"/>
                <w:szCs w:val="24"/>
              </w:rPr>
            </w:pPr>
          </w:p>
          <w:p>
            <w:pPr>
              <w:rPr>
                <w:rFonts w:ascii="Times New Roman" w:hAnsi="Times New Roman" w:eastAsia="宋体" w:cs="Times New Roman"/>
                <w:sz w:val="24"/>
                <w:szCs w:val="24"/>
              </w:rPr>
            </w:pPr>
            <w:r>
              <w:rPr>
                <w:rFonts w:ascii="Times New Roman" w:hAnsi="Times New Roman" w:eastAsia="宋体" w:cs="Times New Roman"/>
                <w:sz w:val="24"/>
                <w:szCs w:val="24"/>
              </w:rPr>
              <w:t>经办人：                                           年     月    日</w:t>
            </w:r>
          </w:p>
          <w:p>
            <w:pPr>
              <w:rPr>
                <w:rFonts w:ascii="Times New Roman" w:hAnsi="Times New Roman" w:eastAsia="宋体" w:cs="Times New Roman"/>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7327" w:hRule="atLeast"/>
        </w:trPr>
        <w:tc>
          <w:tcPr>
            <w:tcW w:w="9640" w:type="dxa"/>
            <w:tcBorders>
              <w:bottom w:val="single" w:color="auto" w:sz="12" w:space="0"/>
            </w:tcBorders>
          </w:tcPr>
          <w:p>
            <w:pPr>
              <w:spacing w:line="360" w:lineRule="exact"/>
              <w:rPr>
                <w:rFonts w:ascii="Times New Roman" w:hAnsi="Times New Roman" w:eastAsia="宋体" w:cs="Times New Roman"/>
                <w:sz w:val="24"/>
                <w:szCs w:val="24"/>
              </w:rPr>
            </w:pPr>
            <w:r>
              <w:rPr>
                <w:rFonts w:ascii="Times New Roman" w:hAnsi="Times New Roman" w:eastAsia="宋体" w:cs="Times New Roman"/>
                <w:sz w:val="24"/>
                <w:szCs w:val="24"/>
              </w:rPr>
              <w:t>下一级环境保护行政主管部门审查意见：</w:t>
            </w:r>
          </w:p>
          <w:p>
            <w:pPr>
              <w:spacing w:line="360" w:lineRule="exact"/>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rPr>
                <w:rFonts w:ascii="Times New Roman" w:hAnsi="Times New Roman" w:eastAsia="宋体" w:cs="Times New Roman"/>
                <w:sz w:val="28"/>
                <w:szCs w:val="24"/>
              </w:rPr>
            </w:pPr>
            <w:r>
              <w:rPr>
                <w:rFonts w:ascii="Times New Roman" w:hAnsi="Times New Roman" w:eastAsia="宋体" w:cs="Times New Roman"/>
                <w:sz w:val="28"/>
                <w:szCs w:val="24"/>
              </w:rPr>
              <w:t xml:space="preserve"> </w:t>
            </w:r>
          </w:p>
          <w:p>
            <w:pPr>
              <w:rPr>
                <w:rFonts w:ascii="Times New Roman" w:hAnsi="Times New Roman" w:eastAsia="宋体" w:cs="Times New Roman"/>
                <w:sz w:val="28"/>
                <w:szCs w:val="24"/>
              </w:rPr>
            </w:pPr>
          </w:p>
          <w:p>
            <w:pPr>
              <w:rPr>
                <w:rFonts w:ascii="Times New Roman" w:hAnsi="Times New Roman" w:eastAsia="宋体" w:cs="Times New Roman"/>
                <w:sz w:val="24"/>
                <w:szCs w:val="24"/>
              </w:rPr>
            </w:pPr>
            <w:r>
              <w:rPr>
                <w:rFonts w:ascii="Times New Roman" w:hAnsi="Times New Roman" w:eastAsia="宋体" w:cs="Times New Roman"/>
                <w:sz w:val="28"/>
                <w:szCs w:val="24"/>
              </w:rPr>
              <w:t xml:space="preserve">                                                </w:t>
            </w:r>
            <w:r>
              <w:rPr>
                <w:rFonts w:ascii="Times New Roman" w:hAnsi="Times New Roman" w:eastAsia="宋体" w:cs="Times New Roman"/>
                <w:sz w:val="24"/>
                <w:szCs w:val="24"/>
              </w:rPr>
              <w:t>公  章</w:t>
            </w:r>
          </w:p>
          <w:p>
            <w:pPr>
              <w:rPr>
                <w:rFonts w:ascii="Times New Roman" w:hAnsi="Times New Roman" w:eastAsia="宋体" w:cs="Times New Roman"/>
                <w:sz w:val="28"/>
                <w:szCs w:val="24"/>
              </w:rPr>
            </w:pPr>
          </w:p>
          <w:p>
            <w:pPr>
              <w:rPr>
                <w:rFonts w:ascii="Times New Roman" w:hAnsi="Times New Roman" w:eastAsia="宋体" w:cs="Times New Roman"/>
                <w:sz w:val="28"/>
                <w:szCs w:val="24"/>
              </w:rPr>
            </w:pPr>
          </w:p>
          <w:p>
            <w:pPr>
              <w:spacing w:line="360" w:lineRule="exact"/>
              <w:rPr>
                <w:rFonts w:ascii="Times New Roman" w:hAnsi="Times New Roman" w:eastAsia="宋体" w:cs="Times New Roman"/>
                <w:sz w:val="24"/>
                <w:szCs w:val="24"/>
              </w:rPr>
            </w:pPr>
            <w:r>
              <w:rPr>
                <w:rFonts w:ascii="Times New Roman" w:hAnsi="Times New Roman" w:eastAsia="宋体" w:cs="Times New Roman"/>
                <w:sz w:val="24"/>
                <w:szCs w:val="24"/>
              </w:rPr>
              <w:t>经办人：</w:t>
            </w:r>
          </w:p>
          <w:p>
            <w:pPr>
              <w:rPr>
                <w:rFonts w:ascii="Times New Roman" w:hAnsi="Times New Roman" w:eastAsia="宋体" w:cs="Times New Roman"/>
                <w:sz w:val="24"/>
                <w:szCs w:val="24"/>
              </w:rPr>
            </w:pPr>
            <w:r>
              <w:rPr>
                <w:rFonts w:ascii="Times New Roman" w:hAnsi="Times New Roman" w:eastAsia="宋体" w:cs="Times New Roman"/>
                <w:sz w:val="24"/>
                <w:szCs w:val="24"/>
              </w:rPr>
              <w:t xml:space="preserve">                                                   年     月    日</w:t>
            </w: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6" w:hRule="atLeast"/>
        </w:trPr>
        <w:tc>
          <w:tcPr>
            <w:tcW w:w="9640" w:type="dxa"/>
            <w:tcBorders>
              <w:top w:val="single" w:color="auto" w:sz="12" w:space="0"/>
              <w:left w:val="single" w:color="auto" w:sz="12" w:space="0"/>
              <w:bottom w:val="single" w:color="auto" w:sz="12" w:space="0"/>
              <w:right w:val="single" w:color="auto" w:sz="12" w:space="0"/>
            </w:tcBorders>
          </w:tcPr>
          <w:p>
            <w:pPr>
              <w:spacing w:line="360" w:lineRule="exact"/>
              <w:rPr>
                <w:rFonts w:ascii="Times New Roman" w:hAnsi="Times New Roman" w:eastAsia="宋体" w:cs="Times New Roman"/>
                <w:sz w:val="24"/>
                <w:szCs w:val="24"/>
              </w:rPr>
            </w:pPr>
            <w:r>
              <w:rPr>
                <w:rFonts w:ascii="Times New Roman" w:hAnsi="Times New Roman" w:eastAsia="宋体" w:cs="Times New Roman"/>
                <w:sz w:val="24"/>
                <w:szCs w:val="24"/>
              </w:rPr>
              <w:t>审批意见：</w:t>
            </w: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spacing w:after="120"/>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r>
              <w:rPr>
                <w:rFonts w:ascii="Times New Roman" w:hAnsi="Times New Roman" w:eastAsia="宋体" w:cs="Times New Roman"/>
                <w:sz w:val="24"/>
                <w:szCs w:val="24"/>
              </w:rPr>
              <w:t xml:space="preserve">                                              公  章</w:t>
            </w: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rPr>
                <w:rFonts w:ascii="Times New Roman" w:hAnsi="Times New Roman" w:eastAsia="宋体" w:cs="Times New Roman"/>
                <w:sz w:val="24"/>
                <w:szCs w:val="24"/>
              </w:rPr>
            </w:pPr>
            <w:r>
              <w:rPr>
                <w:rFonts w:ascii="Times New Roman" w:hAnsi="Times New Roman" w:eastAsia="宋体" w:cs="Times New Roman"/>
                <w:sz w:val="24"/>
                <w:szCs w:val="24"/>
              </w:rPr>
              <w:t>经办人：                                            年   月   日</w:t>
            </w:r>
          </w:p>
          <w:p>
            <w:pPr>
              <w:rPr>
                <w:rFonts w:ascii="Times New Roman" w:hAnsi="Times New Roman" w:eastAsia="宋体" w:cs="Times New Roman"/>
                <w:sz w:val="24"/>
                <w:szCs w:val="24"/>
              </w:rPr>
            </w:pPr>
          </w:p>
          <w:p>
            <w:pPr>
              <w:rPr>
                <w:rFonts w:ascii="Times New Roman" w:hAnsi="Times New Roman" w:eastAsia="宋体" w:cs="Times New Roman"/>
                <w:sz w:val="24"/>
                <w:szCs w:val="24"/>
              </w:rPr>
            </w:pPr>
          </w:p>
          <w:p>
            <w:pPr>
              <w:spacing w:after="120"/>
              <w:rPr>
                <w:rFonts w:ascii="Times New Roman" w:hAnsi="Times New Roman" w:eastAsia="宋体" w:cs="Times New Roman"/>
                <w:szCs w:val="24"/>
              </w:rPr>
            </w:pPr>
          </w:p>
          <w:p>
            <w:pPr>
              <w:spacing w:after="120"/>
              <w:rPr>
                <w:rFonts w:ascii="Times New Roman" w:hAnsi="Times New Roman" w:eastAsia="宋体" w:cs="Times New Roman"/>
                <w:szCs w:val="24"/>
              </w:rPr>
            </w:pPr>
          </w:p>
        </w:tc>
      </w:tr>
    </w:tbl>
    <w:p>
      <w:pPr>
        <w:jc w:val="center"/>
        <w:rPr>
          <w:rFonts w:ascii="Times New Roman" w:hAnsi="Times New Roman" w:cs="Times New Roman"/>
          <w:b/>
          <w:sz w:val="32"/>
          <w:szCs w:val="32"/>
        </w:rPr>
      </w:pPr>
    </w:p>
    <w:p>
      <w:pPr>
        <w:jc w:val="center"/>
        <w:rPr>
          <w:rFonts w:ascii="Times New Roman" w:hAnsi="Times New Roman" w:cs="Times New Roman"/>
          <w:b/>
          <w:sz w:val="32"/>
          <w:szCs w:val="32"/>
        </w:rPr>
      </w:pPr>
    </w:p>
    <w:p>
      <w:pPr>
        <w:jc w:val="center"/>
        <w:rPr>
          <w:rFonts w:ascii="Times New Roman" w:hAnsi="Times New Roman" w:cs="Times New Roman"/>
          <w:b/>
          <w:sz w:val="32"/>
          <w:szCs w:val="32"/>
        </w:rPr>
      </w:pPr>
    </w:p>
    <w:p>
      <w:pPr>
        <w:jc w:val="center"/>
        <w:rPr>
          <w:rFonts w:ascii="Times New Roman" w:hAnsi="Times New Roman" w:cs="Times New Roman"/>
          <w:b/>
          <w:sz w:val="32"/>
          <w:szCs w:val="32"/>
        </w:rPr>
      </w:pPr>
    </w:p>
    <w:p>
      <w:pPr>
        <w:jc w:val="center"/>
        <w:rPr>
          <w:rFonts w:ascii="Times New Roman" w:hAnsi="Times New Roman" w:cs="Times New Roman"/>
          <w:b/>
          <w:sz w:val="32"/>
          <w:szCs w:val="32"/>
        </w:rPr>
      </w:pPr>
      <w:r>
        <w:rPr>
          <w:rFonts w:ascii="Times New Roman" w:hAnsi="Times New Roman" w:cs="Times New Roman"/>
          <w:b/>
          <w:sz w:val="32"/>
          <w:szCs w:val="32"/>
        </w:rPr>
        <w:t>注  释</w:t>
      </w:r>
    </w:p>
    <w:p>
      <w:pPr>
        <w:rPr>
          <w:rFonts w:ascii="Times New Roman" w:hAnsi="Times New Roman" w:cs="Times New Roman"/>
          <w:b/>
          <w:sz w:val="28"/>
          <w:szCs w:val="28"/>
        </w:rPr>
      </w:pPr>
      <w:r>
        <w:rPr>
          <w:rFonts w:ascii="Times New Roman" w:hAnsi="Times New Roman" w:cs="Times New Roman"/>
          <w:b/>
          <w:sz w:val="28"/>
          <w:szCs w:val="28"/>
        </w:rPr>
        <w:t>一、报告表应附以下附件、附图：</w:t>
      </w:r>
    </w:p>
    <w:p>
      <w:pPr>
        <w:spacing w:line="480" w:lineRule="auto"/>
        <w:rPr>
          <w:rFonts w:ascii="Times New Roman" w:hAnsi="Times New Roman" w:cs="Times New Roman"/>
          <w:sz w:val="24"/>
        </w:rPr>
      </w:pPr>
      <w:r>
        <w:rPr>
          <w:rFonts w:ascii="Times New Roman" w:hAnsi="Times New Roman" w:cs="Times New Roman"/>
          <w:sz w:val="24"/>
        </w:rPr>
        <w:t>附件1 立项批准文件。</w:t>
      </w:r>
    </w:p>
    <w:p>
      <w:pPr>
        <w:spacing w:line="480" w:lineRule="auto"/>
        <w:rPr>
          <w:rFonts w:ascii="Times New Roman" w:hAnsi="Times New Roman" w:cs="Times New Roman"/>
          <w:sz w:val="24"/>
        </w:rPr>
      </w:pPr>
      <w:r>
        <w:rPr>
          <w:rFonts w:ascii="Times New Roman" w:hAnsi="Times New Roman" w:cs="Times New Roman"/>
          <w:sz w:val="24"/>
        </w:rPr>
        <w:t>附件2 其他与环评有关的行政管理文件。</w:t>
      </w:r>
    </w:p>
    <w:p>
      <w:pPr>
        <w:spacing w:line="480" w:lineRule="auto"/>
        <w:rPr>
          <w:rFonts w:ascii="Times New Roman" w:hAnsi="Times New Roman" w:cs="Times New Roman"/>
          <w:sz w:val="24"/>
        </w:rPr>
      </w:pPr>
      <w:r>
        <w:rPr>
          <w:rFonts w:ascii="Times New Roman" w:hAnsi="Times New Roman" w:cs="Times New Roman"/>
          <w:sz w:val="24"/>
        </w:rPr>
        <w:t>附图1 项目地理位置图。</w:t>
      </w:r>
    </w:p>
    <w:p>
      <w:pPr>
        <w:spacing w:line="480" w:lineRule="auto"/>
        <w:rPr>
          <w:rFonts w:ascii="Times New Roman" w:hAnsi="Times New Roman" w:cs="Times New Roman"/>
          <w:sz w:val="24"/>
        </w:rPr>
      </w:pPr>
      <w:r>
        <w:rPr>
          <w:rFonts w:ascii="Times New Roman" w:hAnsi="Times New Roman" w:cs="Times New Roman"/>
          <w:sz w:val="24"/>
        </w:rPr>
        <w:t>附图2 区域用地规划图</w:t>
      </w:r>
    </w:p>
    <w:p>
      <w:pPr>
        <w:spacing w:line="480" w:lineRule="auto"/>
        <w:rPr>
          <w:rFonts w:ascii="Times New Roman" w:hAnsi="Times New Roman" w:cs="Times New Roman"/>
          <w:sz w:val="24"/>
        </w:rPr>
      </w:pPr>
      <w:r>
        <w:rPr>
          <w:rFonts w:ascii="Times New Roman" w:hAnsi="Times New Roman" w:cs="Times New Roman"/>
          <w:sz w:val="24"/>
        </w:rPr>
        <w:t>附图3 项目周围环境图</w:t>
      </w:r>
    </w:p>
    <w:p>
      <w:pPr>
        <w:spacing w:line="480" w:lineRule="auto"/>
        <w:rPr>
          <w:rFonts w:ascii="Times New Roman" w:hAnsi="Times New Roman" w:cs="Times New Roman"/>
          <w:sz w:val="24"/>
        </w:rPr>
      </w:pPr>
      <w:r>
        <w:rPr>
          <w:rFonts w:ascii="Times New Roman" w:hAnsi="Times New Roman" w:cs="Times New Roman"/>
          <w:sz w:val="24"/>
        </w:rPr>
        <w:t>附图4 项目平面布置图</w:t>
      </w:r>
    </w:p>
    <w:p>
      <w:pPr>
        <w:pStyle w:val="16"/>
        <w:rPr>
          <w:sz w:val="24"/>
        </w:rPr>
      </w:pPr>
      <w:r>
        <w:rPr>
          <w:sz w:val="24"/>
        </w:rPr>
        <w:t>附图5 生态红线图</w:t>
      </w:r>
    </w:p>
    <w:p>
      <w:pPr>
        <w:pStyle w:val="16"/>
      </w:pPr>
    </w:p>
    <w:p>
      <w:pPr>
        <w:tabs>
          <w:tab w:val="left" w:pos="2460"/>
        </w:tabs>
        <w:rPr>
          <w:rFonts w:ascii="Times New Roman" w:hAnsi="Times New Roman" w:cs="Times New Roman"/>
          <w:sz w:val="28"/>
          <w:szCs w:val="28"/>
        </w:rPr>
      </w:pPr>
      <w:r>
        <w:rPr>
          <w:rFonts w:ascii="Times New Roman" w:hAnsi="Times New Roman" w:cs="Times New Roman"/>
          <w:sz w:val="28"/>
          <w:szCs w:val="28"/>
        </w:rPr>
        <w:tab/>
      </w:r>
    </w:p>
    <w:p>
      <w:pPr>
        <w:rPr>
          <w:rFonts w:ascii="Times New Roman" w:hAnsi="Times New Roman" w:cs="Times New Roman"/>
          <w:b/>
          <w:sz w:val="28"/>
          <w:szCs w:val="28"/>
        </w:rPr>
      </w:pPr>
      <w:r>
        <w:rPr>
          <w:rFonts w:ascii="Times New Roman" w:hAnsi="Times New Roman" w:cs="Times New Roman"/>
          <w:b/>
          <w:sz w:val="28"/>
          <w:szCs w:val="28"/>
        </w:rPr>
        <w:t>二、如果本报告表不能说明项目产生的污染及对环境造成的影响，应进行专项评价。根据建设项目的特点和当地环境特征，应选下列1-2项进行专项评价：</w:t>
      </w:r>
    </w:p>
    <w:p>
      <w:pPr>
        <w:numPr>
          <w:ilvl w:val="0"/>
          <w:numId w:val="6"/>
        </w:numPr>
        <w:spacing w:line="480" w:lineRule="auto"/>
        <w:rPr>
          <w:rFonts w:ascii="Times New Roman" w:hAnsi="Times New Roman" w:cs="Times New Roman"/>
          <w:sz w:val="24"/>
        </w:rPr>
      </w:pPr>
      <w:r>
        <w:rPr>
          <w:rFonts w:ascii="Times New Roman" w:hAnsi="Times New Roman" w:cs="Times New Roman"/>
          <w:sz w:val="24"/>
        </w:rPr>
        <w:t>大气环境影响专项评价；</w:t>
      </w:r>
    </w:p>
    <w:p>
      <w:pPr>
        <w:numPr>
          <w:ilvl w:val="0"/>
          <w:numId w:val="6"/>
        </w:numPr>
        <w:spacing w:line="480" w:lineRule="auto"/>
        <w:rPr>
          <w:rFonts w:ascii="Times New Roman" w:hAnsi="Times New Roman" w:cs="Times New Roman"/>
          <w:sz w:val="24"/>
        </w:rPr>
      </w:pPr>
      <w:r>
        <w:rPr>
          <w:rFonts w:ascii="Times New Roman" w:hAnsi="Times New Roman" w:cs="Times New Roman"/>
          <w:sz w:val="24"/>
        </w:rPr>
        <w:t>水环境影响专项评价（包括地表水和地下水）；</w:t>
      </w:r>
    </w:p>
    <w:p>
      <w:pPr>
        <w:numPr>
          <w:ilvl w:val="0"/>
          <w:numId w:val="6"/>
        </w:numPr>
        <w:spacing w:line="480" w:lineRule="auto"/>
        <w:rPr>
          <w:rFonts w:ascii="Times New Roman" w:hAnsi="Times New Roman" w:cs="Times New Roman"/>
          <w:sz w:val="24"/>
        </w:rPr>
      </w:pPr>
      <w:r>
        <w:rPr>
          <w:rFonts w:ascii="Times New Roman" w:hAnsi="Times New Roman" w:cs="Times New Roman"/>
          <w:sz w:val="24"/>
        </w:rPr>
        <w:t>生态环境影响专项评价；</w:t>
      </w:r>
    </w:p>
    <w:p>
      <w:pPr>
        <w:numPr>
          <w:ilvl w:val="0"/>
          <w:numId w:val="6"/>
        </w:numPr>
        <w:spacing w:line="480" w:lineRule="auto"/>
        <w:rPr>
          <w:rFonts w:ascii="Times New Roman" w:hAnsi="Times New Roman" w:cs="Times New Roman"/>
          <w:sz w:val="24"/>
        </w:rPr>
      </w:pPr>
      <w:r>
        <w:rPr>
          <w:rFonts w:ascii="Times New Roman" w:hAnsi="Times New Roman" w:cs="Times New Roman"/>
          <w:sz w:val="24"/>
        </w:rPr>
        <w:t>声影响专项评价；</w:t>
      </w:r>
    </w:p>
    <w:p>
      <w:pPr>
        <w:numPr>
          <w:ilvl w:val="0"/>
          <w:numId w:val="6"/>
        </w:numPr>
        <w:spacing w:line="480" w:lineRule="auto"/>
        <w:rPr>
          <w:rFonts w:ascii="Times New Roman" w:hAnsi="Times New Roman" w:cs="Times New Roman"/>
          <w:sz w:val="24"/>
        </w:rPr>
      </w:pPr>
      <w:r>
        <w:rPr>
          <w:rFonts w:ascii="Times New Roman" w:hAnsi="Times New Roman" w:cs="Times New Roman"/>
          <w:sz w:val="24"/>
        </w:rPr>
        <w:t>土壤影响专项评价；</w:t>
      </w:r>
    </w:p>
    <w:p>
      <w:pPr>
        <w:numPr>
          <w:ilvl w:val="0"/>
          <w:numId w:val="6"/>
        </w:numPr>
        <w:spacing w:line="480" w:lineRule="auto"/>
        <w:rPr>
          <w:rFonts w:ascii="Times New Roman" w:hAnsi="Times New Roman" w:cs="Times New Roman"/>
          <w:sz w:val="24"/>
        </w:rPr>
      </w:pPr>
      <w:r>
        <w:rPr>
          <w:rFonts w:ascii="Times New Roman" w:hAnsi="Times New Roman" w:cs="Times New Roman"/>
          <w:sz w:val="24"/>
        </w:rPr>
        <w:t>固体废弃物影响专项评价；</w:t>
      </w:r>
    </w:p>
    <w:p>
      <w:pPr>
        <w:numPr>
          <w:ilvl w:val="0"/>
          <w:numId w:val="6"/>
        </w:numPr>
        <w:spacing w:line="480" w:lineRule="auto"/>
        <w:rPr>
          <w:rFonts w:ascii="Times New Roman" w:hAnsi="Times New Roman" w:cs="Times New Roman"/>
          <w:sz w:val="24"/>
        </w:rPr>
      </w:pPr>
      <w:r>
        <w:rPr>
          <w:rFonts w:ascii="Times New Roman" w:hAnsi="Times New Roman" w:cs="Times New Roman"/>
          <w:sz w:val="24"/>
        </w:rPr>
        <w:t>辐射环境影响专项评价（包括电离辐射和电磁辐射）。</w:t>
      </w:r>
    </w:p>
    <w:p>
      <w:pPr>
        <w:spacing w:line="480" w:lineRule="auto"/>
        <w:ind w:firstLine="480" w:firstLineChars="200"/>
        <w:rPr>
          <w:rFonts w:ascii="Times New Roman" w:hAnsi="Times New Roman" w:cs="Times New Roman"/>
          <w:sz w:val="24"/>
        </w:rPr>
      </w:pPr>
      <w:r>
        <w:rPr>
          <w:rFonts w:ascii="Times New Roman" w:hAnsi="Times New Roman" w:cs="Times New Roman"/>
          <w:sz w:val="24"/>
        </w:rPr>
        <w:t>以上专项评价未包括的可另列专项，专项评价按照《环境影响评价技术导则》中的要求进行。</w:t>
      </w:r>
    </w:p>
    <w:p>
      <w:pPr>
        <w:spacing w:line="480" w:lineRule="auto"/>
        <w:ind w:firstLine="480" w:firstLineChars="200"/>
        <w:rPr>
          <w:rFonts w:ascii="Times New Roman" w:hAnsi="Times New Roman" w:cs="Times New Roman"/>
          <w:sz w:val="24"/>
        </w:rPr>
      </w:pPr>
    </w:p>
    <w:p>
      <w:pPr>
        <w:spacing w:line="480" w:lineRule="auto"/>
        <w:ind w:firstLine="480" w:firstLineChars="200"/>
        <w:rPr>
          <w:rFonts w:ascii="Times New Roman" w:hAnsi="Times New Roman" w:cs="Times New Roman"/>
          <w:sz w:val="24"/>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spacing w:after="120"/>
        <w:rPr>
          <w:rFonts w:ascii="Times New Roman" w:hAnsi="Times New Roman" w:eastAsia="宋体" w:cs="Times New Roman"/>
          <w:sz w:val="24"/>
          <w:szCs w:val="24"/>
          <w:lang w:val="zh-CN"/>
        </w:rPr>
        <w:sectPr>
          <w:footerReference r:id="rId5" w:type="default"/>
          <w:pgSz w:w="11906" w:h="16838"/>
          <w:pgMar w:top="907" w:right="1418" w:bottom="907" w:left="1418" w:header="312" w:footer="488" w:gutter="0"/>
          <w:pgBorders w:offsetFrom="page">
            <w:top w:val="none" w:sz="0" w:space="0"/>
            <w:left w:val="none" w:sz="0" w:space="0"/>
            <w:bottom w:val="none" w:sz="0" w:space="0"/>
            <w:right w:val="none" w:sz="0" w:space="0"/>
          </w:pgBorders>
          <w:cols w:space="720" w:num="1"/>
          <w:docGrid w:linePitch="312" w:charSpace="0"/>
        </w:sectPr>
      </w:pPr>
      <w:bookmarkStart w:id="9" w:name="_GoBack"/>
      <w:bookmarkEnd w:id="9"/>
    </w:p>
    <w:p>
      <w:pPr>
        <w:spacing w:after="120"/>
        <w:rPr>
          <w:rFonts w:ascii="Times New Roman" w:hAnsi="Times New Roman" w:eastAsia="宋体" w:cs="Times New Roman"/>
          <w:sz w:val="24"/>
          <w:szCs w:val="24"/>
          <w:lang w:val="zh-CN"/>
        </w:rPr>
      </w:pPr>
    </w:p>
    <w:p>
      <w:pPr>
        <w:spacing w:after="120"/>
        <w:rPr>
          <w:rFonts w:ascii="Times New Roman" w:hAnsi="Times New Roman" w:eastAsia="宋体" w:cs="Times New Roman"/>
          <w:b/>
          <w:sz w:val="28"/>
          <w:szCs w:val="24"/>
          <w:lang w:val="zh-CN"/>
        </w:rPr>
      </w:pPr>
      <w:r>
        <w:rPr>
          <w:rFonts w:ascii="Times New Roman" w:hAnsi="Times New Roman" w:cs="Times New Roman"/>
        </w:rPr>
        <mc:AlternateContent>
          <mc:Choice Requires="wps">
            <w:drawing>
              <wp:anchor distT="0" distB="0" distL="114300" distR="114300" simplePos="0" relativeHeight="251669504" behindDoc="0" locked="0" layoutInCell="1" allowOverlap="1">
                <wp:simplePos x="0" y="0"/>
                <wp:positionH relativeFrom="column">
                  <wp:posOffset>8092440</wp:posOffset>
                </wp:positionH>
                <wp:positionV relativeFrom="paragraph">
                  <wp:posOffset>939800</wp:posOffset>
                </wp:positionV>
                <wp:extent cx="791210" cy="580390"/>
                <wp:effectExtent l="0" t="0" r="8890" b="0"/>
                <wp:wrapNone/>
                <wp:docPr id="11" name="文本框 11"/>
                <wp:cNvGraphicFramePr/>
                <a:graphic xmlns:a="http://schemas.openxmlformats.org/drawingml/2006/main">
                  <a:graphicData uri="http://schemas.microsoft.com/office/word/2010/wordprocessingShape">
                    <wps:wsp>
                      <wps:cNvSpPr txBox="1"/>
                      <wps:spPr>
                        <a:xfrm>
                          <a:off x="0" y="0"/>
                          <a:ext cx="791308" cy="58029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7.2pt;margin-top:74pt;height:45.7pt;width:62.3pt;z-index:251669504;mso-width-relative:page;mso-height-relative:page;" fillcolor="#FFFFFF [3201]" filled="t" stroked="f" coordsize="21600,21600" o:gfxdata="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XPQYPXAAAADQEAAA8AAAAAAAAAAQAgAAAAIgAAAGRycy9kb3du&#10;cmV2LnhtbFBLAQIUABQAAAAIAIdO4kAxjizsOQIAAFAEAAAOAAAAAAAAAAEAIAAAACYBAABkcnMv&#10;ZTJvRG9jLnhtbFBLBQYAAAAABgAGAFkBAADRBQAAAAA=&#10;">
                <v:fill on="t" focussize="0,0"/>
                <v:stroke on="f" weight="0.5pt"/>
                <v:imagedata o:title=""/>
                <o:lock v:ext="edit" aspectratio="f"/>
                <v:textbox>
                  <w:txbxContent>
                    <w:p>
                      <w:r>
                        <w:rPr>
                          <w:rFonts w:hint="eastAsia"/>
                        </w:rPr>
                        <w:t>N</w:t>
                      </w:r>
                    </w:p>
                  </w:txbxContent>
                </v:textbox>
              </v:shape>
            </w:pict>
          </mc:Fallback>
        </mc:AlternateContent>
      </w:r>
      <w:r>
        <w:rPr>
          <w:rFonts w:ascii="Times New Roman" w:hAnsi="Times New Roman" w:cs="Times New Roman"/>
        </w:rPr>
        <mc:AlternateContent>
          <mc:Choice Requires="wps">
            <w:drawing>
              <wp:anchor distT="0" distB="0" distL="114300" distR="114300" simplePos="0" relativeHeight="251668480" behindDoc="0" locked="0" layoutInCell="1" allowOverlap="1">
                <wp:simplePos x="0" y="0"/>
                <wp:positionH relativeFrom="column">
                  <wp:posOffset>7978775</wp:posOffset>
                </wp:positionH>
                <wp:positionV relativeFrom="paragraph">
                  <wp:posOffset>1036955</wp:posOffset>
                </wp:positionV>
                <wp:extent cx="114300" cy="466090"/>
                <wp:effectExtent l="19050" t="19050" r="38100" b="10795"/>
                <wp:wrapNone/>
                <wp:docPr id="10" name="上箭头 10"/>
                <wp:cNvGraphicFramePr/>
                <a:graphic xmlns:a="http://schemas.openxmlformats.org/drawingml/2006/main">
                  <a:graphicData uri="http://schemas.microsoft.com/office/word/2010/wordprocessingShape">
                    <wps:wsp>
                      <wps:cNvSpPr/>
                      <wps:spPr>
                        <a:xfrm>
                          <a:off x="0" y="0"/>
                          <a:ext cx="114300" cy="465992"/>
                        </a:xfrm>
                        <a:prstGeom prst="upArrow">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8" type="#_x0000_t68" style="position:absolute;left:0pt;margin-left:628.25pt;margin-top:81.65pt;height:36.7pt;width:9pt;z-index:251668480;v-text-anchor:middle;mso-width-relative:page;mso-height-relative:page;" fillcolor="#000000 [3213]" filled="t" stroked="t" coordsize="21600,21600" o:gfxdata="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N2xQ7DbAAAADQEAAA8AAAAAAAAAAQAgAAAAIgAAAGRycy9k&#10;b3ducmV2LnhtbFBLAQIUABQAAAAIAIdO4kAibb86cQIAANkEAAAOAAAAAAAAAAEAIAAAACoBAABk&#10;cnMvZTJvRG9jLnhtbFBLBQYAAAAABgAGAFkBAAANBgAAAAA=&#10;" adj="2649,5400">
                <v:fill on="t" focussize="0,0"/>
                <v:stroke weight="1pt" color="#41719C [3204]" miterlimit="8" joinstyle="miter"/>
                <v:imagedata o:title=""/>
                <o:lock v:ext="edit" aspectratio="f"/>
                <v:textbox>
                  <w:txbxContent>
                    <w:p>
                      <w:pPr>
                        <w:jc w:val="center"/>
                      </w:pPr>
                    </w:p>
                  </w:txbxContent>
                </v:textbox>
              </v:shape>
            </w:pict>
          </mc:Fallback>
        </mc:AlternateContent>
      </w:r>
      <w:r>
        <w:rPr>
          <w:rFonts w:ascii="Times New Roman" w:hAnsi="Times New Roman" w:cs="Times New Roman"/>
        </w:rPr>
        <w:drawing>
          <wp:anchor distT="0" distB="0" distL="114300" distR="114300" simplePos="0" relativeHeight="251667456" behindDoc="0" locked="0" layoutInCell="1" allowOverlap="1">
            <wp:simplePos x="0" y="0"/>
            <wp:positionH relativeFrom="column">
              <wp:posOffset>1437005</wp:posOffset>
            </wp:positionH>
            <wp:positionV relativeFrom="paragraph">
              <wp:posOffset>430530</wp:posOffset>
            </wp:positionV>
            <wp:extent cx="6110605" cy="4815840"/>
            <wp:effectExtent l="19050" t="19050" r="23495" b="23495"/>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110654" cy="4815761"/>
                    </a:xfrm>
                    <a:prstGeom prst="rect">
                      <a:avLst/>
                    </a:prstGeom>
                    <a:ln>
                      <a:solidFill>
                        <a:schemeClr val="tx1"/>
                      </a:solidFill>
                    </a:ln>
                  </pic:spPr>
                </pic:pic>
              </a:graphicData>
            </a:graphic>
          </wp:anchor>
        </w:drawing>
      </w:r>
      <w:r>
        <w:rPr>
          <w:rFonts w:ascii="Times New Roman" w:hAnsi="Times New Roman" w:eastAsia="宋体" w:cs="Times New Roman"/>
          <w:b/>
          <w:sz w:val="28"/>
          <w:szCs w:val="24"/>
          <w:lang w:val="zh-CN"/>
        </w:rPr>
        <w:t>附图1  项目地理位置图</w:t>
      </w:r>
    </w:p>
    <w:p>
      <w:pPr>
        <w:spacing w:after="120"/>
        <w:rPr>
          <w:rFonts w:ascii="Times New Roman" w:hAnsi="Times New Roman" w:eastAsia="宋体" w:cs="Times New Roman"/>
          <w:sz w:val="24"/>
          <w:szCs w:val="24"/>
          <w:lang w:val="zh-CN"/>
        </w:rPr>
        <w:sectPr>
          <w:pgSz w:w="16838" w:h="11906" w:orient="landscape"/>
          <w:pgMar w:top="1418" w:right="907" w:bottom="1418" w:left="907" w:header="312" w:footer="488" w:gutter="0"/>
          <w:pgBorders w:offsetFrom="page">
            <w:top w:val="none" w:sz="0" w:space="0"/>
            <w:left w:val="none" w:sz="0" w:space="0"/>
            <w:bottom w:val="none" w:sz="0" w:space="0"/>
            <w:right w:val="none" w:sz="0" w:space="0"/>
          </w:pgBorders>
          <w:cols w:space="720" w:num="1"/>
          <w:docGrid w:linePitch="312" w:charSpace="0"/>
        </w:sectPr>
      </w:pPr>
    </w:p>
    <w:p>
      <w:pPr>
        <w:spacing w:after="120"/>
        <w:rPr>
          <w:rFonts w:ascii="Times New Roman" w:hAnsi="Times New Roman" w:eastAsia="宋体" w:cs="Times New Roman"/>
          <w:b/>
          <w:sz w:val="24"/>
          <w:szCs w:val="24"/>
          <w:lang w:val="zh-CN"/>
        </w:rPr>
      </w:pPr>
      <w:r>
        <w:rPr>
          <w:rFonts w:ascii="Times New Roman" w:hAnsi="Times New Roman" w:eastAsia="宋体" w:cs="Times New Roman"/>
          <w:b/>
          <w:sz w:val="24"/>
          <w:szCs w:val="24"/>
        </w:rPr>
        <mc:AlternateContent>
          <mc:Choice Requires="wps">
            <w:drawing>
              <wp:anchor distT="0" distB="0" distL="114300" distR="114300" simplePos="0" relativeHeight="251677696" behindDoc="0" locked="0" layoutInCell="1" allowOverlap="1">
                <wp:simplePos x="0" y="0"/>
                <wp:positionH relativeFrom="column">
                  <wp:posOffset>1955800</wp:posOffset>
                </wp:positionH>
                <wp:positionV relativeFrom="paragraph">
                  <wp:posOffset>1256030</wp:posOffset>
                </wp:positionV>
                <wp:extent cx="1344295" cy="427990"/>
                <wp:effectExtent l="19050" t="19050" r="713740" b="868045"/>
                <wp:wrapNone/>
                <wp:docPr id="16" name="椭圆形标注 16"/>
                <wp:cNvGraphicFramePr/>
                <a:graphic xmlns:a="http://schemas.openxmlformats.org/drawingml/2006/main">
                  <a:graphicData uri="http://schemas.microsoft.com/office/word/2010/wordprocessingShape">
                    <wps:wsp>
                      <wps:cNvSpPr/>
                      <wps:spPr>
                        <a:xfrm>
                          <a:off x="0" y="0"/>
                          <a:ext cx="1344246" cy="427941"/>
                        </a:xfrm>
                        <a:prstGeom prst="wedgeEllipseCallout">
                          <a:avLst>
                            <a:gd name="adj1" fmla="val 97887"/>
                            <a:gd name="adj2" fmla="val 243178"/>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rPr>
                            </w:pPr>
                            <w:r>
                              <w:t>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3" type="#_x0000_t63" style="position:absolute;left:0pt;margin-left:154pt;margin-top:98.9pt;height:33.7pt;width:105.85pt;z-index:251677696;v-text-anchor:middle;mso-width-relative:page;mso-height-relative:page;" fillcolor="#5B9BD5 [3204]" filled="t" stroked="t" coordsize="21600,21600" o:gfxdata="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D0nf9u2gAAAAsBAAAPAAAAAAAAAAEAIAAAACIAAABk&#10;cnMvZG93bnJldi54bWxQSwECFAAUAAAACACHTuJAFiR36q8CAAA+BQAADgAAAAAAAAABACAAAAAp&#10;AQAAZHJzL2Uyb0RvYy54bWxQSwUGAAAAAAYABgBZAQAASgYAAAAA&#10;" adj="31944,63326">
                <v:fill on="t" focussize="0,0"/>
                <v:stroke weight="1pt" color="#41719C [3204]" miterlimit="8" joinstyle="miter"/>
                <v:imagedata o:title=""/>
                <o:lock v:ext="edit" aspectratio="f"/>
                <v:textbox>
                  <w:txbxContent>
                    <w:p>
                      <w:pPr>
                        <w:jc w:val="center"/>
                        <w:rPr>
                          <w:rFonts w:hint="eastAsia"/>
                        </w:rPr>
                      </w:pPr>
                      <w:r>
                        <w:t>项目所在地</w:t>
                      </w:r>
                    </w:p>
                  </w:txbxContent>
                </v:textbox>
              </v:shape>
            </w:pict>
          </mc:Fallback>
        </mc:AlternateContent>
      </w:r>
      <w:r>
        <w:rPr>
          <w:rFonts w:ascii="Times New Roman" w:hAnsi="Times New Roman" w:eastAsia="宋体" w:cs="Times New Roman"/>
          <w:b/>
          <w:sz w:val="24"/>
          <w:szCs w:val="24"/>
        </w:rPr>
        <w:drawing>
          <wp:anchor distT="0" distB="0" distL="114300" distR="114300" simplePos="0" relativeHeight="251676672" behindDoc="0" locked="0" layoutInCell="1" allowOverlap="1">
            <wp:simplePos x="0" y="0"/>
            <wp:positionH relativeFrom="column">
              <wp:posOffset>1064260</wp:posOffset>
            </wp:positionH>
            <wp:positionV relativeFrom="paragraph">
              <wp:posOffset>248285</wp:posOffset>
            </wp:positionV>
            <wp:extent cx="7127240" cy="4879975"/>
            <wp:effectExtent l="0" t="0" r="0" b="0"/>
            <wp:wrapTopAndBottom/>
            <wp:docPr id="12" name="图片 12" descr="C:\Users\孙盼盼\AppData\Local\Temp\WeChat Files\e6d5b2cd2d493ad8e67d08548d849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孙盼盼\AppData\Local\Temp\WeChat Files\e6d5b2cd2d493ad8e67d08548d8498c.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7127484" cy="4879843"/>
                    </a:xfrm>
                    <a:prstGeom prst="rect">
                      <a:avLst/>
                    </a:prstGeom>
                    <a:noFill/>
                    <a:ln>
                      <a:noFill/>
                    </a:ln>
                  </pic:spPr>
                </pic:pic>
              </a:graphicData>
            </a:graphic>
          </wp:anchor>
        </w:drawing>
      </w:r>
      <w:r>
        <w:rPr>
          <w:rFonts w:ascii="Times New Roman" w:hAnsi="Times New Roman" w:eastAsia="宋体" w:cs="Times New Roman"/>
          <w:b/>
          <w:sz w:val="24"/>
          <w:szCs w:val="24"/>
          <w:lang w:val="zh-CN"/>
        </w:rPr>
        <w:t>附图2  生态红线分布图</w:t>
      </w:r>
    </w:p>
    <w:p>
      <w:pPr>
        <w:spacing w:after="120"/>
        <w:rPr>
          <w:rFonts w:ascii="Times New Roman" w:hAnsi="Times New Roman" w:eastAsia="宋体" w:cs="Times New Roman"/>
          <w:sz w:val="24"/>
          <w:szCs w:val="24"/>
          <w:lang w:val="zh-CN"/>
        </w:rPr>
      </w:pPr>
    </w:p>
    <w:p>
      <w:pPr>
        <w:spacing w:after="120"/>
        <w:rPr>
          <w:rFonts w:ascii="Times New Roman" w:hAnsi="Times New Roman" w:eastAsia="宋体" w:cs="Times New Roman"/>
          <w:b/>
          <w:sz w:val="24"/>
          <w:szCs w:val="24"/>
          <w:lang w:val="zh-CN"/>
        </w:rPr>
      </w:pPr>
    </w:p>
    <w:p>
      <w:pPr>
        <w:tabs>
          <w:tab w:val="left" w:pos="1648"/>
        </w:tabs>
        <w:rPr>
          <w:rFonts w:ascii="Times New Roman" w:hAnsi="Times New Roman" w:eastAsia="宋体" w:cs="Times New Roman"/>
          <w:sz w:val="24"/>
          <w:szCs w:val="24"/>
          <w:lang w:val="zh-CN"/>
        </w:rPr>
      </w:pPr>
    </w:p>
    <w:p>
      <w:pPr>
        <w:tabs>
          <w:tab w:val="left" w:pos="1648"/>
        </w:tabs>
        <w:rPr>
          <w:rFonts w:ascii="Times New Roman" w:hAnsi="Times New Roman" w:eastAsia="宋体" w:cs="Times New Roman"/>
          <w:sz w:val="24"/>
          <w:szCs w:val="24"/>
          <w:lang w:val="zh-CN"/>
        </w:rPr>
      </w:pPr>
      <w:r>
        <w:rPr>
          <w:rFonts w:ascii="Times New Roman" w:hAnsi="Times New Roman" w:eastAsia="宋体" w:cs="Times New Roman"/>
          <w:sz w:val="24"/>
          <w:szCs w:val="24"/>
          <w:lang w:val="zh-CN"/>
        </w:rPr>
        <w:t>附图3  项目周边环境关系图</w:t>
      </w:r>
    </w:p>
    <w:p>
      <w:pPr>
        <w:tabs>
          <w:tab w:val="left" w:pos="1648"/>
        </w:tabs>
        <w:rPr>
          <w:rFonts w:ascii="Times New Roman" w:hAnsi="Times New Roman" w:eastAsia="宋体" w:cs="Times New Roman"/>
          <w:sz w:val="24"/>
          <w:szCs w:val="24"/>
          <w:lang w:val="zh-CN"/>
        </w:rPr>
        <w:sectPr>
          <w:pgSz w:w="16838" w:h="11906" w:orient="landscape"/>
          <w:pgMar w:top="1418" w:right="907" w:bottom="1418" w:left="907" w:header="312" w:footer="488" w:gutter="0"/>
          <w:pgBorders w:offsetFrom="page">
            <w:top w:val="none" w:sz="0" w:space="0"/>
            <w:left w:val="none" w:sz="0" w:space="0"/>
            <w:bottom w:val="none" w:sz="0" w:space="0"/>
            <w:right w:val="none" w:sz="0" w:space="0"/>
          </w:pgBorders>
          <w:cols w:space="720" w:num="1"/>
          <w:docGrid w:linePitch="312" w:charSpace="0"/>
        </w:sectPr>
      </w:pPr>
      <w:r>
        <w:rPr>
          <w:rFonts w:ascii="Times New Roman" w:hAnsi="Times New Roman" w:eastAsia="宋体" w:cs="Times New Roman"/>
          <w:sz w:val="24"/>
          <w:szCs w:val="24"/>
          <w:lang w:val="zh-CN"/>
        </w:rPr>
        <w:tab/>
      </w:r>
      <w:r>
        <w:rPr>
          <w:rFonts w:ascii="Times New Roman" w:hAnsi="Times New Roman" w:eastAsia="宋体" w:cs="Times New Roman"/>
          <w:sz w:val="24"/>
          <w:szCs w:val="24"/>
        </w:rPr>
        <w:drawing>
          <wp:inline distT="0" distB="0" distL="0" distR="0">
            <wp:extent cx="7018020" cy="4618990"/>
            <wp:effectExtent l="0" t="0" r="0" b="0"/>
            <wp:docPr id="2" name="图片 2" descr="C:\Users\孙盼盼\AppData\Local\Temp\WeChat Files\d0663b7632a57b4ab082e7b8090ab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孙盼盼\AppData\Local\Temp\WeChat Files\d0663b7632a57b4ab082e7b8090aba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7018020" cy="4618990"/>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drawing>
          <wp:anchor distT="0" distB="0" distL="114300" distR="114300" simplePos="0" relativeHeight="251673600" behindDoc="0" locked="0" layoutInCell="1" allowOverlap="1">
            <wp:simplePos x="0" y="0"/>
            <wp:positionH relativeFrom="column">
              <wp:posOffset>166370</wp:posOffset>
            </wp:positionH>
            <wp:positionV relativeFrom="paragraph">
              <wp:posOffset>900430</wp:posOffset>
            </wp:positionV>
            <wp:extent cx="4941570" cy="6847840"/>
            <wp:effectExtent l="1085850" t="685800" r="1078230" b="67691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rot="20361703">
                      <a:off x="0" y="0"/>
                      <a:ext cx="4941570" cy="6847840"/>
                    </a:xfrm>
                    <a:prstGeom prst="rect">
                      <a:avLst/>
                    </a:prstGeom>
                    <a:ln>
                      <a:solidFill>
                        <a:schemeClr val="tx1"/>
                      </a:solidFill>
                    </a:ln>
                  </pic:spPr>
                </pic:pic>
              </a:graphicData>
            </a:graphic>
          </wp:anchor>
        </w:drawing>
      </w:r>
      <w:r>
        <w:rPr>
          <w:rFonts w:ascii="Times New Roman" w:hAnsi="Times New Roman" w:cs="Times New Roman"/>
        </w:rPr>
        <mc:AlternateContent>
          <mc:Choice Requires="wps">
            <w:drawing>
              <wp:anchor distT="0" distB="0" distL="114300" distR="114300" simplePos="0" relativeHeight="251675648" behindDoc="0" locked="0" layoutInCell="1" allowOverlap="1">
                <wp:simplePos x="0" y="0"/>
                <wp:positionH relativeFrom="column">
                  <wp:posOffset>5078095</wp:posOffset>
                </wp:positionH>
                <wp:positionV relativeFrom="paragraph">
                  <wp:posOffset>632460</wp:posOffset>
                </wp:positionV>
                <wp:extent cx="914400" cy="9144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914400" cy="914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9.85pt;margin-top:49.8pt;height:72pt;width:72pt;mso-wrap-style:none;z-index:251675648;mso-width-relative:page;mso-height-relative:page;" fillcolor="#FFFFFF [3201]" filled="t" stroked="f" coordsize="21600,21600" o:gfxdata="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C6VEDnZAAAACgEAAA8AAAAAAAAAAQAgAAAAIgAAAGRycy9kb3ducmV2Lnht&#10;bFBLAQIUABQAAAAIAIdO4kBosfTlMQIAAE4EAAAOAAAAAAAAAAEAIAAAACgBAABkcnMvZTJvRG9j&#10;LnhtbFBLBQYAAAAABgAGAFkBAADLBQAAAAA=&#10;">
                <v:fill on="t" focussize="0,0"/>
                <v:stroke on="f" weight="0.5pt"/>
                <v:imagedata o:title=""/>
                <o:lock v:ext="edit" aspectratio="f"/>
                <v:textbox>
                  <w:txbxContent>
                    <w:p>
                      <w:r>
                        <w:rPr>
                          <w:rFonts w:hint="eastAsia"/>
                        </w:rPr>
                        <w:t>N</w:t>
                      </w:r>
                    </w:p>
                  </w:txbxContent>
                </v:textbox>
              </v:shape>
            </w:pict>
          </mc:Fallback>
        </mc:AlternateContent>
      </w:r>
      <w:r>
        <w:rPr>
          <w:rFonts w:ascii="Times New Roman" w:hAnsi="Times New Roman" w:cs="Times New Roman"/>
        </w:rPr>
        <mc:AlternateContent>
          <mc:Choice Requires="wps">
            <w:drawing>
              <wp:anchor distT="0" distB="0" distL="114300" distR="114300" simplePos="0" relativeHeight="251674624" behindDoc="0" locked="0" layoutInCell="1" allowOverlap="1">
                <wp:simplePos x="0" y="0"/>
                <wp:positionH relativeFrom="column">
                  <wp:posOffset>4819650</wp:posOffset>
                </wp:positionH>
                <wp:positionV relativeFrom="paragraph">
                  <wp:posOffset>690880</wp:posOffset>
                </wp:positionV>
                <wp:extent cx="187325" cy="551180"/>
                <wp:effectExtent l="19050" t="19050" r="41275" b="20955"/>
                <wp:wrapNone/>
                <wp:docPr id="18" name="上箭头 18"/>
                <wp:cNvGraphicFramePr/>
                <a:graphic xmlns:a="http://schemas.openxmlformats.org/drawingml/2006/main">
                  <a:graphicData uri="http://schemas.microsoft.com/office/word/2010/wordprocessingShape">
                    <wps:wsp>
                      <wps:cNvSpPr/>
                      <wps:spPr>
                        <a:xfrm>
                          <a:off x="0" y="0"/>
                          <a:ext cx="187569" cy="550984"/>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8" type="#_x0000_t68" style="position:absolute;left:0pt;margin-left:379.5pt;margin-top:54.4pt;height:43.4pt;width:14.75pt;z-index:251674624;v-text-anchor:middle;mso-width-relative:page;mso-height-relative:page;" fillcolor="#5B9BD5 [3204]" filled="t" stroked="t" coordsize="21600,21600" o:gfxdata="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4UKe52wAAAAsBAAAPAAAAAAAAAAEAIAAAACIA&#10;AABkcnMvZG93bnJldi54bWxQSwECFAAUAAAACACHTuJACcV/xngCAADZBAAADgAAAAAAAAABACAA&#10;AAAqAQAAZHJzL2Uyb0RvYy54bWxQSwUGAAAAAAYABgBZAQAAFAYAAAAA&#10;" adj="3676,5400">
                <v:fill on="t" focussize="0,0"/>
                <v:stroke weight="1pt" color="#41719C [3204]" miterlimit="8" joinstyle="miter"/>
                <v:imagedata o:title=""/>
                <o:lock v:ext="edit" aspectratio="f"/>
                <v:textbox>
                  <w:txbxContent>
                    <w:p>
                      <w:pPr>
                        <w:jc w:val="center"/>
                      </w:pPr>
                    </w:p>
                  </w:txbxContent>
                </v:textbox>
              </v:shape>
            </w:pict>
          </mc:Fallback>
        </mc:AlternateContent>
      </w:r>
      <w:r>
        <w:rPr>
          <w:rFonts w:ascii="Times New Roman" w:hAnsi="Times New Roman" w:cs="Times New Roman"/>
        </w:rPr>
        <w:t>附图4  项目车间平面布置图</w:t>
      </w:r>
    </w:p>
    <w:p>
      <w:pPr>
        <w:rPr>
          <w:rFonts w:ascii="Times New Roman" w:hAnsi="Times New Roman" w:cs="Times New Roman"/>
        </w:rPr>
      </w:pPr>
    </w:p>
    <w:sectPr>
      <w:footerReference r:id="rId6" w:type="default"/>
      <w:pgSz w:w="11906" w:h="16838"/>
      <w:pgMar w:top="1440" w:right="1418" w:bottom="1440" w:left="1418" w:header="851" w:footer="992" w:gutter="0"/>
      <w:pgBorders w:offsetFrom="page">
        <w:top w:val="none" w:sz="0" w:space="0"/>
        <w:left w:val="none" w:sz="0" w:space="0"/>
        <w:bottom w:val="none" w:sz="0" w:space="0"/>
        <w:right w:val="none" w:sz="0" w:space="0"/>
      </w:pgBorders>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monospace">
    <w:altName w:val="RomanS"/>
    <w:panose1 w:val="00000000000000000000"/>
    <w:charset w:val="00"/>
    <w:family w:val="auto"/>
    <w:pitch w:val="default"/>
    <w:sig w:usb0="00000000" w:usb1="00000000" w:usb2="00000000"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 w:name="Courier New">
    <w:panose1 w:val="02070309020205020404"/>
    <w:charset w:val="00"/>
    <w:family w:val="modern"/>
    <w:pitch w:val="default"/>
    <w:sig w:usb0="E0002EFF" w:usb1="C0007843" w:usb2="00000009" w:usb3="00000000" w:csb0="400001FF" w:csb1="FFFF0000"/>
  </w:font>
  <w:font w:name="Arail">
    <w:altName w:val="RomanS"/>
    <w:panose1 w:val="00000000000000000000"/>
    <w:charset w:val="00"/>
    <w:family w:val="auto"/>
    <w:pitch w:val="default"/>
    <w:sig w:usb0="00000000" w:usb1="00000000" w:usb2="00000000" w:usb3="00000000" w:csb0="00040001" w:csb1="00000000"/>
  </w:font>
  <w:font w:name="Arial Black">
    <w:panose1 w:val="020B0A04020102020204"/>
    <w:charset w:val="00"/>
    <w:family w:val="swiss"/>
    <w:pitch w:val="default"/>
    <w:sig w:usb0="A00002AF" w:usb1="400078FB" w:usb2="00000000" w:usb3="00000000" w:csb0="6000009F" w:csb1="DFD70000"/>
  </w:font>
  <w:font w:name="Arial Unicode MS">
    <w:panose1 w:val="020B0604020202020204"/>
    <w:charset w:val="86"/>
    <w:family w:val="swiss"/>
    <w:pitch w:val="default"/>
    <w:sig w:usb0="FFFFFFFF" w:usb1="E9FFFFFF" w:usb2="0000003F" w:usb3="00000000" w:csb0="603F01FF" w:csb1="FFFF0000"/>
  </w:font>
  <w:font w:name="楷体_GB2312">
    <w:altName w:val="楷体"/>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华文中宋">
    <w:panose1 w:val="02010600040101010101"/>
    <w:charset w:val="86"/>
    <w:family w:val="auto"/>
    <w:pitch w:val="default"/>
    <w:sig w:usb0="00000287" w:usb1="080F0000" w:usb2="00000000" w:usb3="00000000" w:csb0="0004009F" w:csb1="DFD70000"/>
  </w:font>
  <w:font w:name="幼圆">
    <w:panose1 w:val="0201050906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楷体_GBK">
    <w:altName w:val="Arial Unicode MS"/>
    <w:panose1 w:val="00000000000000000000"/>
    <w:charset w:val="86"/>
    <w:family w:val="script"/>
    <w:pitch w:val="default"/>
    <w:sig w:usb0="00000000" w:usb1="00000000" w:usb2="00000010" w:usb3="00000000" w:csb0="00040000" w:csb1="00000000"/>
  </w:font>
  <w:font w:name="TimesNewRoman">
    <w:altName w:val="Times New Roman"/>
    <w:panose1 w:val="00000000000000000000"/>
    <w:charset w:val="01"/>
    <w:family w:val="roman"/>
    <w:pitch w:val="default"/>
    <w:sig w:usb0="00000000" w:usb1="00000000" w:usb2="00000010" w:usb3="00000000" w:csb0="00040001"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jc w:val="center"/>
    </w:pPr>
    <w: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0</wp:posOffset>
              </wp:positionV>
              <wp:extent cx="133985" cy="153035"/>
              <wp:effectExtent l="0" t="0" r="0" b="3175"/>
              <wp:wrapNone/>
              <wp:docPr id="50" name="文本框 50"/>
              <wp:cNvGraphicFramePr/>
              <a:graphic xmlns:a="http://schemas.openxmlformats.org/drawingml/2006/main">
                <a:graphicData uri="http://schemas.microsoft.com/office/word/2010/wordprocessingShape">
                  <wps:wsp>
                    <wps:cNvSpPr txBox="1">
                      <a:spLocks noChangeArrowheads="1"/>
                    </wps:cNvSpPr>
                    <wps:spPr bwMode="auto">
                      <a:xfrm>
                        <a:off x="0" y="0"/>
                        <a:ext cx="133985" cy="153035"/>
                      </a:xfrm>
                      <a:prstGeom prst="rect">
                        <a:avLst/>
                      </a:prstGeom>
                      <a:noFill/>
                      <a:ln>
                        <a:noFill/>
                      </a:ln>
                    </wps:spPr>
                    <wps:txbx>
                      <w:txbxContent>
                        <w:p>
                          <w:pPr>
                            <w:snapToGrid w:val="0"/>
                            <w:rPr>
                              <w:sz w:val="18"/>
                            </w:rPr>
                          </w:pPr>
                          <w:r>
                            <w:rPr>
                              <w:sz w:val="18"/>
                            </w:rPr>
                            <w:fldChar w:fldCharType="begin"/>
                          </w:r>
                          <w:r>
                            <w:rPr>
                              <w:sz w:val="18"/>
                            </w:rPr>
                            <w:instrText xml:space="preserve"> PAGE  \* MERGEFORMAT </w:instrText>
                          </w:r>
                          <w:r>
                            <w:rPr>
                              <w:sz w:val="18"/>
                            </w:rPr>
                            <w:fldChar w:fldCharType="separate"/>
                          </w:r>
                          <w:r>
                            <w:t>28</w:t>
                          </w:r>
                          <w:r>
                            <w:rPr>
                              <w:sz w:val="18"/>
                            </w:rPr>
                            <w:fldChar w:fldCharType="end"/>
                          </w:r>
                        </w:p>
                      </w:txbxContent>
                    </wps:txbx>
                    <wps:bodyPr rot="0" vert="horz" wrap="none" lIns="0" tIns="0" rIns="0" bIns="0" anchor="t" anchorCtr="0" upright="1">
                      <a:spAutoFit/>
                    </wps:bodyPr>
                  </wps:wsp>
                </a:graphicData>
              </a:graphic>
            </wp:anchor>
          </w:drawing>
        </mc:Choice>
        <mc:Fallback>
          <w:pict>
            <v:shape id="_x0000_s1026" o:spid="_x0000_s1026" o:spt="202" type="#_x0000_t202" style="position:absolute;left:0pt;margin-top:0pt;height:12.05pt;width:10.55pt;mso-position-horizontal:center;mso-position-horizontal-relative:margin;mso-wrap-style:none;z-index:251657216;mso-width-relative:page;mso-height-relative:page;" filled="f" stroked="f" coordsize="21600,21600" o:gfxdata="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B7XTPQ&#10;AAAAAwEAAA8AAAAAAAAAAQAgAAAAIgAAAGRycy9kb3ducmV2LnhtbFBLAQIUABQAAAAIAIdO4kD1&#10;FiEc7wEAALYDAAAOAAAAAAAAAAEAIAAAAB8BAABkcnMvZTJvRG9jLnhtbFBLBQYAAAAABgAGAFkB&#10;AACABQAAAAA=&#10;">
              <v:fill on="f" focussize="0,0"/>
              <v:stroke on="f"/>
              <v:imagedata o:title=""/>
              <o:lock v:ext="edit" aspectratio="f"/>
              <v:textbox inset="0mm,0mm,0mm,0mm" style="mso-fit-shape-to-text:t;">
                <w:txbxContent>
                  <w:p>
                    <w:pPr>
                      <w:snapToGrid w:val="0"/>
                      <w:rPr>
                        <w:sz w:val="18"/>
                      </w:rPr>
                    </w:pPr>
                    <w:r>
                      <w:rPr>
                        <w:sz w:val="18"/>
                      </w:rPr>
                      <w:fldChar w:fldCharType="begin"/>
                    </w:r>
                    <w:r>
                      <w:rPr>
                        <w:sz w:val="18"/>
                      </w:rPr>
                      <w:instrText xml:space="preserve"> PAGE  \* MERGEFORMAT </w:instrText>
                    </w:r>
                    <w:r>
                      <w:rPr>
                        <w:sz w:val="18"/>
                      </w:rPr>
                      <w:fldChar w:fldCharType="separate"/>
                    </w:r>
                    <w:r>
                      <w:t>28</w:t>
                    </w:r>
                    <w:r>
                      <w:rPr>
                        <w:sz w:val="1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jc w:val="center"/>
    </w:pPr>
    <w:r>
      <w:pict>
        <v:shape id="文本框 158" o:spid="_x0000_s2049" o:spt="202" type="#_x0000_t202" style="position:absolute;left:0pt;margin-top:0pt;height:10.35pt;width:9.05pt;mso-position-horizontal:center;mso-position-horizontal-relative:margin;mso-wrap-style:none;z-index:251660288;mso-width-relative:page;mso-height-relative:page;" filled="f" stroked="f" coordsize="21600,21600">
          <v:path/>
          <v:fill on="f" focussize="0,0"/>
          <v:stroke on="f" joinstyle="miter"/>
          <v:imagedata o:title=""/>
          <o:lock v:ext="edit"/>
          <v:textbox inset="0mm,0mm,0mm,0mm" style="mso-fit-shape-to-text:t;">
            <w:txbxContent>
              <w:p>
                <w:pPr>
                  <w:snapToGrid w:val="0"/>
                  <w:rPr>
                    <w:sz w:val="18"/>
                  </w:rPr>
                </w:pP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jc w:val="center"/>
    </w:pPr>
    <w: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14935" cy="131445"/>
              <wp:effectExtent l="0" t="0" r="0" b="1905"/>
              <wp:wrapNone/>
              <wp:docPr id="49" name="文本框 49"/>
              <wp:cNvGraphicFramePr/>
              <a:graphic xmlns:a="http://schemas.openxmlformats.org/drawingml/2006/main">
                <a:graphicData uri="http://schemas.microsoft.com/office/word/2010/wordprocessingShape">
                  <wps:wsp>
                    <wps:cNvSpPr txBox="1">
                      <a:spLocks noChangeArrowheads="1"/>
                    </wps:cNvSpPr>
                    <wps:spPr bwMode="auto">
                      <a:xfrm>
                        <a:off x="0" y="0"/>
                        <a:ext cx="114935" cy="131445"/>
                      </a:xfrm>
                      <a:prstGeom prst="rect">
                        <a:avLst/>
                      </a:prstGeom>
                      <a:noFill/>
                      <a:ln>
                        <a:noFill/>
                      </a:ln>
                      <a:effectLst/>
                    </wps:spPr>
                    <wps:txbx>
                      <w:txbxContent>
                        <w:p>
                          <w:pPr>
                            <w:snapToGrid w:val="0"/>
                            <w:rPr>
                              <w:sz w:val="18"/>
                            </w:rPr>
                          </w:pPr>
                        </w:p>
                      </w:txbxContent>
                    </wps:txbx>
                    <wps:bodyPr rot="0" vert="horz" wrap="none" lIns="0" tIns="0" rIns="0" bIns="0" anchor="t" anchorCtr="0" upright="1">
                      <a:spAutoFit/>
                    </wps:bodyPr>
                  </wps:wsp>
                </a:graphicData>
              </a:graphic>
            </wp:anchor>
          </w:drawing>
        </mc:Choice>
        <mc:Fallback>
          <w:pict>
            <v:shape id="_x0000_s1026" o:spid="_x0000_s1026" o:spt="202" type="#_x0000_t202" style="position:absolute;left:0pt;margin-top:0pt;height:10.35pt;width:9.05pt;mso-position-horizontal:center;mso-position-horizontal-relative:margin;mso-wrap-style:none;z-index:251658240;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PlfknQAAAAAwEAAA8AAAAAAAAAAQAgAAAAIgAAAGRycy9kb3ducmV2LnhtbFBLAQIUABQAAAAI&#10;AIdO4kDJYR/D9QEAAMQDAAAOAAAAAAAAAAEAIAAAAB8BAABkcnMvZTJvRG9jLnhtbFBLBQYAAAAA&#10;BgAGAFkBAACGBQAAAAA=&#10;">
              <v:fill on="f" focussize="0,0"/>
              <v:stroke on="f"/>
              <v:imagedata o:title=""/>
              <o:lock v:ext="edit" aspectratio="f"/>
              <v:textbox inset="0mm,0mm,0mm,0mm" style="mso-fit-shape-to-text:t;">
                <w:txbxContent>
                  <w:p>
                    <w:pPr>
                      <w:snapToGrid w:val="0"/>
                      <w:rPr>
                        <w:sz w:val="18"/>
                      </w:rPr>
                    </w:pP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449D878"/>
    <w:multiLevelType w:val="singleLevel"/>
    <w:tmpl w:val="A449D878"/>
    <w:lvl w:ilvl="0" w:tentative="0">
      <w:start w:val="1"/>
      <w:numFmt w:val="upperLetter"/>
      <w:suff w:val="nothing"/>
      <w:lvlText w:val="%1、"/>
      <w:lvlJc w:val="left"/>
      <w:pPr>
        <w:ind w:left="0" w:firstLine="0"/>
      </w:pPr>
    </w:lvl>
  </w:abstractNum>
  <w:abstractNum w:abstractNumId="1">
    <w:nsid w:val="D7A51F1E"/>
    <w:multiLevelType w:val="singleLevel"/>
    <w:tmpl w:val="D7A51F1E"/>
    <w:lvl w:ilvl="0" w:tentative="0">
      <w:start w:val="1"/>
      <w:numFmt w:val="decimal"/>
      <w:lvlText w:val="%1."/>
      <w:lvlJc w:val="left"/>
      <w:pPr>
        <w:tabs>
          <w:tab w:val="left" w:pos="312"/>
        </w:tabs>
      </w:pPr>
    </w:lvl>
  </w:abstractNum>
  <w:abstractNum w:abstractNumId="2">
    <w:nsid w:val="00000005"/>
    <w:multiLevelType w:val="singleLevel"/>
    <w:tmpl w:val="00000005"/>
    <w:lvl w:ilvl="0" w:tentative="0">
      <w:start w:val="1"/>
      <w:numFmt w:val="decimal"/>
      <w:lvlText w:val="%1."/>
      <w:lvlJc w:val="left"/>
      <w:pPr>
        <w:tabs>
          <w:tab w:val="left" w:pos="240"/>
        </w:tabs>
        <w:ind w:left="240" w:hanging="240"/>
      </w:pPr>
      <w:rPr>
        <w:rFonts w:hint="eastAsia" w:cs="Times New Roman"/>
      </w:rPr>
    </w:lvl>
  </w:abstractNum>
  <w:abstractNum w:abstractNumId="3">
    <w:nsid w:val="1ABBEFC0"/>
    <w:multiLevelType w:val="singleLevel"/>
    <w:tmpl w:val="1ABBEFC0"/>
    <w:lvl w:ilvl="0" w:tentative="0">
      <w:start w:val="4"/>
      <w:numFmt w:val="decimal"/>
      <w:suff w:val="nothing"/>
      <w:lvlText w:val="%1、"/>
      <w:lvlJc w:val="left"/>
    </w:lvl>
  </w:abstractNum>
  <w:abstractNum w:abstractNumId="4">
    <w:nsid w:val="320F138A"/>
    <w:multiLevelType w:val="multilevel"/>
    <w:tmpl w:val="320F138A"/>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55793B6B"/>
    <w:multiLevelType w:val="singleLevel"/>
    <w:tmpl w:val="55793B6B"/>
    <w:lvl w:ilvl="0" w:tentative="0">
      <w:start w:val="1"/>
      <w:numFmt w:val="decimal"/>
      <w:pStyle w:val="283"/>
      <w:suff w:val="nothing"/>
      <w:lvlText w:val="%1、"/>
      <w:lvlJc w:val="left"/>
    </w:lvl>
  </w:abstractNum>
  <w:num w:numId="1">
    <w:abstractNumId w:val="1"/>
  </w:num>
  <w:num w:numId="2">
    <w:abstractNumId w:val="5"/>
  </w:num>
  <w:num w:numId="3">
    <w:abstractNumId w:val="3"/>
  </w:num>
  <w:num w:numId="4">
    <w:abstractNumId w:val="0"/>
    <w:lvlOverride w:ilvl="0">
      <w:startOverride w:val="1"/>
    </w:lvlOverride>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02E4"/>
    <w:rsid w:val="00056021"/>
    <w:rsid w:val="00072197"/>
    <w:rsid w:val="00087683"/>
    <w:rsid w:val="00136B03"/>
    <w:rsid w:val="0014213D"/>
    <w:rsid w:val="00290D11"/>
    <w:rsid w:val="002936C1"/>
    <w:rsid w:val="002A1123"/>
    <w:rsid w:val="002E61E3"/>
    <w:rsid w:val="0036489E"/>
    <w:rsid w:val="00390280"/>
    <w:rsid w:val="004E01A3"/>
    <w:rsid w:val="005E5ED2"/>
    <w:rsid w:val="006003F0"/>
    <w:rsid w:val="00683A19"/>
    <w:rsid w:val="0069021D"/>
    <w:rsid w:val="00715269"/>
    <w:rsid w:val="007468F0"/>
    <w:rsid w:val="0074730B"/>
    <w:rsid w:val="00751B80"/>
    <w:rsid w:val="00772358"/>
    <w:rsid w:val="00772921"/>
    <w:rsid w:val="0085034E"/>
    <w:rsid w:val="008F5058"/>
    <w:rsid w:val="009902E4"/>
    <w:rsid w:val="009909D1"/>
    <w:rsid w:val="00994D25"/>
    <w:rsid w:val="009B5985"/>
    <w:rsid w:val="009C0B74"/>
    <w:rsid w:val="009E38E7"/>
    <w:rsid w:val="00A336E8"/>
    <w:rsid w:val="00A678FD"/>
    <w:rsid w:val="00AC23F5"/>
    <w:rsid w:val="00B25B42"/>
    <w:rsid w:val="00B3434D"/>
    <w:rsid w:val="00B4327D"/>
    <w:rsid w:val="00B641C6"/>
    <w:rsid w:val="00C52CC6"/>
    <w:rsid w:val="00C82770"/>
    <w:rsid w:val="00CD6FA7"/>
    <w:rsid w:val="00D039B9"/>
    <w:rsid w:val="00D542D1"/>
    <w:rsid w:val="00E20E03"/>
    <w:rsid w:val="00E62504"/>
    <w:rsid w:val="00EC4216"/>
    <w:rsid w:val="00F00BC4"/>
    <w:rsid w:val="00F936AF"/>
    <w:rsid w:val="00FC5780"/>
    <w:rsid w:val="233B4E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name="toc 1"/>
    <w:lsdException w:uiPriority="39" w:name="toc 2"/>
    <w:lsdException w:uiPriority="39" w:name="toc 3"/>
    <w:lsdException w:unhideWhenUsed="0" w:uiPriority="0" w:semiHidden="0" w:name="toc 4"/>
    <w:lsdException w:uiPriority="39" w:name="toc 5"/>
    <w:lsdException w:qFormat="1" w:unhideWhenUsed="0" w:uiPriority="0"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0" w:semiHidden="0" w:name="annotation text"/>
    <w:lsdException w:uiPriority="0" w:semiHidden="0" w:name="header"/>
    <w:lsdException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nhideWhenUsed="0" w:uiPriority="0" w:semiHidden="0"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nhideWhenUsed="0" w:uiPriority="0" w:semiHidden="0" w:name="Date"/>
    <w:lsdException w:uiPriority="99"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nhideWhenUsed="0" w:uiPriority="0" w:semiHidden="0" w:name="HTML Acronym"/>
    <w:lsdException w:uiPriority="99"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iPriority="99" w:name="HTML Typewriter"/>
    <w:lsdException w:unhideWhenUsed="0" w:uiPriority="0" w:semiHidden="0" w:name="HTML Variable"/>
    <w:lsdException w:uiPriority="99" w:name="Normal Table"/>
    <w:lsdException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54"/>
    <w:qFormat/>
    <w:uiPriority w:val="0"/>
    <w:pPr>
      <w:keepNext/>
      <w:keepLines/>
      <w:spacing w:before="340" w:after="330" w:line="578" w:lineRule="auto"/>
      <w:outlineLvl w:val="0"/>
    </w:pPr>
    <w:rPr>
      <w:rFonts w:ascii="Times New Roman" w:hAnsi="Times New Roman" w:eastAsia="宋体" w:cs="Times New Roman"/>
      <w:b/>
      <w:bCs/>
      <w:kern w:val="44"/>
      <w:sz w:val="44"/>
      <w:szCs w:val="44"/>
    </w:rPr>
  </w:style>
  <w:style w:type="paragraph" w:styleId="3">
    <w:name w:val="heading 2"/>
    <w:basedOn w:val="1"/>
    <w:next w:val="1"/>
    <w:link w:val="55"/>
    <w:qFormat/>
    <w:uiPriority w:val="0"/>
    <w:pPr>
      <w:keepNext/>
      <w:keepLines/>
      <w:spacing w:before="260" w:after="260" w:line="416" w:lineRule="auto"/>
      <w:outlineLvl w:val="1"/>
    </w:pPr>
    <w:rPr>
      <w:rFonts w:ascii="Arial" w:hAnsi="Arial" w:eastAsia="黑体" w:cs="Times New Roman"/>
      <w:b/>
      <w:bCs/>
      <w:sz w:val="32"/>
      <w:szCs w:val="32"/>
    </w:rPr>
  </w:style>
  <w:style w:type="paragraph" w:styleId="4">
    <w:name w:val="heading 3"/>
    <w:basedOn w:val="1"/>
    <w:next w:val="1"/>
    <w:link w:val="56"/>
    <w:qFormat/>
    <w:uiPriority w:val="0"/>
    <w:pPr>
      <w:keepNext/>
      <w:keepLines/>
      <w:spacing w:before="260" w:after="260" w:line="416" w:lineRule="auto"/>
      <w:outlineLvl w:val="2"/>
    </w:pPr>
    <w:rPr>
      <w:rFonts w:ascii="Times New Roman" w:hAnsi="Times New Roman" w:eastAsia="宋体" w:cs="Times New Roman"/>
      <w:b/>
      <w:bCs/>
      <w:sz w:val="32"/>
      <w:szCs w:val="32"/>
    </w:rPr>
  </w:style>
  <w:style w:type="paragraph" w:styleId="5">
    <w:name w:val="heading 4"/>
    <w:basedOn w:val="1"/>
    <w:next w:val="6"/>
    <w:link w:val="57"/>
    <w:qFormat/>
    <w:uiPriority w:val="0"/>
    <w:pPr>
      <w:keepNext/>
      <w:keepLines/>
      <w:adjustRightInd w:val="0"/>
      <w:snapToGrid w:val="0"/>
      <w:textAlignment w:val="baseline"/>
      <w:outlineLvl w:val="3"/>
    </w:pPr>
    <w:rPr>
      <w:rFonts w:ascii="黑体" w:hAnsi="Times New Roman" w:eastAsia="黑体" w:cs="Times New Roman"/>
      <w:b/>
      <w:kern w:val="0"/>
      <w:sz w:val="28"/>
      <w:szCs w:val="20"/>
    </w:rPr>
  </w:style>
  <w:style w:type="paragraph" w:styleId="7">
    <w:name w:val="heading 5"/>
    <w:basedOn w:val="6"/>
    <w:next w:val="1"/>
    <w:link w:val="58"/>
    <w:qFormat/>
    <w:uiPriority w:val="0"/>
    <w:pPr>
      <w:ind w:firstLine="0" w:firstLineChars="0"/>
      <w:jc w:val="center"/>
      <w:outlineLvl w:val="4"/>
    </w:pPr>
    <w:rPr>
      <w:rFonts w:ascii="宋体"/>
      <w:sz w:val="24"/>
    </w:rPr>
  </w:style>
  <w:style w:type="paragraph" w:styleId="8">
    <w:name w:val="heading 6"/>
    <w:basedOn w:val="1"/>
    <w:next w:val="1"/>
    <w:link w:val="233"/>
    <w:qFormat/>
    <w:uiPriority w:val="0"/>
    <w:pPr>
      <w:keepNext/>
      <w:keepLines/>
      <w:tabs>
        <w:tab w:val="left" w:pos="1152"/>
      </w:tabs>
      <w:autoSpaceDE w:val="0"/>
      <w:autoSpaceDN w:val="0"/>
      <w:adjustRightInd w:val="0"/>
      <w:spacing w:before="240" w:after="64" w:line="320" w:lineRule="auto"/>
      <w:ind w:left="1152" w:hanging="1152" w:firstLineChars="200"/>
      <w:outlineLvl w:val="5"/>
    </w:pPr>
    <w:rPr>
      <w:rFonts w:ascii="Arial" w:hAnsi="Arial" w:eastAsia="黑体" w:cs="宋体"/>
      <w:b/>
      <w:bCs/>
      <w:sz w:val="24"/>
      <w:szCs w:val="24"/>
      <w:lang w:val="zh-CN"/>
    </w:rPr>
  </w:style>
  <w:style w:type="paragraph" w:styleId="9">
    <w:name w:val="heading 7"/>
    <w:basedOn w:val="1"/>
    <w:next w:val="1"/>
    <w:link w:val="234"/>
    <w:qFormat/>
    <w:uiPriority w:val="0"/>
    <w:pPr>
      <w:keepNext/>
      <w:keepLines/>
      <w:tabs>
        <w:tab w:val="left" w:pos="1296"/>
      </w:tabs>
      <w:autoSpaceDE w:val="0"/>
      <w:autoSpaceDN w:val="0"/>
      <w:adjustRightInd w:val="0"/>
      <w:spacing w:before="240" w:after="64" w:line="320" w:lineRule="auto"/>
      <w:ind w:left="1296" w:hanging="1296" w:firstLineChars="200"/>
      <w:outlineLvl w:val="6"/>
    </w:pPr>
    <w:rPr>
      <w:rFonts w:ascii="宋体" w:hAnsi="Times New Roman" w:eastAsia="宋体" w:cs="宋体"/>
      <w:b/>
      <w:bCs/>
      <w:sz w:val="24"/>
      <w:szCs w:val="24"/>
      <w:lang w:val="zh-CN"/>
    </w:rPr>
  </w:style>
  <w:style w:type="paragraph" w:styleId="10">
    <w:name w:val="heading 8"/>
    <w:basedOn w:val="1"/>
    <w:next w:val="1"/>
    <w:link w:val="235"/>
    <w:qFormat/>
    <w:uiPriority w:val="0"/>
    <w:pPr>
      <w:keepNext/>
      <w:keepLines/>
      <w:tabs>
        <w:tab w:val="left" w:pos="1440"/>
      </w:tabs>
      <w:autoSpaceDE w:val="0"/>
      <w:autoSpaceDN w:val="0"/>
      <w:adjustRightInd w:val="0"/>
      <w:spacing w:before="240" w:after="64" w:line="320" w:lineRule="atLeast"/>
      <w:ind w:left="1440" w:hanging="1440" w:firstLineChars="200"/>
      <w:outlineLvl w:val="7"/>
    </w:pPr>
    <w:rPr>
      <w:rFonts w:ascii="Arial" w:hAnsi="Arial" w:eastAsia="黑体" w:cs="宋体"/>
      <w:sz w:val="24"/>
      <w:szCs w:val="24"/>
      <w:lang w:val="zh-CN"/>
    </w:rPr>
  </w:style>
  <w:style w:type="paragraph" w:styleId="11">
    <w:name w:val="heading 9"/>
    <w:basedOn w:val="1"/>
    <w:next w:val="1"/>
    <w:link w:val="236"/>
    <w:qFormat/>
    <w:uiPriority w:val="0"/>
    <w:pPr>
      <w:keepNext/>
      <w:keepLines/>
      <w:tabs>
        <w:tab w:val="left" w:pos="1584"/>
      </w:tabs>
      <w:autoSpaceDE w:val="0"/>
      <w:autoSpaceDN w:val="0"/>
      <w:adjustRightInd w:val="0"/>
      <w:spacing w:before="240" w:after="64" w:line="320" w:lineRule="atLeast"/>
      <w:ind w:left="1584" w:hanging="1584" w:firstLineChars="200"/>
      <w:outlineLvl w:val="8"/>
    </w:pPr>
    <w:rPr>
      <w:rFonts w:ascii="Arial" w:hAnsi="Arial" w:eastAsia="黑体" w:cs="宋体"/>
      <w:szCs w:val="21"/>
      <w:lang w:val="zh-CN"/>
    </w:rPr>
  </w:style>
  <w:style w:type="character" w:default="1" w:styleId="38">
    <w:name w:val="Default Paragraph Font"/>
    <w:semiHidden/>
    <w:unhideWhenUsed/>
    <w:uiPriority w:val="1"/>
  </w:style>
  <w:style w:type="table" w:default="1" w:styleId="36">
    <w:name w:val="Normal Table"/>
    <w:semiHidden/>
    <w:unhideWhenUsed/>
    <w:uiPriority w:val="99"/>
    <w:tblPr>
      <w:tblCellMar>
        <w:top w:w="0" w:type="dxa"/>
        <w:left w:w="108" w:type="dxa"/>
        <w:bottom w:w="0" w:type="dxa"/>
        <w:right w:w="108" w:type="dxa"/>
      </w:tblCellMar>
    </w:tblPr>
  </w:style>
  <w:style w:type="paragraph" w:styleId="6">
    <w:name w:val="Normal Indent"/>
    <w:basedOn w:val="1"/>
    <w:link w:val="100"/>
    <w:qFormat/>
    <w:uiPriority w:val="0"/>
    <w:pPr>
      <w:ind w:firstLine="420" w:firstLineChars="200"/>
    </w:pPr>
    <w:rPr>
      <w:rFonts w:eastAsia="宋体"/>
      <w:szCs w:val="24"/>
    </w:rPr>
  </w:style>
  <w:style w:type="paragraph" w:styleId="12">
    <w:name w:val="caption"/>
    <w:basedOn w:val="1"/>
    <w:next w:val="1"/>
    <w:qFormat/>
    <w:uiPriority w:val="0"/>
    <w:pPr>
      <w:jc w:val="left"/>
    </w:pPr>
    <w:rPr>
      <w:rFonts w:ascii="Arial" w:hAnsi="Arial" w:eastAsia="仿宋_GB2312" w:cs="Arial"/>
      <w:sz w:val="28"/>
      <w:szCs w:val="20"/>
    </w:rPr>
  </w:style>
  <w:style w:type="paragraph" w:styleId="13">
    <w:name w:val="Document Map"/>
    <w:basedOn w:val="1"/>
    <w:link w:val="139"/>
    <w:uiPriority w:val="0"/>
    <w:pPr>
      <w:shd w:val="clear" w:color="auto" w:fill="000080"/>
    </w:pPr>
    <w:rPr>
      <w:rFonts w:ascii="Times New Roman" w:hAnsi="Times New Roman" w:eastAsia="宋体" w:cs="Times New Roman"/>
      <w:szCs w:val="20"/>
    </w:rPr>
  </w:style>
  <w:style w:type="paragraph" w:styleId="14">
    <w:name w:val="annotation text"/>
    <w:basedOn w:val="1"/>
    <w:link w:val="141"/>
    <w:unhideWhenUsed/>
    <w:uiPriority w:val="0"/>
    <w:pPr>
      <w:jc w:val="left"/>
    </w:pPr>
  </w:style>
  <w:style w:type="paragraph" w:styleId="15">
    <w:name w:val="Body Text 3"/>
    <w:basedOn w:val="1"/>
    <w:link w:val="148"/>
    <w:qFormat/>
    <w:uiPriority w:val="0"/>
    <w:pPr>
      <w:spacing w:after="120"/>
    </w:pPr>
    <w:rPr>
      <w:rFonts w:ascii="Times New Roman" w:hAnsi="Times New Roman" w:eastAsia="宋体" w:cs="Times New Roman"/>
      <w:sz w:val="16"/>
      <w:szCs w:val="16"/>
    </w:rPr>
  </w:style>
  <w:style w:type="paragraph" w:styleId="16">
    <w:name w:val="Body Text"/>
    <w:basedOn w:val="1"/>
    <w:link w:val="138"/>
    <w:uiPriority w:val="0"/>
    <w:pPr>
      <w:spacing w:after="120"/>
    </w:pPr>
    <w:rPr>
      <w:rFonts w:ascii="Times New Roman" w:hAnsi="Times New Roman" w:eastAsia="宋体" w:cs="Times New Roman"/>
      <w:szCs w:val="20"/>
    </w:rPr>
  </w:style>
  <w:style w:type="paragraph" w:styleId="17">
    <w:name w:val="Body Text Indent"/>
    <w:basedOn w:val="1"/>
    <w:link w:val="126"/>
    <w:qFormat/>
    <w:uiPriority w:val="0"/>
    <w:pPr>
      <w:ind w:firstLine="480" w:firstLineChars="200"/>
    </w:pPr>
    <w:rPr>
      <w:rFonts w:eastAsia="宋体"/>
      <w:bCs/>
      <w:sz w:val="24"/>
      <w:szCs w:val="24"/>
    </w:rPr>
  </w:style>
  <w:style w:type="paragraph" w:styleId="18">
    <w:name w:val="Block Text"/>
    <w:basedOn w:val="1"/>
    <w:qFormat/>
    <w:uiPriority w:val="0"/>
    <w:pPr>
      <w:spacing w:before="120" w:line="300" w:lineRule="auto"/>
      <w:ind w:left="11" w:right="459" w:firstLine="476"/>
    </w:pPr>
    <w:rPr>
      <w:rFonts w:ascii="Times New Roman" w:hAnsi="Times New Roman" w:eastAsia="宋体" w:cs="Times New Roman"/>
      <w:kern w:val="24"/>
      <w:sz w:val="24"/>
      <w:szCs w:val="20"/>
    </w:rPr>
  </w:style>
  <w:style w:type="paragraph" w:styleId="19">
    <w:name w:val="Plain Text"/>
    <w:basedOn w:val="1"/>
    <w:link w:val="86"/>
    <w:qFormat/>
    <w:uiPriority w:val="0"/>
    <w:rPr>
      <w:rFonts w:ascii="宋体" w:hAnsi="Courier New" w:eastAsia="宋体"/>
      <w:szCs w:val="24"/>
    </w:rPr>
  </w:style>
  <w:style w:type="paragraph" w:styleId="20">
    <w:name w:val="Date"/>
    <w:basedOn w:val="1"/>
    <w:next w:val="1"/>
    <w:link w:val="140"/>
    <w:uiPriority w:val="0"/>
    <w:pPr>
      <w:ind w:left="100" w:leftChars="2500"/>
    </w:pPr>
    <w:rPr>
      <w:rFonts w:ascii="Times New Roman" w:hAnsi="Times New Roman" w:eastAsia="宋体" w:cs="Times New Roman"/>
      <w:szCs w:val="24"/>
    </w:rPr>
  </w:style>
  <w:style w:type="paragraph" w:styleId="21">
    <w:name w:val="Body Text Indent 2"/>
    <w:basedOn w:val="1"/>
    <w:link w:val="146"/>
    <w:qFormat/>
    <w:uiPriority w:val="0"/>
    <w:pPr>
      <w:spacing w:after="120" w:line="480" w:lineRule="auto"/>
      <w:ind w:left="420" w:leftChars="200"/>
    </w:pPr>
    <w:rPr>
      <w:rFonts w:ascii="Times New Roman" w:hAnsi="Times New Roman" w:eastAsia="宋体" w:cs="Times New Roman"/>
      <w:szCs w:val="20"/>
    </w:rPr>
  </w:style>
  <w:style w:type="paragraph" w:styleId="22">
    <w:name w:val="Balloon Text"/>
    <w:basedOn w:val="1"/>
    <w:link w:val="136"/>
    <w:uiPriority w:val="0"/>
    <w:rPr>
      <w:rFonts w:ascii="Times New Roman" w:hAnsi="Times New Roman" w:eastAsia="宋体" w:cs="Times New Roman"/>
      <w:sz w:val="18"/>
      <w:szCs w:val="18"/>
    </w:rPr>
  </w:style>
  <w:style w:type="paragraph" w:styleId="23">
    <w:name w:val="footer"/>
    <w:basedOn w:val="1"/>
    <w:link w:val="53"/>
    <w:unhideWhenUsed/>
    <w:uiPriority w:val="0"/>
    <w:pPr>
      <w:tabs>
        <w:tab w:val="center" w:pos="4153"/>
        <w:tab w:val="right" w:pos="8306"/>
      </w:tabs>
      <w:snapToGrid w:val="0"/>
      <w:jc w:val="left"/>
    </w:pPr>
    <w:rPr>
      <w:sz w:val="18"/>
      <w:szCs w:val="18"/>
    </w:rPr>
  </w:style>
  <w:style w:type="paragraph" w:styleId="24">
    <w:name w:val="header"/>
    <w:basedOn w:val="1"/>
    <w:link w:val="52"/>
    <w:unhideWhenUsed/>
    <w:uiPriority w:val="0"/>
    <w:pPr>
      <w:pBdr>
        <w:bottom w:val="single" w:color="auto" w:sz="6" w:space="1"/>
      </w:pBdr>
      <w:tabs>
        <w:tab w:val="center" w:pos="4153"/>
        <w:tab w:val="right" w:pos="8306"/>
      </w:tabs>
      <w:snapToGrid w:val="0"/>
      <w:jc w:val="center"/>
    </w:pPr>
    <w:rPr>
      <w:sz w:val="18"/>
      <w:szCs w:val="18"/>
    </w:rPr>
  </w:style>
  <w:style w:type="paragraph" w:styleId="25">
    <w:name w:val="toc 1"/>
    <w:basedOn w:val="1"/>
    <w:next w:val="1"/>
    <w:semiHidden/>
    <w:qFormat/>
    <w:uiPriority w:val="0"/>
    <w:pPr>
      <w:spacing w:before="240" w:after="120"/>
      <w:jc w:val="left"/>
    </w:pPr>
    <w:rPr>
      <w:rFonts w:ascii="Times New Roman" w:hAnsi="Times New Roman" w:eastAsia="宋体" w:cs="Times New Roman"/>
      <w:b/>
      <w:bCs/>
      <w:sz w:val="20"/>
      <w:szCs w:val="20"/>
    </w:rPr>
  </w:style>
  <w:style w:type="paragraph" w:styleId="26">
    <w:name w:val="toc 4"/>
    <w:basedOn w:val="1"/>
    <w:next w:val="1"/>
    <w:uiPriority w:val="0"/>
    <w:pPr>
      <w:spacing w:before="156" w:beforeLines="50"/>
      <w:ind w:left="-2" w:leftChars="-2" w:hanging="2" w:hangingChars="1"/>
      <w:jc w:val="center"/>
    </w:pPr>
    <w:rPr>
      <w:rFonts w:ascii="Times New Roman" w:hAnsi="Times New Roman" w:eastAsia="宋体" w:cs="Times New Roman"/>
      <w:szCs w:val="21"/>
    </w:rPr>
  </w:style>
  <w:style w:type="paragraph" w:styleId="27">
    <w:name w:val="List"/>
    <w:basedOn w:val="1"/>
    <w:uiPriority w:val="0"/>
    <w:pPr>
      <w:spacing w:before="80" w:after="80" w:line="480" w:lineRule="exact"/>
      <w:jc w:val="center"/>
    </w:pPr>
    <w:rPr>
      <w:rFonts w:ascii="黑体" w:hAnsi="Times New Roman" w:eastAsia="黑体" w:cs="Times New Roman"/>
      <w:sz w:val="24"/>
      <w:szCs w:val="20"/>
    </w:rPr>
  </w:style>
  <w:style w:type="paragraph" w:styleId="28">
    <w:name w:val="toc 6"/>
    <w:basedOn w:val="1"/>
    <w:next w:val="1"/>
    <w:semiHidden/>
    <w:qFormat/>
    <w:uiPriority w:val="0"/>
    <w:pPr>
      <w:ind w:left="1050"/>
      <w:jc w:val="left"/>
    </w:pPr>
    <w:rPr>
      <w:rFonts w:ascii="Times New Roman" w:hAnsi="Times New Roman" w:eastAsia="宋体" w:cs="Times New Roman"/>
      <w:sz w:val="18"/>
      <w:szCs w:val="18"/>
    </w:rPr>
  </w:style>
  <w:style w:type="paragraph" w:styleId="29">
    <w:name w:val="Body Text Indent 3"/>
    <w:basedOn w:val="1"/>
    <w:link w:val="137"/>
    <w:uiPriority w:val="0"/>
    <w:pPr>
      <w:snapToGrid w:val="0"/>
      <w:spacing w:line="312" w:lineRule="auto"/>
      <w:ind w:firstLine="555"/>
    </w:pPr>
    <w:rPr>
      <w:rFonts w:ascii="Times New Roman" w:hAnsi="Times New Roman" w:eastAsia="仿宋_GB2312" w:cs="Times New Roman"/>
      <w:color w:val="FF0000"/>
      <w:sz w:val="28"/>
      <w:szCs w:val="20"/>
    </w:rPr>
  </w:style>
  <w:style w:type="paragraph" w:styleId="30">
    <w:name w:val="Body Text 2"/>
    <w:basedOn w:val="1"/>
    <w:link w:val="144"/>
    <w:qFormat/>
    <w:uiPriority w:val="0"/>
    <w:rPr>
      <w:rFonts w:ascii="Times New Roman" w:hAnsi="Times New Roman" w:eastAsia="仿宋_GB2312" w:cs="Times New Roman"/>
      <w:sz w:val="28"/>
      <w:szCs w:val="20"/>
    </w:rPr>
  </w:style>
  <w:style w:type="paragraph" w:styleId="31">
    <w:name w:val="HTML Preformatted"/>
    <w:basedOn w:val="1"/>
    <w:link w:val="143"/>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eastAsia="宋体" w:cs="Times New Roman"/>
      <w:kern w:val="0"/>
      <w:szCs w:val="20"/>
    </w:rPr>
  </w:style>
  <w:style w:type="paragraph" w:styleId="32">
    <w:name w:val="Normal (Web)"/>
    <w:basedOn w:val="1"/>
    <w:link w:val="237"/>
    <w:qFormat/>
    <w:uiPriority w:val="0"/>
    <w:pPr>
      <w:widowControl/>
      <w:spacing w:before="100" w:beforeAutospacing="1" w:after="100" w:afterAutospacing="1"/>
      <w:jc w:val="left"/>
    </w:pPr>
    <w:rPr>
      <w:rFonts w:ascii="宋体" w:hAnsi="宋体" w:eastAsia="宋体" w:cs="宋体"/>
      <w:kern w:val="0"/>
      <w:sz w:val="24"/>
      <w:szCs w:val="24"/>
    </w:rPr>
  </w:style>
  <w:style w:type="paragraph" w:styleId="33">
    <w:name w:val="index 1"/>
    <w:basedOn w:val="1"/>
    <w:next w:val="1"/>
    <w:semiHidden/>
    <w:qFormat/>
    <w:uiPriority w:val="0"/>
    <w:pPr>
      <w:adjustRightInd w:val="0"/>
      <w:snapToGrid w:val="0"/>
      <w:jc w:val="center"/>
    </w:pPr>
    <w:rPr>
      <w:rFonts w:ascii="宋体" w:hAnsi="宋体" w:eastAsia="宋体" w:cs="Times New Roman"/>
      <w:szCs w:val="24"/>
    </w:rPr>
  </w:style>
  <w:style w:type="paragraph" w:styleId="34">
    <w:name w:val="annotation subject"/>
    <w:basedOn w:val="14"/>
    <w:next w:val="14"/>
    <w:link w:val="142"/>
    <w:uiPriority w:val="0"/>
    <w:rPr>
      <w:rFonts w:ascii="Times New Roman" w:hAnsi="Times New Roman" w:eastAsia="宋体" w:cs="Times New Roman"/>
      <w:b/>
      <w:bCs/>
      <w:szCs w:val="20"/>
    </w:rPr>
  </w:style>
  <w:style w:type="paragraph" w:styleId="35">
    <w:name w:val="Body Text First Indent 2"/>
    <w:basedOn w:val="17"/>
    <w:link w:val="197"/>
    <w:qFormat/>
    <w:uiPriority w:val="0"/>
    <w:pPr>
      <w:spacing w:after="120"/>
      <w:ind w:left="420" w:leftChars="200" w:firstLine="420"/>
    </w:pPr>
    <w:rPr>
      <w:rFonts w:eastAsiaTheme="minorEastAsia"/>
      <w:bCs w:val="0"/>
      <w:sz w:val="21"/>
    </w:rPr>
  </w:style>
  <w:style w:type="table" w:styleId="37">
    <w:name w:val="Table Grid"/>
    <w:basedOn w:val="36"/>
    <w:qFormat/>
    <w:uiPriority w:val="0"/>
    <w:pPr>
      <w:widowControl w:val="0"/>
      <w:jc w:val="both"/>
    </w:pPr>
    <w:rPr>
      <w:rFonts w:ascii="Times New Roman" w:hAnsi="Times New Roman" w:eastAsia="Times New Roman"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9">
    <w:name w:val="Strong"/>
    <w:qFormat/>
    <w:uiPriority w:val="0"/>
    <w:rPr>
      <w:b/>
      <w:sz w:val="24"/>
      <w:szCs w:val="24"/>
      <w:u w:val="single"/>
    </w:rPr>
  </w:style>
  <w:style w:type="character" w:styleId="40">
    <w:name w:val="page number"/>
    <w:basedOn w:val="38"/>
    <w:uiPriority w:val="0"/>
    <w:rPr>
      <w:sz w:val="24"/>
      <w:szCs w:val="24"/>
    </w:rPr>
  </w:style>
  <w:style w:type="character" w:styleId="41">
    <w:name w:val="FollowedHyperlink"/>
    <w:uiPriority w:val="0"/>
    <w:rPr>
      <w:color w:val="2B2B2B"/>
      <w:sz w:val="24"/>
      <w:szCs w:val="24"/>
      <w:u w:val="none"/>
    </w:rPr>
  </w:style>
  <w:style w:type="character" w:styleId="42">
    <w:name w:val="Emphasis"/>
    <w:qFormat/>
    <w:uiPriority w:val="0"/>
    <w:rPr>
      <w:color w:val="CC0000"/>
      <w:sz w:val="24"/>
      <w:szCs w:val="24"/>
    </w:rPr>
  </w:style>
  <w:style w:type="character" w:styleId="43">
    <w:name w:val="HTML Definition"/>
    <w:uiPriority w:val="0"/>
    <w:rPr>
      <w:sz w:val="24"/>
      <w:szCs w:val="24"/>
    </w:rPr>
  </w:style>
  <w:style w:type="character" w:styleId="44">
    <w:name w:val="HTML Acronym"/>
    <w:basedOn w:val="38"/>
    <w:uiPriority w:val="0"/>
    <w:rPr>
      <w:sz w:val="24"/>
      <w:szCs w:val="24"/>
    </w:rPr>
  </w:style>
  <w:style w:type="character" w:styleId="45">
    <w:name w:val="HTML Variable"/>
    <w:uiPriority w:val="0"/>
    <w:rPr>
      <w:sz w:val="24"/>
      <w:szCs w:val="24"/>
    </w:rPr>
  </w:style>
  <w:style w:type="character" w:styleId="46">
    <w:name w:val="Hyperlink"/>
    <w:uiPriority w:val="0"/>
    <w:rPr>
      <w:color w:val="136EC2"/>
      <w:sz w:val="24"/>
      <w:szCs w:val="24"/>
      <w:u w:val="single"/>
    </w:rPr>
  </w:style>
  <w:style w:type="character" w:styleId="47">
    <w:name w:val="HTML Code"/>
    <w:uiPriority w:val="0"/>
    <w:rPr>
      <w:rFonts w:ascii="monospace" w:hAnsi="monospace" w:eastAsia="monospace" w:cs="monospace"/>
      <w:sz w:val="24"/>
      <w:szCs w:val="24"/>
    </w:rPr>
  </w:style>
  <w:style w:type="character" w:styleId="48">
    <w:name w:val="annotation reference"/>
    <w:uiPriority w:val="0"/>
    <w:rPr>
      <w:sz w:val="21"/>
      <w:szCs w:val="21"/>
    </w:rPr>
  </w:style>
  <w:style w:type="character" w:styleId="49">
    <w:name w:val="HTML Cite"/>
    <w:uiPriority w:val="0"/>
    <w:rPr>
      <w:sz w:val="24"/>
      <w:szCs w:val="24"/>
    </w:rPr>
  </w:style>
  <w:style w:type="character" w:styleId="50">
    <w:name w:val="HTML Keyboard"/>
    <w:uiPriority w:val="0"/>
    <w:rPr>
      <w:rFonts w:hint="default" w:ascii="monospace" w:hAnsi="monospace" w:eastAsia="monospace" w:cs="monospace"/>
      <w:sz w:val="24"/>
      <w:szCs w:val="24"/>
    </w:rPr>
  </w:style>
  <w:style w:type="character" w:styleId="51">
    <w:name w:val="HTML Sample"/>
    <w:uiPriority w:val="0"/>
    <w:rPr>
      <w:rFonts w:hint="default" w:ascii="monospace" w:hAnsi="monospace" w:eastAsia="monospace" w:cs="monospace"/>
      <w:sz w:val="24"/>
      <w:szCs w:val="24"/>
    </w:rPr>
  </w:style>
  <w:style w:type="character" w:customStyle="1" w:styleId="52">
    <w:name w:val="页眉 Char"/>
    <w:basedOn w:val="38"/>
    <w:link w:val="24"/>
    <w:uiPriority w:val="0"/>
    <w:rPr>
      <w:sz w:val="18"/>
      <w:szCs w:val="18"/>
    </w:rPr>
  </w:style>
  <w:style w:type="character" w:customStyle="1" w:styleId="53">
    <w:name w:val="页脚 Char"/>
    <w:basedOn w:val="38"/>
    <w:link w:val="23"/>
    <w:uiPriority w:val="99"/>
    <w:rPr>
      <w:sz w:val="18"/>
      <w:szCs w:val="18"/>
    </w:rPr>
  </w:style>
  <w:style w:type="character" w:customStyle="1" w:styleId="54">
    <w:name w:val="标题 1 Char"/>
    <w:basedOn w:val="38"/>
    <w:link w:val="2"/>
    <w:uiPriority w:val="0"/>
    <w:rPr>
      <w:rFonts w:ascii="Times New Roman" w:hAnsi="Times New Roman" w:eastAsia="宋体" w:cs="Times New Roman"/>
      <w:b/>
      <w:bCs/>
      <w:kern w:val="44"/>
      <w:sz w:val="44"/>
      <w:szCs w:val="44"/>
    </w:rPr>
  </w:style>
  <w:style w:type="character" w:customStyle="1" w:styleId="55">
    <w:name w:val="标题 2 Char"/>
    <w:basedOn w:val="38"/>
    <w:link w:val="3"/>
    <w:uiPriority w:val="0"/>
    <w:rPr>
      <w:rFonts w:ascii="Arial" w:hAnsi="Arial" w:eastAsia="黑体" w:cs="Times New Roman"/>
      <w:b/>
      <w:bCs/>
      <w:sz w:val="32"/>
      <w:szCs w:val="32"/>
    </w:rPr>
  </w:style>
  <w:style w:type="character" w:customStyle="1" w:styleId="56">
    <w:name w:val="标题 3 Char"/>
    <w:basedOn w:val="38"/>
    <w:link w:val="4"/>
    <w:uiPriority w:val="0"/>
    <w:rPr>
      <w:rFonts w:ascii="Times New Roman" w:hAnsi="Times New Roman" w:eastAsia="宋体" w:cs="Times New Roman"/>
      <w:b/>
      <w:bCs/>
      <w:sz w:val="32"/>
      <w:szCs w:val="32"/>
    </w:rPr>
  </w:style>
  <w:style w:type="character" w:customStyle="1" w:styleId="57">
    <w:name w:val="标题 4 Char"/>
    <w:basedOn w:val="38"/>
    <w:link w:val="5"/>
    <w:uiPriority w:val="0"/>
    <w:rPr>
      <w:rFonts w:ascii="黑体" w:hAnsi="Times New Roman" w:eastAsia="黑体" w:cs="Times New Roman"/>
      <w:b/>
      <w:kern w:val="0"/>
      <w:sz w:val="28"/>
      <w:szCs w:val="20"/>
    </w:rPr>
  </w:style>
  <w:style w:type="character" w:customStyle="1" w:styleId="58">
    <w:name w:val="标题 5 Char"/>
    <w:basedOn w:val="38"/>
    <w:link w:val="7"/>
    <w:uiPriority w:val="0"/>
    <w:rPr>
      <w:rFonts w:ascii="宋体" w:eastAsia="宋体"/>
      <w:sz w:val="24"/>
      <w:szCs w:val="24"/>
    </w:rPr>
  </w:style>
  <w:style w:type="character" w:customStyle="1" w:styleId="59">
    <w:name w:val="lemmatitleh1"/>
    <w:basedOn w:val="38"/>
    <w:uiPriority w:val="0"/>
    <w:rPr>
      <w:sz w:val="24"/>
      <w:szCs w:val="24"/>
    </w:rPr>
  </w:style>
  <w:style w:type="character" w:customStyle="1" w:styleId="60">
    <w:name w:val="richtextmngstyle1"/>
    <w:uiPriority w:val="0"/>
    <w:rPr>
      <w:color w:val="FFFFFF"/>
      <w:sz w:val="18"/>
      <w:szCs w:val="18"/>
      <w:u w:val="none"/>
    </w:rPr>
  </w:style>
  <w:style w:type="character" w:customStyle="1" w:styleId="61">
    <w:name w:val="org_name"/>
    <w:basedOn w:val="38"/>
    <w:uiPriority w:val="0"/>
    <w:rPr>
      <w:sz w:val="24"/>
      <w:szCs w:val="24"/>
    </w:rPr>
  </w:style>
  <w:style w:type="character" w:customStyle="1" w:styleId="62">
    <w:name w:val="tip9"/>
    <w:uiPriority w:val="0"/>
    <w:rPr>
      <w:vanish/>
      <w:color w:val="FF0000"/>
      <w:sz w:val="18"/>
      <w:szCs w:val="18"/>
    </w:rPr>
  </w:style>
  <w:style w:type="character" w:customStyle="1" w:styleId="63">
    <w:name w:val="t-tag"/>
    <w:uiPriority w:val="0"/>
    <w:rPr>
      <w:color w:val="FFFFFF"/>
      <w:sz w:val="18"/>
      <w:szCs w:val="18"/>
      <w:shd w:val="clear" w:color="auto" w:fill="FE8833"/>
    </w:rPr>
  </w:style>
  <w:style w:type="character" w:customStyle="1" w:styleId="64">
    <w:name w:val="ui-bz-bg-hover"/>
    <w:uiPriority w:val="0"/>
    <w:rPr>
      <w:sz w:val="24"/>
      <w:szCs w:val="24"/>
      <w:shd w:val="clear" w:color="auto" w:fill="000000"/>
    </w:rPr>
  </w:style>
  <w:style w:type="character" w:customStyle="1" w:styleId="65">
    <w:name w:val="fontborder"/>
    <w:uiPriority w:val="0"/>
    <w:rPr>
      <w:sz w:val="24"/>
      <w:szCs w:val="24"/>
      <w:bdr w:val="single" w:color="000000" w:sz="6" w:space="0"/>
    </w:rPr>
  </w:style>
  <w:style w:type="character" w:customStyle="1" w:styleId="66">
    <w:name w:val="f-star"/>
    <w:uiPriority w:val="0"/>
    <w:rPr>
      <w:color w:val="999999"/>
      <w:sz w:val="21"/>
      <w:szCs w:val="21"/>
    </w:rPr>
  </w:style>
  <w:style w:type="character" w:customStyle="1" w:styleId="67">
    <w:name w:val="sidecatalog-dot"/>
    <w:basedOn w:val="38"/>
    <w:uiPriority w:val="0"/>
    <w:rPr>
      <w:sz w:val="24"/>
      <w:szCs w:val="24"/>
    </w:rPr>
  </w:style>
  <w:style w:type="character" w:customStyle="1" w:styleId="68">
    <w:name w:val="fontstrikethrough"/>
    <w:uiPriority w:val="0"/>
    <w:rPr>
      <w:strike/>
      <w:sz w:val="24"/>
      <w:szCs w:val="24"/>
    </w:rPr>
  </w:style>
  <w:style w:type="character" w:customStyle="1" w:styleId="69">
    <w:name w:val="my-notice1"/>
    <w:basedOn w:val="38"/>
    <w:uiPriority w:val="0"/>
    <w:rPr>
      <w:sz w:val="24"/>
      <w:szCs w:val="24"/>
    </w:rPr>
  </w:style>
  <w:style w:type="character" w:customStyle="1" w:styleId="70">
    <w:name w:val="font11"/>
    <w:qFormat/>
    <w:uiPriority w:val="0"/>
    <w:rPr>
      <w:rFonts w:hint="default" w:ascii="仿宋_GB2312" w:eastAsia="仿宋_GB2312" w:cs="仿宋_GB2312"/>
      <w:color w:val="000000"/>
      <w:sz w:val="22"/>
      <w:szCs w:val="22"/>
      <w:u w:val="none"/>
    </w:rPr>
  </w:style>
  <w:style w:type="character" w:customStyle="1" w:styleId="71">
    <w:name w:val="bds_more4"/>
    <w:basedOn w:val="38"/>
    <w:qFormat/>
    <w:uiPriority w:val="0"/>
    <w:rPr>
      <w:sz w:val="24"/>
      <w:szCs w:val="24"/>
    </w:rPr>
  </w:style>
  <w:style w:type="character" w:customStyle="1" w:styleId="72">
    <w:name w:val="back121"/>
    <w:qFormat/>
    <w:uiPriority w:val="0"/>
    <w:rPr>
      <w:rFonts w:hint="default" w:ascii="Arial" w:hAnsi="Arial" w:cs="Arial"/>
      <w:color w:val="000000"/>
      <w:sz w:val="21"/>
      <w:szCs w:val="21"/>
    </w:rPr>
  </w:style>
  <w:style w:type="character" w:customStyle="1" w:styleId="73">
    <w:name w:val="org_name2"/>
    <w:basedOn w:val="38"/>
    <w:qFormat/>
    <w:uiPriority w:val="0"/>
    <w:rPr>
      <w:sz w:val="24"/>
      <w:szCs w:val="24"/>
    </w:rPr>
  </w:style>
  <w:style w:type="character" w:customStyle="1" w:styleId="74">
    <w:name w:val="my-class"/>
    <w:basedOn w:val="38"/>
    <w:qFormat/>
    <w:uiPriority w:val="0"/>
    <w:rPr>
      <w:sz w:val="24"/>
      <w:szCs w:val="24"/>
    </w:rPr>
  </w:style>
  <w:style w:type="character" w:customStyle="1" w:styleId="75">
    <w:name w:val="sidecatalog-dot1"/>
    <w:basedOn w:val="38"/>
    <w:qFormat/>
    <w:uiPriority w:val="0"/>
    <w:rPr>
      <w:sz w:val="24"/>
      <w:szCs w:val="24"/>
    </w:rPr>
  </w:style>
  <w:style w:type="character" w:customStyle="1" w:styleId="76">
    <w:name w:val="br1"/>
    <w:basedOn w:val="38"/>
    <w:uiPriority w:val="0"/>
    <w:rPr>
      <w:sz w:val="24"/>
      <w:szCs w:val="24"/>
    </w:rPr>
  </w:style>
  <w:style w:type="character" w:customStyle="1" w:styleId="77">
    <w:name w:val="polysemyexp"/>
    <w:uiPriority w:val="0"/>
    <w:rPr>
      <w:color w:val="AAAAAA"/>
      <w:sz w:val="18"/>
      <w:szCs w:val="18"/>
    </w:rPr>
  </w:style>
  <w:style w:type="character" w:customStyle="1" w:styleId="78">
    <w:name w:val="no52"/>
    <w:basedOn w:val="38"/>
    <w:uiPriority w:val="0"/>
    <w:rPr>
      <w:sz w:val="24"/>
      <w:szCs w:val="24"/>
    </w:rPr>
  </w:style>
  <w:style w:type="character" w:customStyle="1" w:styleId="79">
    <w:name w:val="tip8"/>
    <w:uiPriority w:val="0"/>
    <w:rPr>
      <w:vanish/>
      <w:color w:val="FF0000"/>
      <w:sz w:val="18"/>
      <w:szCs w:val="18"/>
    </w:rPr>
  </w:style>
  <w:style w:type="character" w:customStyle="1" w:styleId="80">
    <w:name w:val="sidecatalog-dot5"/>
    <w:basedOn w:val="38"/>
    <w:uiPriority w:val="0"/>
    <w:rPr>
      <w:sz w:val="24"/>
      <w:szCs w:val="24"/>
    </w:rPr>
  </w:style>
  <w:style w:type="character" w:customStyle="1" w:styleId="81">
    <w:name w:val="标题 2+ 行距: 固定值 24 磅 Char Char"/>
    <w:link w:val="82"/>
    <w:uiPriority w:val="0"/>
    <w:rPr>
      <w:rFonts w:ascii="Arial" w:hAnsi="Arial" w:eastAsia="黑体"/>
      <w:b/>
      <w:sz w:val="32"/>
      <w:szCs w:val="24"/>
    </w:rPr>
  </w:style>
  <w:style w:type="paragraph" w:customStyle="1" w:styleId="82">
    <w:name w:val="标题 2+ 行距: 固定值 24 磅 Char"/>
    <w:basedOn w:val="3"/>
    <w:link w:val="81"/>
    <w:qFormat/>
    <w:uiPriority w:val="0"/>
    <w:pPr>
      <w:spacing w:line="480" w:lineRule="exact"/>
    </w:pPr>
    <w:rPr>
      <w:rFonts w:cstheme="minorBidi"/>
      <w:bCs w:val="0"/>
      <w:szCs w:val="24"/>
    </w:rPr>
  </w:style>
  <w:style w:type="character" w:customStyle="1" w:styleId="83">
    <w:name w:val="desc"/>
    <w:uiPriority w:val="0"/>
    <w:rPr>
      <w:color w:val="000000"/>
      <w:sz w:val="18"/>
      <w:szCs w:val="18"/>
    </w:rPr>
  </w:style>
  <w:style w:type="character" w:customStyle="1" w:styleId="84">
    <w:name w:val="bds_more5"/>
    <w:basedOn w:val="38"/>
    <w:uiPriority w:val="0"/>
    <w:rPr>
      <w:sz w:val="24"/>
      <w:szCs w:val="24"/>
    </w:rPr>
  </w:style>
  <w:style w:type="character" w:customStyle="1" w:styleId="85">
    <w:name w:val="bds_more3"/>
    <w:uiPriority w:val="0"/>
    <w:rPr>
      <w:rFonts w:hint="eastAsia" w:ascii="宋体" w:hAnsi="宋体" w:eastAsia="宋体" w:cs="宋体"/>
      <w:sz w:val="24"/>
      <w:szCs w:val="24"/>
    </w:rPr>
  </w:style>
  <w:style w:type="character" w:customStyle="1" w:styleId="86">
    <w:name w:val="纯文本 Char"/>
    <w:link w:val="19"/>
    <w:uiPriority w:val="0"/>
    <w:rPr>
      <w:rFonts w:ascii="宋体" w:hAnsi="Courier New" w:eastAsia="宋体"/>
      <w:szCs w:val="24"/>
    </w:rPr>
  </w:style>
  <w:style w:type="character" w:customStyle="1" w:styleId="87">
    <w:name w:val="sidecatalog-index1"/>
    <w:qFormat/>
    <w:uiPriority w:val="0"/>
    <w:rPr>
      <w:rFonts w:ascii="Arial" w:hAnsi="Arial" w:cs="Arial"/>
      <w:b/>
      <w:color w:val="999999"/>
      <w:sz w:val="21"/>
      <w:szCs w:val="21"/>
    </w:rPr>
  </w:style>
  <w:style w:type="character" w:customStyle="1" w:styleId="88">
    <w:name w:val="font21"/>
    <w:qFormat/>
    <w:uiPriority w:val="0"/>
    <w:rPr>
      <w:rFonts w:hint="default" w:ascii="仿宋_GB2312" w:eastAsia="仿宋_GB2312" w:cs="仿宋_GB2312"/>
      <w:color w:val="000000"/>
      <w:sz w:val="22"/>
      <w:szCs w:val="22"/>
      <w:u w:val="none"/>
    </w:rPr>
  </w:style>
  <w:style w:type="character" w:customStyle="1" w:styleId="89">
    <w:name w:val="sort1"/>
    <w:basedOn w:val="38"/>
    <w:uiPriority w:val="0"/>
    <w:rPr>
      <w:sz w:val="24"/>
      <w:szCs w:val="24"/>
    </w:rPr>
  </w:style>
  <w:style w:type="character" w:customStyle="1" w:styleId="90">
    <w:name w:val="bds_more9"/>
    <w:basedOn w:val="38"/>
    <w:uiPriority w:val="0"/>
    <w:rPr>
      <w:sz w:val="24"/>
      <w:szCs w:val="24"/>
    </w:rPr>
  </w:style>
  <w:style w:type="character" w:customStyle="1" w:styleId="91">
    <w:name w:val="text"/>
    <w:uiPriority w:val="0"/>
    <w:rPr>
      <w:rFonts w:eastAsia="宋体"/>
      <w:sz w:val="24"/>
      <w:szCs w:val="24"/>
    </w:rPr>
  </w:style>
  <w:style w:type="character" w:customStyle="1" w:styleId="92">
    <w:name w:val="样式 标题4 + (中文) 宋体 Char Char"/>
    <w:link w:val="93"/>
    <w:uiPriority w:val="0"/>
    <w:rPr>
      <w:rFonts w:eastAsia="宋体"/>
      <w:b/>
      <w:sz w:val="30"/>
    </w:rPr>
  </w:style>
  <w:style w:type="paragraph" w:customStyle="1" w:styleId="93">
    <w:name w:val="样式 标题4 + (中文) 宋体"/>
    <w:basedOn w:val="94"/>
    <w:next w:val="16"/>
    <w:link w:val="92"/>
    <w:qFormat/>
    <w:uiPriority w:val="0"/>
    <w:pPr>
      <w:spacing w:before="0" w:after="0" w:line="480" w:lineRule="exact"/>
      <w:ind w:firstLine="0" w:firstLineChars="0"/>
      <w:outlineLvl w:val="3"/>
    </w:pPr>
  </w:style>
  <w:style w:type="paragraph" w:customStyle="1" w:styleId="94">
    <w:name w:val="标题4"/>
    <w:basedOn w:val="4"/>
    <w:link w:val="109"/>
    <w:qFormat/>
    <w:uiPriority w:val="0"/>
    <w:pPr>
      <w:spacing w:line="415" w:lineRule="auto"/>
      <w:ind w:firstLine="200" w:firstLineChars="200"/>
    </w:pPr>
    <w:rPr>
      <w:rFonts w:asciiTheme="minorHAnsi" w:hAnsiTheme="minorHAnsi" w:cstheme="minorBidi"/>
      <w:bCs w:val="0"/>
      <w:sz w:val="30"/>
      <w:szCs w:val="22"/>
    </w:rPr>
  </w:style>
  <w:style w:type="character" w:customStyle="1" w:styleId="95">
    <w:name w:val="polysemyred"/>
    <w:uiPriority w:val="0"/>
    <w:rPr>
      <w:color w:val="FF6666"/>
      <w:sz w:val="18"/>
      <w:szCs w:val="18"/>
    </w:rPr>
  </w:style>
  <w:style w:type="character" w:customStyle="1" w:styleId="96">
    <w:name w:val="plus"/>
    <w:uiPriority w:val="0"/>
    <w:rPr>
      <w:b/>
      <w:vanish/>
      <w:color w:val="1F8DEF"/>
      <w:sz w:val="24"/>
      <w:szCs w:val="24"/>
    </w:rPr>
  </w:style>
  <w:style w:type="character" w:customStyle="1" w:styleId="97">
    <w:name w:val="no4"/>
    <w:basedOn w:val="38"/>
    <w:uiPriority w:val="0"/>
    <w:rPr>
      <w:sz w:val="24"/>
      <w:szCs w:val="24"/>
    </w:rPr>
  </w:style>
  <w:style w:type="character" w:customStyle="1" w:styleId="98">
    <w:name w:val="no5"/>
    <w:basedOn w:val="38"/>
    <w:uiPriority w:val="0"/>
    <w:rPr>
      <w:sz w:val="24"/>
      <w:szCs w:val="24"/>
    </w:rPr>
  </w:style>
  <w:style w:type="character" w:customStyle="1" w:styleId="99">
    <w:name w:val="tip6"/>
    <w:uiPriority w:val="0"/>
    <w:rPr>
      <w:vanish/>
      <w:color w:val="FF0000"/>
      <w:sz w:val="18"/>
      <w:szCs w:val="18"/>
    </w:rPr>
  </w:style>
  <w:style w:type="character" w:customStyle="1" w:styleId="100">
    <w:name w:val="正文缩进 Char"/>
    <w:link w:val="6"/>
    <w:uiPriority w:val="0"/>
    <w:rPr>
      <w:rFonts w:eastAsia="宋体"/>
      <w:szCs w:val="24"/>
    </w:rPr>
  </w:style>
  <w:style w:type="character" w:customStyle="1" w:styleId="101">
    <w:name w:val="desc12"/>
    <w:uiPriority w:val="0"/>
    <w:rPr>
      <w:color w:val="000000"/>
      <w:sz w:val="18"/>
      <w:szCs w:val="18"/>
    </w:rPr>
  </w:style>
  <w:style w:type="character" w:customStyle="1" w:styleId="102">
    <w:name w:val="no62"/>
    <w:basedOn w:val="38"/>
    <w:uiPriority w:val="0"/>
    <w:rPr>
      <w:sz w:val="24"/>
      <w:szCs w:val="24"/>
    </w:rPr>
  </w:style>
  <w:style w:type="character" w:customStyle="1" w:styleId="103">
    <w:name w:val="tip"/>
    <w:uiPriority w:val="0"/>
    <w:rPr>
      <w:vanish/>
      <w:color w:val="FF0000"/>
      <w:sz w:val="18"/>
      <w:szCs w:val="18"/>
    </w:rPr>
  </w:style>
  <w:style w:type="character" w:customStyle="1" w:styleId="104">
    <w:name w:val="bds_nopic"/>
    <w:basedOn w:val="38"/>
    <w:uiPriority w:val="0"/>
    <w:rPr>
      <w:sz w:val="24"/>
      <w:szCs w:val="24"/>
    </w:rPr>
  </w:style>
  <w:style w:type="character" w:customStyle="1" w:styleId="105">
    <w:name w:val="bds_nopic2"/>
    <w:basedOn w:val="38"/>
    <w:uiPriority w:val="0"/>
    <w:rPr>
      <w:sz w:val="24"/>
      <w:szCs w:val="24"/>
    </w:rPr>
  </w:style>
  <w:style w:type="character" w:customStyle="1" w:styleId="106">
    <w:name w:val="lemmatitleh12"/>
    <w:basedOn w:val="38"/>
    <w:uiPriority w:val="0"/>
    <w:rPr>
      <w:sz w:val="24"/>
      <w:szCs w:val="24"/>
    </w:rPr>
  </w:style>
  <w:style w:type="character" w:customStyle="1" w:styleId="107">
    <w:name w:val="bds_more10"/>
    <w:basedOn w:val="38"/>
    <w:uiPriority w:val="0"/>
    <w:rPr>
      <w:sz w:val="24"/>
      <w:szCs w:val="24"/>
    </w:rPr>
  </w:style>
  <w:style w:type="character" w:customStyle="1" w:styleId="108">
    <w:name w:val="sort"/>
    <w:uiPriority w:val="0"/>
    <w:rPr>
      <w:color w:val="FFFFFF"/>
      <w:sz w:val="24"/>
      <w:szCs w:val="24"/>
      <w:bdr w:val="single" w:color="auto" w:sz="24" w:space="0"/>
    </w:rPr>
  </w:style>
  <w:style w:type="character" w:customStyle="1" w:styleId="109">
    <w:name w:val="标题4 Char Char"/>
    <w:link w:val="94"/>
    <w:uiPriority w:val="0"/>
    <w:rPr>
      <w:rFonts w:eastAsia="宋体"/>
      <w:b/>
      <w:sz w:val="30"/>
    </w:rPr>
  </w:style>
  <w:style w:type="character" w:customStyle="1" w:styleId="110">
    <w:name w:val="orange"/>
    <w:uiPriority w:val="0"/>
    <w:rPr>
      <w:color w:val="3FB58F"/>
      <w:sz w:val="24"/>
      <w:szCs w:val="24"/>
    </w:rPr>
  </w:style>
  <w:style w:type="character" w:customStyle="1" w:styleId="111">
    <w:name w:val="no7"/>
    <w:basedOn w:val="38"/>
    <w:uiPriority w:val="0"/>
    <w:rPr>
      <w:sz w:val="24"/>
      <w:szCs w:val="24"/>
    </w:rPr>
  </w:style>
  <w:style w:type="character" w:customStyle="1" w:styleId="112">
    <w:name w:val="my-notice"/>
    <w:basedOn w:val="38"/>
    <w:uiPriority w:val="0"/>
    <w:rPr>
      <w:sz w:val="24"/>
      <w:szCs w:val="24"/>
    </w:rPr>
  </w:style>
  <w:style w:type="character" w:customStyle="1" w:styleId="113">
    <w:name w:val="no72"/>
    <w:basedOn w:val="38"/>
    <w:uiPriority w:val="0"/>
    <w:rPr>
      <w:sz w:val="24"/>
      <w:szCs w:val="24"/>
    </w:rPr>
  </w:style>
  <w:style w:type="character" w:customStyle="1" w:styleId="114">
    <w:name w:val="morelink-item"/>
    <w:uiPriority w:val="0"/>
    <w:rPr>
      <w:sz w:val="24"/>
      <w:szCs w:val="24"/>
    </w:rPr>
  </w:style>
  <w:style w:type="character" w:customStyle="1" w:styleId="115">
    <w:name w:val="bds_more"/>
    <w:basedOn w:val="38"/>
    <w:uiPriority w:val="0"/>
    <w:rPr>
      <w:sz w:val="24"/>
      <w:szCs w:val="24"/>
    </w:rPr>
  </w:style>
  <w:style w:type="character" w:customStyle="1" w:styleId="116">
    <w:name w:val="bds_more7"/>
    <w:basedOn w:val="38"/>
    <w:uiPriority w:val="0"/>
    <w:rPr>
      <w:sz w:val="24"/>
      <w:szCs w:val="24"/>
    </w:rPr>
  </w:style>
  <w:style w:type="character" w:customStyle="1" w:styleId="117">
    <w:name w:val="orange6"/>
    <w:uiPriority w:val="0"/>
    <w:rPr>
      <w:color w:val="3FB58F"/>
      <w:sz w:val="24"/>
      <w:szCs w:val="24"/>
    </w:rPr>
  </w:style>
  <w:style w:type="character" w:customStyle="1" w:styleId="118">
    <w:name w:val="表格内文字 Char Char"/>
    <w:link w:val="119"/>
    <w:uiPriority w:val="0"/>
    <w:rPr>
      <w:rFonts w:eastAsia="仿宋_GB2312"/>
      <w:sz w:val="24"/>
      <w:szCs w:val="24"/>
    </w:rPr>
  </w:style>
  <w:style w:type="paragraph" w:customStyle="1" w:styleId="119">
    <w:name w:val="表格内文字"/>
    <w:basedOn w:val="1"/>
    <w:link w:val="118"/>
    <w:qFormat/>
    <w:uiPriority w:val="0"/>
    <w:pPr>
      <w:tabs>
        <w:tab w:val="left" w:pos="0"/>
      </w:tabs>
      <w:adjustRightInd w:val="0"/>
      <w:snapToGrid w:val="0"/>
      <w:jc w:val="center"/>
    </w:pPr>
    <w:rPr>
      <w:rFonts w:eastAsia="仿宋_GB2312"/>
      <w:sz w:val="24"/>
      <w:szCs w:val="24"/>
    </w:rPr>
  </w:style>
  <w:style w:type="character" w:customStyle="1" w:styleId="120">
    <w:name w:val="fs_141"/>
    <w:uiPriority w:val="0"/>
    <w:rPr>
      <w:sz w:val="21"/>
      <w:szCs w:val="24"/>
    </w:rPr>
  </w:style>
  <w:style w:type="character" w:customStyle="1" w:styleId="121">
    <w:name w:val="bds_more2"/>
    <w:basedOn w:val="38"/>
    <w:uiPriority w:val="0"/>
    <w:rPr>
      <w:sz w:val="24"/>
      <w:szCs w:val="24"/>
    </w:rPr>
  </w:style>
  <w:style w:type="character" w:customStyle="1" w:styleId="122">
    <w:name w:val="bds_more8"/>
    <w:uiPriority w:val="0"/>
    <w:rPr>
      <w:rFonts w:hint="eastAsia" w:ascii="宋体" w:hAnsi="宋体" w:eastAsia="宋体" w:cs="宋体"/>
      <w:sz w:val="24"/>
      <w:szCs w:val="24"/>
    </w:rPr>
  </w:style>
  <w:style w:type="character" w:customStyle="1" w:styleId="123">
    <w:name w:val="sidecatalog-dot4"/>
    <w:basedOn w:val="38"/>
    <w:uiPriority w:val="0"/>
    <w:rPr>
      <w:sz w:val="24"/>
      <w:szCs w:val="24"/>
    </w:rPr>
  </w:style>
  <w:style w:type="character" w:customStyle="1" w:styleId="124">
    <w:name w:val="bds_more6"/>
    <w:basedOn w:val="38"/>
    <w:uiPriority w:val="0"/>
    <w:rPr>
      <w:sz w:val="24"/>
      <w:szCs w:val="24"/>
    </w:rPr>
  </w:style>
  <w:style w:type="character" w:customStyle="1" w:styleId="125">
    <w:name w:val="正文缩进1"/>
    <w:uiPriority w:val="0"/>
    <w:rPr>
      <w:rFonts w:eastAsia="宋体"/>
      <w:kern w:val="2"/>
      <w:sz w:val="24"/>
      <w:szCs w:val="24"/>
      <w:lang w:val="en-US" w:eastAsia="zh-CN"/>
    </w:rPr>
  </w:style>
  <w:style w:type="character" w:customStyle="1" w:styleId="126">
    <w:name w:val="正文文本缩进 Char"/>
    <w:link w:val="17"/>
    <w:uiPriority w:val="0"/>
    <w:rPr>
      <w:rFonts w:eastAsia="宋体"/>
      <w:bCs/>
      <w:sz w:val="24"/>
      <w:szCs w:val="24"/>
    </w:rPr>
  </w:style>
  <w:style w:type="character" w:customStyle="1" w:styleId="127">
    <w:name w:val="ui-bz-bg-hover1"/>
    <w:basedOn w:val="38"/>
    <w:uiPriority w:val="0"/>
    <w:rPr>
      <w:sz w:val="24"/>
      <w:szCs w:val="24"/>
    </w:rPr>
  </w:style>
  <w:style w:type="character" w:customStyle="1" w:styleId="128">
    <w:name w:val="Char Char2"/>
    <w:uiPriority w:val="0"/>
    <w:rPr>
      <w:rFonts w:hint="default" w:eastAsia="宋体"/>
      <w:kern w:val="2"/>
      <w:sz w:val="24"/>
      <w:szCs w:val="24"/>
      <w:lang w:val="en-US" w:eastAsia="zh-CN"/>
    </w:rPr>
  </w:style>
  <w:style w:type="character" w:customStyle="1" w:styleId="129">
    <w:name w:val="表格内文字 Char"/>
    <w:uiPriority w:val="0"/>
    <w:rPr>
      <w:rFonts w:eastAsia="仿宋_GB2312"/>
      <w:spacing w:val="4"/>
      <w:kern w:val="18"/>
      <w:sz w:val="24"/>
      <w:szCs w:val="24"/>
      <w:lang w:val="en-US" w:eastAsia="zh-CN" w:bidi="ar-SA"/>
    </w:rPr>
  </w:style>
  <w:style w:type="character" w:customStyle="1" w:styleId="130">
    <w:name w:val="top-icon"/>
    <w:basedOn w:val="38"/>
    <w:uiPriority w:val="0"/>
    <w:rPr>
      <w:sz w:val="24"/>
      <w:szCs w:val="24"/>
    </w:rPr>
  </w:style>
  <w:style w:type="character" w:customStyle="1" w:styleId="131">
    <w:name w:val="bds_more1"/>
    <w:basedOn w:val="38"/>
    <w:uiPriority w:val="0"/>
    <w:rPr>
      <w:sz w:val="24"/>
      <w:szCs w:val="24"/>
    </w:rPr>
  </w:style>
  <w:style w:type="character" w:customStyle="1" w:styleId="132">
    <w:name w:val="bds_nopic1"/>
    <w:basedOn w:val="38"/>
    <w:uiPriority w:val="0"/>
    <w:rPr>
      <w:sz w:val="24"/>
      <w:szCs w:val="24"/>
    </w:rPr>
  </w:style>
  <w:style w:type="character" w:customStyle="1" w:styleId="133">
    <w:name w:val="no42"/>
    <w:basedOn w:val="38"/>
    <w:qFormat/>
    <w:uiPriority w:val="0"/>
    <w:rPr>
      <w:sz w:val="24"/>
      <w:szCs w:val="24"/>
    </w:rPr>
  </w:style>
  <w:style w:type="character" w:customStyle="1" w:styleId="134">
    <w:name w:val="my-class2"/>
    <w:basedOn w:val="38"/>
    <w:uiPriority w:val="0"/>
    <w:rPr>
      <w:sz w:val="24"/>
      <w:szCs w:val="24"/>
    </w:rPr>
  </w:style>
  <w:style w:type="character" w:customStyle="1" w:styleId="135">
    <w:name w:val="sidecatalog-index2"/>
    <w:qFormat/>
    <w:uiPriority w:val="0"/>
    <w:rPr>
      <w:rFonts w:ascii="Arail" w:hAnsi="Arail" w:eastAsia="Arail" w:cs="Arail"/>
      <w:color w:val="999999"/>
      <w:sz w:val="21"/>
      <w:szCs w:val="21"/>
    </w:rPr>
  </w:style>
  <w:style w:type="character" w:customStyle="1" w:styleId="136">
    <w:name w:val="批注框文本 Char"/>
    <w:basedOn w:val="38"/>
    <w:link w:val="22"/>
    <w:uiPriority w:val="0"/>
    <w:rPr>
      <w:rFonts w:ascii="Times New Roman" w:hAnsi="Times New Roman" w:eastAsia="宋体" w:cs="Times New Roman"/>
      <w:sz w:val="18"/>
      <w:szCs w:val="18"/>
    </w:rPr>
  </w:style>
  <w:style w:type="character" w:customStyle="1" w:styleId="137">
    <w:name w:val="正文文本缩进 3 Char"/>
    <w:basedOn w:val="38"/>
    <w:link w:val="29"/>
    <w:uiPriority w:val="0"/>
    <w:rPr>
      <w:rFonts w:ascii="Times New Roman" w:hAnsi="Times New Roman" w:eastAsia="仿宋_GB2312" w:cs="Times New Roman"/>
      <w:color w:val="FF0000"/>
      <w:sz w:val="28"/>
      <w:szCs w:val="20"/>
    </w:rPr>
  </w:style>
  <w:style w:type="character" w:customStyle="1" w:styleId="138">
    <w:name w:val="正文文本 Char"/>
    <w:basedOn w:val="38"/>
    <w:link w:val="16"/>
    <w:uiPriority w:val="0"/>
    <w:rPr>
      <w:rFonts w:ascii="Times New Roman" w:hAnsi="Times New Roman" w:eastAsia="宋体" w:cs="Times New Roman"/>
      <w:szCs w:val="20"/>
    </w:rPr>
  </w:style>
  <w:style w:type="character" w:customStyle="1" w:styleId="139">
    <w:name w:val="文档结构图 Char"/>
    <w:basedOn w:val="38"/>
    <w:link w:val="13"/>
    <w:uiPriority w:val="0"/>
    <w:rPr>
      <w:rFonts w:ascii="Times New Roman" w:hAnsi="Times New Roman" w:eastAsia="宋体" w:cs="Times New Roman"/>
      <w:szCs w:val="20"/>
      <w:shd w:val="clear" w:color="auto" w:fill="000080"/>
    </w:rPr>
  </w:style>
  <w:style w:type="character" w:customStyle="1" w:styleId="140">
    <w:name w:val="日期 Char"/>
    <w:basedOn w:val="38"/>
    <w:link w:val="20"/>
    <w:uiPriority w:val="0"/>
    <w:rPr>
      <w:rFonts w:ascii="Times New Roman" w:hAnsi="Times New Roman" w:eastAsia="宋体" w:cs="Times New Roman"/>
      <w:szCs w:val="24"/>
    </w:rPr>
  </w:style>
  <w:style w:type="character" w:customStyle="1" w:styleId="141">
    <w:name w:val="批注文字 Char"/>
    <w:basedOn w:val="38"/>
    <w:link w:val="14"/>
    <w:qFormat/>
    <w:uiPriority w:val="0"/>
  </w:style>
  <w:style w:type="character" w:customStyle="1" w:styleId="142">
    <w:name w:val="批注主题 Char"/>
    <w:basedOn w:val="141"/>
    <w:link w:val="34"/>
    <w:qFormat/>
    <w:uiPriority w:val="0"/>
    <w:rPr>
      <w:rFonts w:ascii="Times New Roman" w:hAnsi="Times New Roman" w:eastAsia="宋体" w:cs="Times New Roman"/>
      <w:b/>
      <w:bCs/>
      <w:szCs w:val="20"/>
    </w:rPr>
  </w:style>
  <w:style w:type="character" w:customStyle="1" w:styleId="143">
    <w:name w:val="HTML 预设格式 Char"/>
    <w:basedOn w:val="38"/>
    <w:link w:val="31"/>
    <w:qFormat/>
    <w:uiPriority w:val="0"/>
    <w:rPr>
      <w:rFonts w:ascii="Arial" w:hAnsi="Arial" w:eastAsia="宋体" w:cs="Times New Roman"/>
      <w:kern w:val="0"/>
      <w:szCs w:val="20"/>
    </w:rPr>
  </w:style>
  <w:style w:type="character" w:customStyle="1" w:styleId="144">
    <w:name w:val="正文文本 2 Char"/>
    <w:basedOn w:val="38"/>
    <w:link w:val="30"/>
    <w:qFormat/>
    <w:uiPriority w:val="0"/>
    <w:rPr>
      <w:rFonts w:ascii="Times New Roman" w:hAnsi="Times New Roman" w:eastAsia="仿宋_GB2312" w:cs="Times New Roman"/>
      <w:sz w:val="28"/>
      <w:szCs w:val="20"/>
    </w:rPr>
  </w:style>
  <w:style w:type="character" w:customStyle="1" w:styleId="145">
    <w:name w:val="纯文本 Char1"/>
    <w:basedOn w:val="38"/>
    <w:semiHidden/>
    <w:qFormat/>
    <w:uiPriority w:val="99"/>
    <w:rPr>
      <w:rFonts w:ascii="宋体" w:hAnsi="Courier New" w:eastAsia="宋体" w:cs="Courier New"/>
      <w:szCs w:val="21"/>
    </w:rPr>
  </w:style>
  <w:style w:type="character" w:customStyle="1" w:styleId="146">
    <w:name w:val="正文文本缩进 2 Char"/>
    <w:basedOn w:val="38"/>
    <w:link w:val="21"/>
    <w:qFormat/>
    <w:uiPriority w:val="0"/>
    <w:rPr>
      <w:rFonts w:ascii="Times New Roman" w:hAnsi="Times New Roman" w:eastAsia="宋体" w:cs="Times New Roman"/>
      <w:szCs w:val="20"/>
    </w:rPr>
  </w:style>
  <w:style w:type="character" w:customStyle="1" w:styleId="147">
    <w:name w:val="正文文本缩进 Char1"/>
    <w:basedOn w:val="38"/>
    <w:semiHidden/>
    <w:qFormat/>
    <w:uiPriority w:val="99"/>
  </w:style>
  <w:style w:type="character" w:customStyle="1" w:styleId="148">
    <w:name w:val="正文文本 3 Char"/>
    <w:basedOn w:val="38"/>
    <w:link w:val="15"/>
    <w:qFormat/>
    <w:uiPriority w:val="0"/>
    <w:rPr>
      <w:rFonts w:ascii="Times New Roman" w:hAnsi="Times New Roman" w:eastAsia="宋体" w:cs="Times New Roman"/>
      <w:sz w:val="16"/>
      <w:szCs w:val="16"/>
    </w:rPr>
  </w:style>
  <w:style w:type="paragraph" w:customStyle="1" w:styleId="149">
    <w:name w:val="表格标题"/>
    <w:basedOn w:val="1"/>
    <w:next w:val="1"/>
    <w:qFormat/>
    <w:uiPriority w:val="0"/>
    <w:pPr>
      <w:adjustRightInd w:val="0"/>
      <w:spacing w:before="50" w:beforeLines="50" w:after="50" w:afterLines="50" w:line="360" w:lineRule="auto"/>
      <w:jc w:val="center"/>
      <w:textAlignment w:val="baseline"/>
    </w:pPr>
    <w:rPr>
      <w:rFonts w:ascii="宋体" w:hAnsi="宋体" w:eastAsia="宋体" w:cs="Times New Roman"/>
      <w:bCs/>
      <w:snapToGrid w:val="0"/>
      <w:color w:val="000000"/>
      <w:kern w:val="0"/>
      <w:sz w:val="24"/>
      <w:szCs w:val="20"/>
    </w:rPr>
  </w:style>
  <w:style w:type="paragraph" w:customStyle="1" w:styleId="150">
    <w:name w:val="表格文字"/>
    <w:basedOn w:val="1"/>
    <w:link w:val="190"/>
    <w:qFormat/>
    <w:uiPriority w:val="0"/>
    <w:pPr>
      <w:jc w:val="center"/>
    </w:pPr>
    <w:rPr>
      <w:rFonts w:ascii="仿宋_GB2312" w:hAnsi="Arial Black" w:eastAsia="仿宋_GB2312" w:cs="Times New Roman"/>
      <w:kern w:val="44"/>
      <w:sz w:val="24"/>
      <w:szCs w:val="20"/>
    </w:rPr>
  </w:style>
  <w:style w:type="paragraph" w:customStyle="1" w:styleId="151">
    <w:name w:val="xl27"/>
    <w:basedOn w:val="1"/>
    <w:qFormat/>
    <w:uiPriority w:val="0"/>
    <w:pPr>
      <w:widowControl/>
      <w:pBdr>
        <w:bottom w:val="single" w:color="auto" w:sz="12" w:space="0"/>
      </w:pBdr>
      <w:spacing w:before="100" w:after="100"/>
      <w:jc w:val="center"/>
    </w:pPr>
    <w:rPr>
      <w:rFonts w:ascii="宋体" w:hAnsi="宋体" w:eastAsia="宋体" w:cs="Times New Roman"/>
      <w:kern w:val="0"/>
      <w:szCs w:val="20"/>
    </w:rPr>
  </w:style>
  <w:style w:type="paragraph" w:customStyle="1" w:styleId="152">
    <w:name w:val="正文（首行缩进两字） Char Char Char Char Char Char"/>
    <w:basedOn w:val="1"/>
    <w:next w:val="6"/>
    <w:qFormat/>
    <w:uiPriority w:val="0"/>
    <w:pPr>
      <w:ind w:firstLine="420" w:firstLineChars="200"/>
    </w:pPr>
    <w:rPr>
      <w:rFonts w:ascii="Times New Roman" w:hAnsi="Times New Roman" w:eastAsia="宋体" w:cs="Times New Roman"/>
      <w:szCs w:val="20"/>
    </w:rPr>
  </w:style>
  <w:style w:type="paragraph" w:customStyle="1" w:styleId="153">
    <w:name w:val="1 Char Char Char Char"/>
    <w:basedOn w:val="1"/>
    <w:qFormat/>
    <w:uiPriority w:val="0"/>
    <w:rPr>
      <w:rFonts w:ascii="Times New Roman" w:hAnsi="Times New Roman" w:eastAsia="宋体" w:cs="Times New Roman"/>
      <w:sz w:val="24"/>
      <w:szCs w:val="20"/>
    </w:rPr>
  </w:style>
  <w:style w:type="paragraph" w:customStyle="1" w:styleId="154">
    <w:name w:val="1.1.1"/>
    <w:basedOn w:val="1"/>
    <w:qFormat/>
    <w:uiPriority w:val="0"/>
    <w:rPr>
      <w:rFonts w:ascii="黑体" w:hAnsi="Times New Roman" w:eastAsia="宋体" w:cs="Times New Roman"/>
      <w:sz w:val="24"/>
      <w:szCs w:val="24"/>
    </w:rPr>
  </w:style>
  <w:style w:type="paragraph" w:customStyle="1" w:styleId="155">
    <w:name w:val="表头"/>
    <w:basedOn w:val="1"/>
    <w:link w:val="247"/>
    <w:qFormat/>
    <w:uiPriority w:val="0"/>
    <w:pPr>
      <w:adjustRightInd w:val="0"/>
      <w:snapToGrid w:val="0"/>
      <w:spacing w:line="360" w:lineRule="auto"/>
      <w:jc w:val="center"/>
      <w:textAlignment w:val="baseline"/>
    </w:pPr>
    <w:rPr>
      <w:rFonts w:ascii="宋体" w:hAnsi="Times New Roman" w:eastAsia="仿宋_GB2312" w:cs="Times New Roman"/>
      <w:snapToGrid w:val="0"/>
      <w:spacing w:val="4"/>
      <w:kern w:val="0"/>
      <w:sz w:val="28"/>
      <w:szCs w:val="20"/>
    </w:rPr>
  </w:style>
  <w:style w:type="paragraph" w:customStyle="1" w:styleId="156">
    <w:name w:val="样式 样式 标题4 + (中文) 宋体 + (中文) 宋体 首行缩进:  1.06 厘米"/>
    <w:basedOn w:val="93"/>
    <w:qFormat/>
    <w:uiPriority w:val="0"/>
  </w:style>
  <w:style w:type="paragraph" w:customStyle="1" w:styleId="157">
    <w:name w:val="CC Char Char Char"/>
    <w:basedOn w:val="21"/>
    <w:next w:val="21"/>
    <w:qFormat/>
    <w:uiPriority w:val="0"/>
    <w:pPr>
      <w:ind w:left="630" w:leftChars="100" w:right="100" w:rightChars="100"/>
    </w:pPr>
    <w:rPr>
      <w:sz w:val="28"/>
      <w:szCs w:val="28"/>
    </w:rPr>
  </w:style>
  <w:style w:type="paragraph" w:customStyle="1" w:styleId="158">
    <w:name w:val="1正文段落"/>
    <w:basedOn w:val="1"/>
    <w:qFormat/>
    <w:uiPriority w:val="0"/>
    <w:pPr>
      <w:spacing w:line="360" w:lineRule="auto"/>
      <w:ind w:firstLine="480" w:firstLineChars="200"/>
      <w:jc w:val="left"/>
    </w:pPr>
    <w:rPr>
      <w:rFonts w:ascii="Times New Roman" w:hAnsi="Times New Roman" w:eastAsia="宋体" w:cs="Times New Roman"/>
      <w:bCs/>
      <w:snapToGrid w:val="0"/>
      <w:kern w:val="0"/>
      <w:sz w:val="24"/>
      <w:szCs w:val="20"/>
    </w:rPr>
  </w:style>
  <w:style w:type="paragraph" w:customStyle="1" w:styleId="159">
    <w:name w:val="列表标题"/>
    <w:basedOn w:val="1"/>
    <w:next w:val="1"/>
    <w:qFormat/>
    <w:uiPriority w:val="0"/>
    <w:pPr>
      <w:jc w:val="center"/>
    </w:pPr>
    <w:rPr>
      <w:rFonts w:ascii="Times New Roman" w:hAnsi="Times New Roman" w:eastAsia="宋体" w:cs="Times New Roman"/>
      <w:sz w:val="24"/>
      <w:szCs w:val="20"/>
    </w:rPr>
  </w:style>
  <w:style w:type="paragraph" w:customStyle="1" w:styleId="160">
    <w:name w:val="Char1"/>
    <w:basedOn w:val="1"/>
    <w:qFormat/>
    <w:uiPriority w:val="0"/>
    <w:pPr>
      <w:tabs>
        <w:tab w:val="left" w:pos="360"/>
        <w:tab w:val="left" w:pos="900"/>
      </w:tabs>
      <w:snapToGrid w:val="0"/>
      <w:spacing w:before="120" w:after="120" w:line="360" w:lineRule="auto"/>
      <w:ind w:left="542" w:leftChars="-12" w:firstLine="200" w:firstLineChars="200"/>
    </w:pPr>
    <w:rPr>
      <w:rFonts w:ascii="Times New Roman" w:hAnsi="Times New Roman" w:eastAsia="宋体" w:cs="Times New Roman"/>
      <w:bCs/>
      <w:snapToGrid w:val="0"/>
      <w:kern w:val="0"/>
      <w:szCs w:val="20"/>
    </w:rPr>
  </w:style>
  <w:style w:type="paragraph" w:customStyle="1" w:styleId="161">
    <w:name w:val="字元 字元"/>
    <w:basedOn w:val="1"/>
    <w:qFormat/>
    <w:uiPriority w:val="0"/>
    <w:rPr>
      <w:rFonts w:ascii="Times New Roman" w:hAnsi="Times New Roman" w:eastAsia="宋体" w:cs="Times New Roman"/>
      <w:sz w:val="24"/>
      <w:szCs w:val="24"/>
    </w:rPr>
  </w:style>
  <w:style w:type="paragraph" w:customStyle="1" w:styleId="162">
    <w:name w:val="默认段落字体 Para Char Char Char Char"/>
    <w:basedOn w:val="1"/>
    <w:qFormat/>
    <w:uiPriority w:val="0"/>
    <w:rPr>
      <w:rFonts w:ascii="Times New Roman" w:hAnsi="Times New Roman" w:eastAsia="宋体" w:cs="Times New Roman"/>
      <w:sz w:val="24"/>
      <w:szCs w:val="24"/>
    </w:rPr>
  </w:style>
  <w:style w:type="paragraph" w:customStyle="1" w:styleId="163">
    <w:name w:val="表格文字正文"/>
    <w:basedOn w:val="1"/>
    <w:next w:val="1"/>
    <w:qFormat/>
    <w:uiPriority w:val="0"/>
    <w:pPr>
      <w:jc w:val="center"/>
    </w:pPr>
    <w:rPr>
      <w:rFonts w:ascii="宋体" w:hAnsi="Times New Roman" w:eastAsia="宋体" w:cs="Times New Roman"/>
      <w:sz w:val="24"/>
      <w:szCs w:val="24"/>
    </w:rPr>
  </w:style>
  <w:style w:type="paragraph" w:customStyle="1" w:styleId="164">
    <w:name w:val="标题正4"/>
    <w:basedOn w:val="1"/>
    <w:qFormat/>
    <w:uiPriority w:val="0"/>
    <w:pPr>
      <w:spacing w:line="300" w:lineRule="exact"/>
      <w:jc w:val="center"/>
    </w:pPr>
    <w:rPr>
      <w:rFonts w:ascii="宋体" w:hAnsi="宋体" w:eastAsia="宋体" w:cs="Times New Roman"/>
      <w:color w:val="000000"/>
      <w:szCs w:val="20"/>
    </w:rPr>
  </w:style>
  <w:style w:type="paragraph" w:customStyle="1" w:styleId="165">
    <w:name w:val="xl2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Times New Roman"/>
      <w:kern w:val="0"/>
      <w:sz w:val="24"/>
      <w:szCs w:val="20"/>
    </w:rPr>
  </w:style>
  <w:style w:type="paragraph" w:customStyle="1" w:styleId="166">
    <w:name w:val="Char"/>
    <w:basedOn w:val="1"/>
    <w:qFormat/>
    <w:uiPriority w:val="0"/>
    <w:rPr>
      <w:rFonts w:ascii="Times New Roman" w:hAnsi="Times New Roman" w:eastAsia="宋体" w:cs="Times New Roman"/>
      <w:sz w:val="24"/>
      <w:szCs w:val="24"/>
    </w:rPr>
  </w:style>
  <w:style w:type="paragraph" w:customStyle="1" w:styleId="167">
    <w:name w:val="默认段落字体 Para Char Char Char Char Char Char Char"/>
    <w:basedOn w:val="1"/>
    <w:qFormat/>
    <w:uiPriority w:val="0"/>
    <w:rPr>
      <w:rFonts w:ascii="Times New Roman" w:hAnsi="Times New Roman" w:eastAsia="宋体" w:cs="Times New Roman"/>
      <w:sz w:val="24"/>
      <w:szCs w:val="20"/>
    </w:rPr>
  </w:style>
  <w:style w:type="paragraph" w:customStyle="1" w:styleId="168">
    <w:name w:val="样式2"/>
    <w:basedOn w:val="1"/>
    <w:next w:val="1"/>
    <w:qFormat/>
    <w:uiPriority w:val="0"/>
    <w:pPr>
      <w:adjustRightInd w:val="0"/>
      <w:spacing w:line="480" w:lineRule="atLeast"/>
    </w:pPr>
    <w:rPr>
      <w:rFonts w:ascii="Times New Roman" w:hAnsi="Times New Roman" w:eastAsia="宋体" w:cs="Times New Roman"/>
      <w:kern w:val="0"/>
      <w:sz w:val="24"/>
      <w:szCs w:val="20"/>
    </w:rPr>
  </w:style>
  <w:style w:type="paragraph" w:customStyle="1" w:styleId="169">
    <w:name w:val="默认段落字体 Para Char"/>
    <w:basedOn w:val="1"/>
    <w:qFormat/>
    <w:uiPriority w:val="0"/>
    <w:rPr>
      <w:rFonts w:ascii="Times New Roman" w:hAnsi="Times New Roman" w:eastAsia="宋体" w:cs="Times New Roman"/>
      <w:sz w:val="24"/>
      <w:szCs w:val="20"/>
    </w:rPr>
  </w:style>
  <w:style w:type="paragraph" w:customStyle="1" w:styleId="170">
    <w:name w:val="表格正文"/>
    <w:basedOn w:val="1"/>
    <w:next w:val="1"/>
    <w:link w:val="198"/>
    <w:qFormat/>
    <w:uiPriority w:val="0"/>
    <w:pPr>
      <w:adjustRightInd w:val="0"/>
      <w:snapToGrid w:val="0"/>
      <w:jc w:val="center"/>
      <w:textAlignment w:val="baseline"/>
    </w:pPr>
    <w:rPr>
      <w:rFonts w:ascii="宋体" w:hAnsi="Times New Roman" w:eastAsia="宋体" w:cs="Times New Roman"/>
      <w:snapToGrid w:val="0"/>
      <w:spacing w:val="4"/>
      <w:w w:val="90"/>
      <w:kern w:val="0"/>
      <w:sz w:val="24"/>
      <w:szCs w:val="20"/>
    </w:rPr>
  </w:style>
  <w:style w:type="paragraph" w:customStyle="1" w:styleId="171">
    <w:name w:val="图表文字"/>
    <w:basedOn w:val="1"/>
    <w:qFormat/>
    <w:uiPriority w:val="0"/>
    <w:pPr>
      <w:jc w:val="center"/>
    </w:pPr>
    <w:rPr>
      <w:rFonts w:ascii="仿宋_GB2312" w:hAnsi="Times New Roman" w:eastAsia="仿宋_GB2312" w:cs="Times New Roman"/>
      <w:szCs w:val="20"/>
    </w:rPr>
  </w:style>
  <w:style w:type="paragraph" w:customStyle="1" w:styleId="172">
    <w:name w:val="样式 标题 2 + 首行缩进:  2 字符"/>
    <w:basedOn w:val="3"/>
    <w:qFormat/>
    <w:uiPriority w:val="0"/>
    <w:pPr>
      <w:spacing w:before="40" w:after="40" w:line="520" w:lineRule="exact"/>
    </w:pPr>
    <w:rPr>
      <w:bCs w:val="0"/>
      <w:szCs w:val="20"/>
    </w:rPr>
  </w:style>
  <w:style w:type="paragraph" w:customStyle="1" w:styleId="173">
    <w:name w:val="图文框"/>
    <w:basedOn w:val="1"/>
    <w:qFormat/>
    <w:uiPriority w:val="0"/>
    <w:pPr>
      <w:spacing w:line="260" w:lineRule="exact"/>
      <w:ind w:right="-94"/>
      <w:jc w:val="center"/>
    </w:pPr>
    <w:rPr>
      <w:rFonts w:ascii="宋体" w:hAnsi="宋体" w:eastAsia="宋体" w:cs="Times New Roman"/>
      <w:szCs w:val="20"/>
    </w:rPr>
  </w:style>
  <w:style w:type="paragraph" w:customStyle="1" w:styleId="174">
    <w:name w:val="xl25"/>
    <w:basedOn w:val="1"/>
    <w:qFormat/>
    <w:uiPriority w:val="0"/>
    <w:pPr>
      <w:widowControl/>
      <w:pBdr>
        <w:left w:val="single" w:color="auto" w:sz="4" w:space="0"/>
        <w:right w:val="single" w:color="auto" w:sz="4" w:space="0"/>
      </w:pBdr>
      <w:spacing w:before="100" w:after="100"/>
      <w:jc w:val="center"/>
    </w:pPr>
    <w:rPr>
      <w:rFonts w:ascii="Times New Roman" w:hAnsi="Times New Roman" w:eastAsia="宋体" w:cs="Times New Roman"/>
      <w:kern w:val="0"/>
      <w:sz w:val="24"/>
      <w:szCs w:val="20"/>
    </w:rPr>
  </w:style>
  <w:style w:type="paragraph" w:customStyle="1" w:styleId="175">
    <w:name w:val="表居中（中文）"/>
    <w:basedOn w:val="1"/>
    <w:qFormat/>
    <w:uiPriority w:val="0"/>
    <w:pPr>
      <w:adjustRightInd w:val="0"/>
      <w:spacing w:line="380" w:lineRule="atLeast"/>
      <w:jc w:val="center"/>
    </w:pPr>
    <w:rPr>
      <w:rFonts w:ascii="Times New Roman" w:hAnsi="Times New Roman" w:eastAsia="楷体_GB2312" w:cs="Times New Roman"/>
      <w:kern w:val="0"/>
      <w:szCs w:val="20"/>
    </w:rPr>
  </w:style>
  <w:style w:type="paragraph" w:customStyle="1" w:styleId="176">
    <w:name w:val="样式 标题 3 + 首行缩进:  2 字符"/>
    <w:basedOn w:val="4"/>
    <w:qFormat/>
    <w:uiPriority w:val="0"/>
    <w:pPr>
      <w:spacing w:before="30" w:after="30" w:line="500" w:lineRule="exact"/>
    </w:pPr>
    <w:rPr>
      <w:bCs w:val="0"/>
      <w:sz w:val="30"/>
      <w:szCs w:val="20"/>
    </w:rPr>
  </w:style>
  <w:style w:type="paragraph" w:customStyle="1" w:styleId="177">
    <w:name w:val="注释"/>
    <w:basedOn w:val="1"/>
    <w:semiHidden/>
    <w:qFormat/>
    <w:uiPriority w:val="0"/>
    <w:pPr>
      <w:adjustRightInd w:val="0"/>
      <w:snapToGrid w:val="0"/>
      <w:spacing w:line="360" w:lineRule="auto"/>
      <w:textAlignment w:val="baseline"/>
    </w:pPr>
    <w:rPr>
      <w:rFonts w:ascii="宋体" w:hAnsi="Times New Roman" w:eastAsia="宋体" w:cs="Times New Roman"/>
      <w:snapToGrid w:val="0"/>
      <w:spacing w:val="4"/>
      <w:kern w:val="0"/>
      <w:szCs w:val="24"/>
    </w:rPr>
  </w:style>
  <w:style w:type="paragraph" w:customStyle="1" w:styleId="178">
    <w:name w:val="表格"/>
    <w:basedOn w:val="1"/>
    <w:qFormat/>
    <w:uiPriority w:val="0"/>
    <w:pPr>
      <w:adjustRightInd w:val="0"/>
      <w:snapToGrid w:val="0"/>
      <w:jc w:val="center"/>
      <w:textAlignment w:val="baseline"/>
    </w:pPr>
    <w:rPr>
      <w:rFonts w:ascii="宋体" w:hAnsi="Times New Roman" w:eastAsia="仿宋_GB2312" w:cs="Times New Roman"/>
      <w:snapToGrid w:val="0"/>
      <w:spacing w:val="4"/>
      <w:kern w:val="0"/>
      <w:sz w:val="24"/>
      <w:szCs w:val="20"/>
    </w:rPr>
  </w:style>
  <w:style w:type="paragraph" w:customStyle="1" w:styleId="179">
    <w:name w:val="Char1 Char Char Char"/>
    <w:basedOn w:val="1"/>
    <w:qFormat/>
    <w:uiPriority w:val="0"/>
    <w:rPr>
      <w:rFonts w:ascii="Times New Roman" w:hAnsi="Times New Roman" w:eastAsia="宋体" w:cs="Times New Roman"/>
      <w:szCs w:val="21"/>
    </w:rPr>
  </w:style>
  <w:style w:type="paragraph" w:customStyle="1" w:styleId="180">
    <w:name w:val="xl4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color w:val="000000"/>
      <w:kern w:val="0"/>
      <w:szCs w:val="21"/>
    </w:rPr>
  </w:style>
  <w:style w:type="paragraph" w:customStyle="1" w:styleId="181">
    <w:name w:val="4"/>
    <w:basedOn w:val="1"/>
    <w:qFormat/>
    <w:uiPriority w:val="0"/>
    <w:rPr>
      <w:rFonts w:ascii="Times New Roman" w:hAnsi="Times New Roman" w:eastAsia="宋体" w:cs="Times New Roman"/>
      <w:sz w:val="24"/>
      <w:szCs w:val="24"/>
    </w:rPr>
  </w:style>
  <w:style w:type="paragraph" w:customStyle="1" w:styleId="182">
    <w:name w:val="默认段落字体 Para Char Char Char Char Char Char Char Char Char Char Char Char Char"/>
    <w:basedOn w:val="1"/>
    <w:qFormat/>
    <w:uiPriority w:val="0"/>
    <w:rPr>
      <w:rFonts w:ascii="Times New Roman" w:hAnsi="Times New Roman" w:eastAsia="宋体" w:cs="Times New Roman"/>
      <w:szCs w:val="20"/>
    </w:rPr>
  </w:style>
  <w:style w:type="paragraph" w:customStyle="1" w:styleId="183">
    <w:name w:val="_Style 17"/>
    <w:basedOn w:val="1"/>
    <w:next w:val="17"/>
    <w:qFormat/>
    <w:uiPriority w:val="0"/>
    <w:pPr>
      <w:ind w:left="-3" w:firstLine="423"/>
    </w:pPr>
    <w:rPr>
      <w:rFonts w:ascii="楷体_GB2312" w:hAnsi="Times New Roman" w:eastAsia="楷体_GB2312" w:cs="Times New Roman"/>
      <w:szCs w:val="20"/>
    </w:rPr>
  </w:style>
  <w:style w:type="paragraph" w:customStyle="1" w:styleId="184">
    <w:name w:val="Default"/>
    <w:unhideWhenUsed/>
    <w:qFormat/>
    <w:uiPriority w:val="99"/>
    <w:pPr>
      <w:widowControl w:val="0"/>
      <w:autoSpaceDE w:val="0"/>
      <w:autoSpaceDN w:val="0"/>
      <w:adjustRightInd w:val="0"/>
    </w:pPr>
    <w:rPr>
      <w:rFonts w:ascii="黑体" w:hAnsi="黑体" w:eastAsia="黑体" w:cs="Times New Roman"/>
      <w:color w:val="000000"/>
      <w:kern w:val="0"/>
      <w:sz w:val="24"/>
      <w:szCs w:val="20"/>
      <w:lang w:val="en-US" w:eastAsia="zh-CN" w:bidi="ar-SA"/>
    </w:rPr>
  </w:style>
  <w:style w:type="paragraph" w:customStyle="1" w:styleId="185">
    <w:name w:val="Char Char1 Char"/>
    <w:basedOn w:val="1"/>
    <w:qFormat/>
    <w:uiPriority w:val="0"/>
    <w:rPr>
      <w:rFonts w:ascii="Times New Roman" w:hAnsi="Times New Roman" w:eastAsia="宋体" w:cs="Times New Roman"/>
      <w:sz w:val="24"/>
      <w:szCs w:val="20"/>
    </w:rPr>
  </w:style>
  <w:style w:type="paragraph" w:customStyle="1" w:styleId="186">
    <w:name w:val="xl74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Courier New" w:hAnsi="Courier New" w:eastAsia="Arial Unicode MS" w:cs="Times New Roman"/>
      <w:kern w:val="0"/>
      <w:sz w:val="24"/>
      <w:szCs w:val="24"/>
    </w:rPr>
  </w:style>
  <w:style w:type="paragraph" w:customStyle="1" w:styleId="187">
    <w:name w:val="样式 标题 1 + 首行缩进:  2 字符"/>
    <w:basedOn w:val="2"/>
    <w:qFormat/>
    <w:uiPriority w:val="0"/>
    <w:pPr>
      <w:spacing w:before="80" w:after="80" w:line="560" w:lineRule="exact"/>
    </w:pPr>
    <w:rPr>
      <w:sz w:val="36"/>
      <w:szCs w:val="20"/>
    </w:rPr>
  </w:style>
  <w:style w:type="table" w:customStyle="1" w:styleId="188">
    <w:name w:val="网格型1"/>
    <w:basedOn w:val="36"/>
    <w:qFormat/>
    <w:uiPriority w:val="0"/>
    <w:pPr>
      <w:widowControl w:val="0"/>
      <w:jc w:val="both"/>
    </w:pPr>
    <w:rPr>
      <w:rFonts w:ascii="Times New Roman" w:hAnsi="Times New Roman" w:eastAsia="Times New Roman" w:cs="Times New Roman"/>
      <w:szCs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189">
    <w:name w:val="List Paragraph"/>
    <w:basedOn w:val="1"/>
    <w:qFormat/>
    <w:uiPriority w:val="0"/>
    <w:pPr>
      <w:ind w:firstLine="420" w:firstLineChars="200"/>
    </w:pPr>
    <w:rPr>
      <w:rFonts w:ascii="Calibri" w:hAnsi="Calibri" w:eastAsia="宋体" w:cs="Times New Roman"/>
    </w:rPr>
  </w:style>
  <w:style w:type="character" w:customStyle="1" w:styleId="190">
    <w:name w:val="表格文字 Char"/>
    <w:link w:val="150"/>
    <w:qFormat/>
    <w:uiPriority w:val="0"/>
    <w:rPr>
      <w:rFonts w:ascii="仿宋_GB2312" w:hAnsi="Arial Black" w:eastAsia="仿宋_GB2312" w:cs="Times New Roman"/>
      <w:kern w:val="44"/>
      <w:sz w:val="24"/>
      <w:szCs w:val="20"/>
    </w:rPr>
  </w:style>
  <w:style w:type="paragraph" w:customStyle="1" w:styleId="191">
    <w:name w:val="简单回函地址"/>
    <w:basedOn w:val="1"/>
    <w:qFormat/>
    <w:uiPriority w:val="0"/>
    <w:rPr>
      <w:rFonts w:ascii="Times New Roman" w:hAnsi="Times New Roman" w:eastAsia="宋体" w:cs="Times New Roman"/>
      <w:sz w:val="24"/>
      <w:szCs w:val="20"/>
    </w:rPr>
  </w:style>
  <w:style w:type="paragraph" w:customStyle="1" w:styleId="192">
    <w:name w:val="2级"/>
    <w:basedOn w:val="1"/>
    <w:qFormat/>
    <w:uiPriority w:val="0"/>
    <w:pPr>
      <w:spacing w:line="520" w:lineRule="exact"/>
      <w:ind w:firstLine="200" w:firstLineChars="200"/>
      <w:jc w:val="left"/>
    </w:pPr>
    <w:rPr>
      <w:rFonts w:ascii="Times New Roman" w:hAnsi="Times New Roman" w:eastAsia="宋体" w:cs="Times New Roman"/>
      <w:b/>
      <w:bCs/>
      <w:sz w:val="24"/>
      <w:szCs w:val="24"/>
    </w:rPr>
  </w:style>
  <w:style w:type="character" w:customStyle="1" w:styleId="193">
    <w:name w:val="表格文字 Char Char"/>
    <w:uiPriority w:val="0"/>
    <w:rPr>
      <w:rFonts w:ascii="宋体"/>
      <w:color w:val="000000"/>
      <w:sz w:val="24"/>
    </w:rPr>
  </w:style>
  <w:style w:type="character" w:customStyle="1" w:styleId="194">
    <w:name w:val="网格型c Char"/>
    <w:qFormat/>
    <w:uiPriority w:val="0"/>
    <w:rPr>
      <w:rFonts w:eastAsia="宋体"/>
      <w:kern w:val="2"/>
      <w:sz w:val="21"/>
      <w:szCs w:val="21"/>
      <w:lang w:val="en-US" w:eastAsia="zh-CN" w:bidi="ar-SA"/>
    </w:rPr>
  </w:style>
  <w:style w:type="character" w:customStyle="1" w:styleId="195">
    <w:name w:val="宋体 小四 Char"/>
    <w:link w:val="196"/>
    <w:qFormat/>
    <w:uiPriority w:val="0"/>
    <w:rPr>
      <w:rFonts w:hAnsi="宋体" w:eastAsia="宋体"/>
      <w:sz w:val="24"/>
      <w:szCs w:val="24"/>
    </w:rPr>
  </w:style>
  <w:style w:type="paragraph" w:customStyle="1" w:styleId="196">
    <w:name w:val="宋体 小四"/>
    <w:basedOn w:val="1"/>
    <w:link w:val="195"/>
    <w:qFormat/>
    <w:uiPriority w:val="0"/>
    <w:pPr>
      <w:spacing w:line="360" w:lineRule="auto"/>
      <w:ind w:firstLine="200" w:firstLineChars="200"/>
    </w:pPr>
    <w:rPr>
      <w:rFonts w:hAnsi="宋体" w:eastAsia="宋体"/>
      <w:sz w:val="24"/>
      <w:szCs w:val="24"/>
    </w:rPr>
  </w:style>
  <w:style w:type="character" w:customStyle="1" w:styleId="197">
    <w:name w:val="正文首行缩进 2 Char"/>
    <w:link w:val="35"/>
    <w:qFormat/>
    <w:uiPriority w:val="0"/>
    <w:rPr>
      <w:szCs w:val="24"/>
    </w:rPr>
  </w:style>
  <w:style w:type="character" w:customStyle="1" w:styleId="198">
    <w:name w:val="表格正文 Char"/>
    <w:link w:val="170"/>
    <w:qFormat/>
    <w:uiPriority w:val="0"/>
    <w:rPr>
      <w:rFonts w:ascii="宋体" w:hAnsi="Times New Roman" w:eastAsia="宋体" w:cs="Times New Roman"/>
      <w:snapToGrid w:val="0"/>
      <w:spacing w:val="4"/>
      <w:w w:val="90"/>
      <w:kern w:val="0"/>
      <w:sz w:val="24"/>
      <w:szCs w:val="20"/>
    </w:rPr>
  </w:style>
  <w:style w:type="character" w:customStyle="1" w:styleId="199">
    <w:name w:val="表格标题新 Char"/>
    <w:link w:val="200"/>
    <w:qFormat/>
    <w:uiPriority w:val="0"/>
    <w:rPr>
      <w:rFonts w:eastAsia="黑体"/>
      <w:b/>
      <w:color w:val="000000"/>
      <w:spacing w:val="-20"/>
      <w:kern w:val="21"/>
      <w:sz w:val="24"/>
      <w:szCs w:val="24"/>
      <w:u w:color="000000"/>
    </w:rPr>
  </w:style>
  <w:style w:type="paragraph" w:customStyle="1" w:styleId="200">
    <w:name w:val="表格标题新"/>
    <w:basedOn w:val="1"/>
    <w:link w:val="199"/>
    <w:qFormat/>
    <w:uiPriority w:val="0"/>
    <w:pPr>
      <w:widowControl/>
      <w:spacing w:before="187" w:line="651" w:lineRule="atLeast"/>
      <w:ind w:firstLine="561"/>
      <w:jc w:val="center"/>
      <w:textAlignment w:val="baseline"/>
    </w:pPr>
    <w:rPr>
      <w:rFonts w:eastAsia="黑体"/>
      <w:b/>
      <w:color w:val="000000"/>
      <w:spacing w:val="-20"/>
      <w:kern w:val="21"/>
      <w:sz w:val="24"/>
      <w:szCs w:val="24"/>
      <w:u w:color="000000"/>
    </w:rPr>
  </w:style>
  <w:style w:type="paragraph" w:customStyle="1" w:styleId="201">
    <w:name w:val="Char4"/>
    <w:basedOn w:val="1"/>
    <w:qFormat/>
    <w:uiPriority w:val="0"/>
    <w:rPr>
      <w:rFonts w:ascii="Times New Roman" w:hAnsi="Times New Roman" w:eastAsia="宋体" w:cs="Times New Roman"/>
      <w:szCs w:val="24"/>
    </w:rPr>
  </w:style>
  <w:style w:type="paragraph" w:customStyle="1" w:styleId="202">
    <w:name w:val="正文文本 21"/>
    <w:basedOn w:val="1"/>
    <w:qFormat/>
    <w:uiPriority w:val="0"/>
    <w:pPr>
      <w:adjustRightInd w:val="0"/>
      <w:spacing w:line="240" w:lineRule="atLeast"/>
      <w:jc w:val="center"/>
      <w:textAlignment w:val="baseline"/>
    </w:pPr>
    <w:rPr>
      <w:rFonts w:ascii="宋体" w:hAnsi="Times New Roman" w:eastAsia="宋体" w:cs="Times New Roman"/>
      <w:kern w:val="0"/>
      <w:sz w:val="24"/>
      <w:szCs w:val="20"/>
    </w:rPr>
  </w:style>
  <w:style w:type="paragraph" w:customStyle="1" w:styleId="203">
    <w:name w:val="Char Char1 Char Char Char Char Char Char Char Char"/>
    <w:basedOn w:val="1"/>
    <w:qFormat/>
    <w:uiPriority w:val="0"/>
    <w:rPr>
      <w:rFonts w:ascii="Times New Roman" w:hAnsi="Times New Roman" w:eastAsia="宋体" w:cs="Times New Roman"/>
      <w:sz w:val="24"/>
      <w:szCs w:val="24"/>
    </w:rPr>
  </w:style>
  <w:style w:type="paragraph" w:customStyle="1" w:styleId="204">
    <w:name w:val="Char Char1 Char Char Char Char Char Char Char Char Char Char Char Char"/>
    <w:basedOn w:val="1"/>
    <w:qFormat/>
    <w:uiPriority w:val="0"/>
    <w:rPr>
      <w:rFonts w:ascii="Times New Roman" w:hAnsi="Times New Roman" w:eastAsia="宋体" w:cs="Times New Roman"/>
      <w:sz w:val="24"/>
      <w:szCs w:val="24"/>
    </w:rPr>
  </w:style>
  <w:style w:type="paragraph" w:customStyle="1" w:styleId="205">
    <w:name w:val="表格样式"/>
    <w:basedOn w:val="1"/>
    <w:qFormat/>
    <w:uiPriority w:val="0"/>
    <w:pPr>
      <w:adjustRightInd w:val="0"/>
      <w:snapToGrid w:val="0"/>
    </w:pPr>
    <w:rPr>
      <w:rFonts w:ascii="Times New Roman" w:hAnsi="Times New Roman" w:eastAsia="宋体" w:cs="Times New Roman"/>
      <w:sz w:val="24"/>
      <w:szCs w:val="24"/>
    </w:rPr>
  </w:style>
  <w:style w:type="paragraph" w:customStyle="1" w:styleId="206">
    <w:name w:val="正文1"/>
    <w:basedOn w:val="1"/>
    <w:qFormat/>
    <w:uiPriority w:val="0"/>
    <w:pPr>
      <w:adjustRightInd w:val="0"/>
      <w:snapToGrid w:val="0"/>
      <w:spacing w:line="360" w:lineRule="auto"/>
      <w:ind w:firstLine="482"/>
    </w:pPr>
    <w:rPr>
      <w:rFonts w:ascii="宋体" w:hAnsi="宋体" w:eastAsia="宋体" w:cs="Times New Roman"/>
      <w:snapToGrid w:val="0"/>
      <w:kern w:val="0"/>
      <w:sz w:val="24"/>
      <w:szCs w:val="24"/>
    </w:rPr>
  </w:style>
  <w:style w:type="paragraph" w:customStyle="1" w:styleId="207">
    <w:name w:val="表字1"/>
    <w:basedOn w:val="1"/>
    <w:qFormat/>
    <w:uiPriority w:val="0"/>
    <w:pPr>
      <w:adjustRightInd w:val="0"/>
      <w:spacing w:line="360" w:lineRule="auto"/>
      <w:jc w:val="center"/>
      <w:textAlignment w:val="baseline"/>
    </w:pPr>
    <w:rPr>
      <w:rFonts w:ascii="宋体" w:hAnsi="Times New Roman" w:eastAsia="宋体" w:cs="Times New Roman"/>
      <w:kern w:val="0"/>
      <w:szCs w:val="20"/>
    </w:rPr>
  </w:style>
  <w:style w:type="paragraph" w:customStyle="1" w:styleId="208">
    <w:name w:val="图目"/>
    <w:basedOn w:val="1"/>
    <w:qFormat/>
    <w:uiPriority w:val="0"/>
    <w:pPr>
      <w:snapToGrid w:val="0"/>
      <w:spacing w:before="360" w:after="360" w:line="440" w:lineRule="atLeast"/>
      <w:jc w:val="center"/>
    </w:pPr>
    <w:rPr>
      <w:rFonts w:ascii="黑体" w:hAnsi="Arial" w:eastAsia="黑体" w:cs="Times New Roman"/>
      <w:sz w:val="24"/>
      <w:szCs w:val="20"/>
    </w:rPr>
  </w:style>
  <w:style w:type="paragraph" w:customStyle="1" w:styleId="209">
    <w:name w:val="样式 黑色 右侧:  0.2 厘米 行距: 1.5 倍行距"/>
    <w:basedOn w:val="1"/>
    <w:qFormat/>
    <w:uiPriority w:val="0"/>
    <w:pPr>
      <w:spacing w:line="360" w:lineRule="auto"/>
    </w:pPr>
    <w:rPr>
      <w:rFonts w:ascii="宋体" w:hAnsi="宋体" w:eastAsia="宋体" w:cs="宋体"/>
      <w:color w:val="000000"/>
      <w:sz w:val="24"/>
      <w:szCs w:val="20"/>
    </w:rPr>
  </w:style>
  <w:style w:type="paragraph" w:customStyle="1" w:styleId="210">
    <w:name w:val="Char Char1 Char Char Char Char Char Char Char Char Char Char"/>
    <w:basedOn w:val="1"/>
    <w:qFormat/>
    <w:uiPriority w:val="0"/>
    <w:rPr>
      <w:rFonts w:ascii="Times New Roman" w:hAnsi="Times New Roman" w:eastAsia="宋体" w:cs="Times New Roman"/>
      <w:sz w:val="24"/>
      <w:szCs w:val="24"/>
    </w:rPr>
  </w:style>
  <w:style w:type="paragraph" w:customStyle="1" w:styleId="211">
    <w:name w:val="Char Char1 Char Char"/>
    <w:basedOn w:val="1"/>
    <w:qFormat/>
    <w:uiPriority w:val="0"/>
    <w:rPr>
      <w:rFonts w:ascii="Times New Roman" w:hAnsi="Times New Roman" w:eastAsia="宋体" w:cs="Times New Roman"/>
      <w:sz w:val="24"/>
      <w:szCs w:val="24"/>
    </w:rPr>
  </w:style>
  <w:style w:type="paragraph" w:customStyle="1" w:styleId="212">
    <w:name w:val="Char Char Char Char Char Char Char Char Char Char"/>
    <w:basedOn w:val="1"/>
    <w:qFormat/>
    <w:uiPriority w:val="0"/>
    <w:rPr>
      <w:rFonts w:ascii="Times New Roman" w:hAnsi="Times New Roman" w:eastAsia="宋体" w:cs="Times New Roman"/>
      <w:sz w:val="24"/>
      <w:szCs w:val="21"/>
    </w:rPr>
  </w:style>
  <w:style w:type="paragraph" w:customStyle="1" w:styleId="213">
    <w:name w:val="reader-word-layer"/>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214">
    <w:name w:val="Char Char Char Char"/>
    <w:basedOn w:val="13"/>
    <w:qFormat/>
    <w:uiPriority w:val="0"/>
    <w:pPr>
      <w:widowControl/>
      <w:adjustRightInd w:val="0"/>
      <w:snapToGrid w:val="0"/>
      <w:spacing w:line="360" w:lineRule="auto"/>
      <w:jc w:val="left"/>
    </w:pPr>
    <w:rPr>
      <w:rFonts w:ascii="Tahoma" w:hAnsi="Tahoma" w:cs="宋体"/>
      <w:kern w:val="0"/>
      <w:sz w:val="24"/>
      <w:szCs w:val="24"/>
    </w:rPr>
  </w:style>
  <w:style w:type="paragraph" w:customStyle="1" w:styleId="215">
    <w:name w:val="表格文字2"/>
    <w:basedOn w:val="1"/>
    <w:qFormat/>
    <w:uiPriority w:val="0"/>
    <w:pPr>
      <w:adjustRightInd w:val="0"/>
      <w:spacing w:before="60"/>
      <w:jc w:val="center"/>
      <w:textAlignment w:val="baseline"/>
    </w:pPr>
    <w:rPr>
      <w:rFonts w:ascii="宋体" w:hAnsi="Times New Roman" w:eastAsia="宋体" w:cs="Times New Roman"/>
      <w:kern w:val="0"/>
      <w:sz w:val="24"/>
      <w:szCs w:val="20"/>
    </w:rPr>
  </w:style>
  <w:style w:type="paragraph" w:customStyle="1" w:styleId="216">
    <w:name w:val="表"/>
    <w:basedOn w:val="1"/>
    <w:qFormat/>
    <w:uiPriority w:val="0"/>
    <w:pPr>
      <w:snapToGrid w:val="0"/>
      <w:jc w:val="center"/>
    </w:pPr>
    <w:rPr>
      <w:rFonts w:ascii="Times New Roman" w:hAnsi="Times New Roman" w:eastAsia="宋体" w:cs="Times New Roman"/>
      <w:szCs w:val="20"/>
    </w:rPr>
  </w:style>
  <w:style w:type="paragraph" w:customStyle="1" w:styleId="217">
    <w:name w:val="小四表文左齐"/>
    <w:basedOn w:val="1"/>
    <w:qFormat/>
    <w:uiPriority w:val="0"/>
    <w:rPr>
      <w:rFonts w:ascii="宋体" w:hAnsi="宋体" w:eastAsia="宋体" w:cs="Times New Roman"/>
      <w:sz w:val="18"/>
      <w:szCs w:val="18"/>
    </w:rPr>
  </w:style>
  <w:style w:type="paragraph" w:customStyle="1" w:styleId="218">
    <w:name w:val="Char Char Char Char Char Char Char Char Char1 Char Char Char Char Char Char Char Char1 Char Char Char Char"/>
    <w:basedOn w:val="1"/>
    <w:qFormat/>
    <w:uiPriority w:val="0"/>
    <w:pPr>
      <w:snapToGrid w:val="0"/>
      <w:spacing w:line="360" w:lineRule="auto"/>
      <w:ind w:firstLine="200" w:firstLineChars="200"/>
    </w:pPr>
    <w:rPr>
      <w:rFonts w:ascii="Times New Roman" w:hAnsi="Times New Roman" w:eastAsia="仿宋_GB2312" w:cs="Times New Roman"/>
      <w:sz w:val="24"/>
      <w:szCs w:val="24"/>
    </w:rPr>
  </w:style>
  <w:style w:type="paragraph" w:customStyle="1" w:styleId="219">
    <w:name w:val="_Style 46"/>
    <w:basedOn w:val="13"/>
    <w:qFormat/>
    <w:uiPriority w:val="0"/>
    <w:pPr>
      <w:widowControl/>
      <w:adjustRightInd w:val="0"/>
      <w:snapToGrid w:val="0"/>
      <w:spacing w:line="360" w:lineRule="auto"/>
      <w:jc w:val="left"/>
    </w:pPr>
    <w:rPr>
      <w:rFonts w:ascii="Tahoma" w:hAnsi="Tahoma" w:cs="宋体"/>
      <w:kern w:val="0"/>
      <w:sz w:val="24"/>
      <w:szCs w:val="24"/>
    </w:rPr>
  </w:style>
  <w:style w:type="paragraph" w:customStyle="1" w:styleId="220">
    <w:name w:val="8--"/>
    <w:basedOn w:val="1"/>
    <w:qFormat/>
    <w:uiPriority w:val="0"/>
    <w:pPr>
      <w:adjustRightInd w:val="0"/>
      <w:spacing w:line="360" w:lineRule="atLeast"/>
      <w:jc w:val="left"/>
      <w:textAlignment w:val="baseline"/>
    </w:pPr>
    <w:rPr>
      <w:rFonts w:ascii="Times New Roman" w:hAnsi="Times New Roman" w:eastAsia="宋体" w:cs="Times New Roman"/>
      <w:kern w:val="0"/>
      <w:sz w:val="24"/>
      <w:szCs w:val="20"/>
    </w:rPr>
  </w:style>
  <w:style w:type="paragraph" w:customStyle="1" w:styleId="221">
    <w:name w:val="Char Char Char Char Char Char Char Char Char Char Char Char Char Char Char Char"/>
    <w:basedOn w:val="1"/>
    <w:qFormat/>
    <w:uiPriority w:val="0"/>
    <w:rPr>
      <w:rFonts w:ascii="Times New Roman" w:hAnsi="Times New Roman" w:eastAsia="宋体" w:cs="Times New Roman"/>
      <w:sz w:val="24"/>
      <w:szCs w:val="24"/>
    </w:rPr>
  </w:style>
  <w:style w:type="paragraph" w:customStyle="1" w:styleId="222">
    <w:name w:val="默认段落字体 Para Char Char Char Char Char Char1 Char Char Char Char Char Char Char"/>
    <w:basedOn w:val="1"/>
    <w:qFormat/>
    <w:uiPriority w:val="0"/>
    <w:rPr>
      <w:rFonts w:ascii="Times New Roman" w:hAnsi="Times New Roman" w:eastAsia="宋体" w:cs="Times New Roman"/>
      <w:sz w:val="24"/>
      <w:szCs w:val="24"/>
    </w:rPr>
  </w:style>
  <w:style w:type="paragraph" w:customStyle="1" w:styleId="223">
    <w:name w:val="Char Char1 Char Char Char Char Char Char"/>
    <w:basedOn w:val="1"/>
    <w:qFormat/>
    <w:uiPriority w:val="0"/>
    <w:rPr>
      <w:rFonts w:ascii="Times New Roman" w:hAnsi="Times New Roman" w:eastAsia="宋体" w:cs="Times New Roman"/>
      <w:sz w:val="24"/>
      <w:szCs w:val="24"/>
    </w:rPr>
  </w:style>
  <w:style w:type="character" w:customStyle="1" w:styleId="224">
    <w:name w:val="正文首行缩进 2 Char1"/>
    <w:basedOn w:val="126"/>
    <w:semiHidden/>
    <w:qFormat/>
    <w:uiPriority w:val="99"/>
    <w:rPr>
      <w:rFonts w:eastAsia="宋体"/>
      <w:bCs w:val="0"/>
      <w:sz w:val="24"/>
      <w:szCs w:val="24"/>
    </w:rPr>
  </w:style>
  <w:style w:type="paragraph" w:customStyle="1" w:styleId="225">
    <w:name w:val="样式3"/>
    <w:basedOn w:val="1"/>
    <w:qFormat/>
    <w:uiPriority w:val="0"/>
    <w:rPr>
      <w:rFonts w:ascii="Times New Roman" w:hAnsi="Times New Roman" w:eastAsia="宋体" w:cs="Times New Roman"/>
      <w:szCs w:val="24"/>
    </w:rPr>
  </w:style>
  <w:style w:type="paragraph" w:customStyle="1" w:styleId="226">
    <w:name w:val="样式1"/>
    <w:basedOn w:val="1"/>
    <w:qFormat/>
    <w:uiPriority w:val="0"/>
    <w:pPr>
      <w:spacing w:line="360" w:lineRule="auto"/>
      <w:ind w:firstLine="510"/>
    </w:pPr>
    <w:rPr>
      <w:rFonts w:ascii="Times New Roman" w:hAnsi="Times New Roman" w:eastAsia="宋体" w:cs="Times New Roman"/>
      <w:sz w:val="24"/>
      <w:szCs w:val="20"/>
    </w:rPr>
  </w:style>
  <w:style w:type="paragraph" w:customStyle="1" w:styleId="227">
    <w:name w:val="正文楷体"/>
    <w:basedOn w:val="1"/>
    <w:qFormat/>
    <w:uiPriority w:val="0"/>
    <w:rPr>
      <w:rFonts w:ascii="宋体" w:hAnsi="Times New Roman" w:eastAsia="楷体_GB2312" w:cs="Times New Roman"/>
      <w:sz w:val="24"/>
      <w:szCs w:val="24"/>
    </w:rPr>
  </w:style>
  <w:style w:type="table" w:customStyle="1" w:styleId="228">
    <w:name w:val="网格型2"/>
    <w:basedOn w:val="36"/>
    <w:qFormat/>
    <w:uiPriority w:val="0"/>
    <w:pPr>
      <w:widowControl w:val="0"/>
      <w:jc w:val="both"/>
    </w:pPr>
    <w:rPr>
      <w:rFonts w:ascii="Times New Roman" w:hAnsi="Times New Roman" w:eastAsia="宋体" w:cs="Times New Roman"/>
      <w:szCs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229">
    <w:name w:val="Char4 Char Char Char Char Char Char Char Char Char Char Char Char Char Char Char Char Char1 Char Char Char Char"/>
    <w:basedOn w:val="1"/>
    <w:qFormat/>
    <w:uiPriority w:val="0"/>
    <w:pPr>
      <w:spacing w:line="240" w:lineRule="exact"/>
      <w:ind w:firstLine="200" w:firstLineChars="200"/>
    </w:pPr>
    <w:rPr>
      <w:rFonts w:ascii="Times New Roman" w:hAnsi="Times New Roman" w:eastAsia="宋体" w:cs="Times New Roman"/>
      <w:szCs w:val="24"/>
    </w:rPr>
  </w:style>
  <w:style w:type="paragraph" w:customStyle="1" w:styleId="230">
    <w:name w:val="_Style 9"/>
    <w:basedOn w:val="1"/>
    <w:qFormat/>
    <w:uiPriority w:val="0"/>
    <w:rPr>
      <w:rFonts w:ascii="Times New Roman" w:hAnsi="Times New Roman" w:eastAsia="宋体" w:cs="Times New Roman"/>
      <w:sz w:val="24"/>
      <w:szCs w:val="24"/>
    </w:rPr>
  </w:style>
  <w:style w:type="paragraph" w:customStyle="1" w:styleId="231">
    <w:name w:val="字元 字元2"/>
    <w:basedOn w:val="1"/>
    <w:qFormat/>
    <w:uiPriority w:val="0"/>
    <w:rPr>
      <w:rFonts w:ascii="Times New Roman" w:hAnsi="Times New Roman" w:eastAsia="宋体" w:cs="Times New Roman"/>
      <w:sz w:val="24"/>
      <w:szCs w:val="24"/>
    </w:rPr>
  </w:style>
  <w:style w:type="paragraph" w:customStyle="1" w:styleId="232">
    <w:name w:val="表格内容"/>
    <w:basedOn w:val="1"/>
    <w:qFormat/>
    <w:uiPriority w:val="0"/>
    <w:pPr>
      <w:adjustRightInd w:val="0"/>
      <w:jc w:val="center"/>
    </w:pPr>
    <w:rPr>
      <w:rFonts w:ascii="Times New Roman" w:hAnsi="Times New Roman" w:eastAsia="宋体" w:cs="Times New Roman"/>
      <w:kern w:val="0"/>
      <w:sz w:val="24"/>
      <w:szCs w:val="20"/>
    </w:rPr>
  </w:style>
  <w:style w:type="character" w:customStyle="1" w:styleId="233">
    <w:name w:val="标题 6 Char"/>
    <w:basedOn w:val="38"/>
    <w:link w:val="8"/>
    <w:qFormat/>
    <w:uiPriority w:val="0"/>
    <w:rPr>
      <w:rFonts w:ascii="Arial" w:hAnsi="Arial" w:eastAsia="黑体" w:cs="宋体"/>
      <w:b/>
      <w:bCs/>
      <w:sz w:val="24"/>
      <w:szCs w:val="24"/>
      <w:lang w:val="zh-CN" w:eastAsia="zh-CN"/>
    </w:rPr>
  </w:style>
  <w:style w:type="character" w:customStyle="1" w:styleId="234">
    <w:name w:val="标题 7 Char"/>
    <w:basedOn w:val="38"/>
    <w:link w:val="9"/>
    <w:qFormat/>
    <w:uiPriority w:val="0"/>
    <w:rPr>
      <w:rFonts w:ascii="宋体" w:hAnsi="Times New Roman" w:eastAsia="宋体" w:cs="宋体"/>
      <w:b/>
      <w:bCs/>
      <w:sz w:val="24"/>
      <w:szCs w:val="24"/>
      <w:lang w:val="zh-CN" w:eastAsia="zh-CN"/>
    </w:rPr>
  </w:style>
  <w:style w:type="character" w:customStyle="1" w:styleId="235">
    <w:name w:val="标题 8 Char"/>
    <w:basedOn w:val="38"/>
    <w:link w:val="10"/>
    <w:qFormat/>
    <w:uiPriority w:val="0"/>
    <w:rPr>
      <w:rFonts w:ascii="Arial" w:hAnsi="Arial" w:eastAsia="黑体" w:cs="宋体"/>
      <w:sz w:val="24"/>
      <w:szCs w:val="24"/>
      <w:lang w:val="zh-CN" w:eastAsia="zh-CN"/>
    </w:rPr>
  </w:style>
  <w:style w:type="character" w:customStyle="1" w:styleId="236">
    <w:name w:val="标题 9 Char"/>
    <w:basedOn w:val="38"/>
    <w:link w:val="11"/>
    <w:qFormat/>
    <w:uiPriority w:val="0"/>
    <w:rPr>
      <w:rFonts w:ascii="Arial" w:hAnsi="Arial" w:eastAsia="黑体" w:cs="宋体"/>
      <w:szCs w:val="21"/>
      <w:lang w:val="zh-CN" w:eastAsia="zh-CN"/>
    </w:rPr>
  </w:style>
  <w:style w:type="character" w:customStyle="1" w:styleId="237">
    <w:name w:val="普通(网站) Char"/>
    <w:link w:val="32"/>
    <w:qFormat/>
    <w:locked/>
    <w:uiPriority w:val="0"/>
    <w:rPr>
      <w:rFonts w:ascii="宋体" w:hAnsi="宋体" w:eastAsia="宋体" w:cs="宋体"/>
      <w:kern w:val="0"/>
      <w:sz w:val="24"/>
      <w:szCs w:val="24"/>
    </w:rPr>
  </w:style>
  <w:style w:type="character" w:customStyle="1" w:styleId="238">
    <w:name w:val="Char Char21"/>
    <w:qFormat/>
    <w:uiPriority w:val="0"/>
    <w:rPr>
      <w:rFonts w:ascii="Arial" w:hAnsi="Arial" w:eastAsia="宋体" w:cs="Arial"/>
      <w:sz w:val="24"/>
      <w:szCs w:val="24"/>
      <w:lang w:val="en-US" w:eastAsia="zh-CN" w:bidi="ar-SA"/>
    </w:rPr>
  </w:style>
  <w:style w:type="character" w:customStyle="1" w:styleId="239">
    <w:name w:val="layui-layer-tabnow"/>
    <w:qFormat/>
    <w:uiPriority w:val="0"/>
    <w:rPr>
      <w:bdr w:val="single" w:color="CCCCCC" w:sz="6" w:space="0"/>
      <w:shd w:val="clear" w:color="auto" w:fill="FFFFFF"/>
    </w:rPr>
  </w:style>
  <w:style w:type="character" w:customStyle="1" w:styleId="240">
    <w:name w:val="样式 标题4 + (中文) 宋体 Char"/>
    <w:basedOn w:val="241"/>
    <w:qFormat/>
    <w:uiPriority w:val="0"/>
    <w:rPr>
      <w:rFonts w:eastAsia="宋体"/>
      <w:kern w:val="2"/>
      <w:sz w:val="30"/>
      <w:szCs w:val="32"/>
      <w:lang w:val="en-US" w:eastAsia="zh-CN" w:bidi="ar-SA"/>
    </w:rPr>
  </w:style>
  <w:style w:type="character" w:customStyle="1" w:styleId="241">
    <w:name w:val="标题4 Char"/>
    <w:qFormat/>
    <w:uiPriority w:val="0"/>
    <w:rPr>
      <w:rFonts w:eastAsia="宋体"/>
      <w:b/>
      <w:bCs/>
      <w:kern w:val="2"/>
      <w:sz w:val="30"/>
      <w:szCs w:val="32"/>
      <w:lang w:val="en-US" w:eastAsia="zh-CN" w:bidi="ar-SA"/>
    </w:rPr>
  </w:style>
  <w:style w:type="character" w:customStyle="1" w:styleId="242">
    <w:name w:val="标题 3 Char1"/>
    <w:qFormat/>
    <w:uiPriority w:val="0"/>
    <w:rPr>
      <w:rFonts w:eastAsia="宋体"/>
      <w:b/>
      <w:bCs/>
      <w:kern w:val="2"/>
      <w:sz w:val="32"/>
      <w:szCs w:val="32"/>
      <w:lang w:val="en-US" w:eastAsia="zh-CN" w:bidi="ar-SA"/>
    </w:rPr>
  </w:style>
  <w:style w:type="character" w:customStyle="1" w:styleId="243">
    <w:name w:val="样式 自动设置 Char"/>
    <w:link w:val="244"/>
    <w:qFormat/>
    <w:uiPriority w:val="0"/>
    <w:rPr>
      <w:rFonts w:eastAsia="宋体" w:cs="宋体"/>
      <w:sz w:val="24"/>
      <w:szCs w:val="24"/>
    </w:rPr>
  </w:style>
  <w:style w:type="paragraph" w:customStyle="1" w:styleId="244">
    <w:name w:val="样式 自动设置"/>
    <w:basedOn w:val="1"/>
    <w:link w:val="243"/>
    <w:qFormat/>
    <w:uiPriority w:val="0"/>
    <w:pPr>
      <w:autoSpaceDE w:val="0"/>
      <w:autoSpaceDN w:val="0"/>
      <w:adjustRightInd w:val="0"/>
      <w:snapToGrid w:val="0"/>
      <w:spacing w:before="50" w:beforeLines="50" w:line="288" w:lineRule="auto"/>
      <w:ind w:firstLine="200" w:firstLineChars="200"/>
    </w:pPr>
    <w:rPr>
      <w:rFonts w:eastAsia="宋体" w:cs="宋体"/>
      <w:sz w:val="24"/>
      <w:szCs w:val="24"/>
    </w:rPr>
  </w:style>
  <w:style w:type="character" w:customStyle="1" w:styleId="245">
    <w:name w:val="正文1 Char1"/>
    <w:qFormat/>
    <w:uiPriority w:val="0"/>
    <w:rPr>
      <w:rFonts w:ascii="宋体" w:hAnsi="宋体" w:eastAsia="宋体"/>
      <w:kern w:val="2"/>
      <w:sz w:val="28"/>
      <w:szCs w:val="24"/>
      <w:lang w:val="en-US" w:eastAsia="zh-CN" w:bidi="ar-SA"/>
    </w:rPr>
  </w:style>
  <w:style w:type="character" w:customStyle="1" w:styleId="246">
    <w:name w:val="first-child"/>
    <w:basedOn w:val="38"/>
    <w:qFormat/>
    <w:uiPriority w:val="0"/>
  </w:style>
  <w:style w:type="character" w:customStyle="1" w:styleId="247">
    <w:name w:val="表头 Char"/>
    <w:link w:val="155"/>
    <w:qFormat/>
    <w:uiPriority w:val="0"/>
    <w:rPr>
      <w:rFonts w:ascii="宋体" w:hAnsi="Times New Roman" w:eastAsia="仿宋_GB2312" w:cs="Times New Roman"/>
      <w:snapToGrid w:val="0"/>
      <w:spacing w:val="4"/>
      <w:kern w:val="0"/>
      <w:sz w:val="28"/>
      <w:szCs w:val="20"/>
    </w:rPr>
  </w:style>
  <w:style w:type="character" w:customStyle="1" w:styleId="248">
    <w:name w:val="表格小四 Char"/>
    <w:link w:val="249"/>
    <w:qFormat/>
    <w:uiPriority w:val="0"/>
    <w:rPr>
      <w:rFonts w:ascii="宋体" w:hAnsi="宋体" w:eastAsia="宋体"/>
      <w:sz w:val="24"/>
      <w:szCs w:val="24"/>
    </w:rPr>
  </w:style>
  <w:style w:type="paragraph" w:customStyle="1" w:styleId="249">
    <w:name w:val="表格小四"/>
    <w:basedOn w:val="1"/>
    <w:link w:val="248"/>
    <w:qFormat/>
    <w:uiPriority w:val="0"/>
    <w:pPr>
      <w:adjustRightInd w:val="0"/>
      <w:snapToGrid w:val="0"/>
      <w:spacing w:line="480" w:lineRule="exact"/>
    </w:pPr>
    <w:rPr>
      <w:rFonts w:ascii="宋体" w:hAnsi="宋体" w:eastAsia="宋体"/>
      <w:sz w:val="24"/>
      <w:szCs w:val="24"/>
    </w:rPr>
  </w:style>
  <w:style w:type="character" w:customStyle="1" w:styleId="250">
    <w:name w:val="样式 正文缩进 + 首行缩进:  2 字符 Char"/>
    <w:link w:val="251"/>
    <w:qFormat/>
    <w:uiPriority w:val="0"/>
    <w:rPr>
      <w:rFonts w:eastAsia="宋体" w:cs="宋体"/>
      <w:sz w:val="28"/>
    </w:rPr>
  </w:style>
  <w:style w:type="paragraph" w:customStyle="1" w:styleId="251">
    <w:name w:val="样式 正文缩进 + 首行缩进:  2 字符"/>
    <w:basedOn w:val="6"/>
    <w:link w:val="250"/>
    <w:qFormat/>
    <w:uiPriority w:val="0"/>
    <w:pPr>
      <w:snapToGrid w:val="0"/>
      <w:spacing w:line="520" w:lineRule="atLeast"/>
      <w:ind w:firstLine="200"/>
    </w:pPr>
    <w:rPr>
      <w:rFonts w:cs="宋体"/>
      <w:sz w:val="28"/>
      <w:szCs w:val="22"/>
    </w:rPr>
  </w:style>
  <w:style w:type="character" w:customStyle="1" w:styleId="252">
    <w:name w:val="环评正文 Char1"/>
    <w:link w:val="253"/>
    <w:qFormat/>
    <w:uiPriority w:val="0"/>
    <w:rPr>
      <w:bCs/>
      <w:sz w:val="24"/>
      <w:szCs w:val="24"/>
    </w:rPr>
  </w:style>
  <w:style w:type="paragraph" w:customStyle="1" w:styleId="253">
    <w:name w:val="环评正文"/>
    <w:link w:val="252"/>
    <w:qFormat/>
    <w:uiPriority w:val="0"/>
    <w:pPr>
      <w:spacing w:line="440" w:lineRule="exact"/>
      <w:ind w:firstLine="200" w:firstLineChars="200"/>
    </w:pPr>
    <w:rPr>
      <w:rFonts w:asciiTheme="minorHAnsi" w:hAnsiTheme="minorHAnsi" w:eastAsiaTheme="minorEastAsia" w:cstheme="minorBidi"/>
      <w:bCs/>
      <w:kern w:val="2"/>
      <w:sz w:val="24"/>
      <w:szCs w:val="24"/>
      <w:lang w:val="en-US" w:eastAsia="zh-CN" w:bidi="ar-SA"/>
    </w:rPr>
  </w:style>
  <w:style w:type="character" w:customStyle="1" w:styleId="254">
    <w:name w:val="样式 标题 3 + 小四 Char"/>
    <w:qFormat/>
    <w:uiPriority w:val="0"/>
    <w:rPr>
      <w:rFonts w:ascii="宋体" w:eastAsia="宋体" w:cs="宋体"/>
      <w:b/>
      <w:kern w:val="2"/>
      <w:sz w:val="28"/>
      <w:szCs w:val="30"/>
      <w:lang w:val="zh-CN" w:eastAsia="zh-CN" w:bidi="ar-SA"/>
    </w:rPr>
  </w:style>
  <w:style w:type="character" w:customStyle="1" w:styleId="255">
    <w:name w:val="Char3"/>
    <w:qFormat/>
    <w:uiPriority w:val="0"/>
    <w:rPr>
      <w:rFonts w:eastAsia="宋体"/>
      <w:b/>
      <w:bCs/>
      <w:kern w:val="2"/>
      <w:sz w:val="32"/>
      <w:szCs w:val="32"/>
      <w:lang w:val="en-US" w:eastAsia="zh-CN" w:bidi="ar-SA"/>
    </w:rPr>
  </w:style>
  <w:style w:type="character" w:customStyle="1" w:styleId="256">
    <w:name w:val="表头4 Char"/>
    <w:link w:val="257"/>
    <w:qFormat/>
    <w:uiPriority w:val="0"/>
    <w:rPr>
      <w:rFonts w:eastAsia="宋体"/>
      <w:b/>
      <w:sz w:val="28"/>
      <w:szCs w:val="24"/>
    </w:rPr>
  </w:style>
  <w:style w:type="paragraph" w:customStyle="1" w:styleId="257">
    <w:name w:val="表头4"/>
    <w:basedOn w:val="226"/>
    <w:link w:val="256"/>
    <w:qFormat/>
    <w:uiPriority w:val="0"/>
    <w:pPr>
      <w:snapToGrid w:val="0"/>
      <w:spacing w:before="156" w:beforeLines="50" w:line="520" w:lineRule="atLeast"/>
      <w:ind w:firstLine="0"/>
      <w:jc w:val="left"/>
    </w:pPr>
    <w:rPr>
      <w:rFonts w:asciiTheme="minorHAnsi" w:hAnsiTheme="minorHAnsi" w:cstheme="minorBidi"/>
      <w:b/>
      <w:sz w:val="28"/>
      <w:szCs w:val="24"/>
    </w:rPr>
  </w:style>
  <w:style w:type="character" w:customStyle="1" w:styleId="258">
    <w:name w:val="报告 Char Char"/>
    <w:link w:val="259"/>
    <w:qFormat/>
    <w:uiPriority w:val="0"/>
    <w:rPr>
      <w:rFonts w:eastAsia="宋体"/>
      <w:sz w:val="24"/>
      <w:szCs w:val="24"/>
    </w:rPr>
  </w:style>
  <w:style w:type="paragraph" w:customStyle="1" w:styleId="259">
    <w:name w:val="报告 Char"/>
    <w:basedOn w:val="1"/>
    <w:link w:val="258"/>
    <w:qFormat/>
    <w:uiPriority w:val="0"/>
    <w:pPr>
      <w:adjustRightInd w:val="0"/>
      <w:spacing w:line="360" w:lineRule="auto"/>
      <w:ind w:firstLine="505"/>
      <w:textAlignment w:val="baseline"/>
    </w:pPr>
    <w:rPr>
      <w:rFonts w:eastAsia="宋体"/>
      <w:sz w:val="24"/>
      <w:szCs w:val="24"/>
    </w:rPr>
  </w:style>
  <w:style w:type="character" w:customStyle="1" w:styleId="260">
    <w:name w:val="text_new"/>
    <w:basedOn w:val="38"/>
    <w:qFormat/>
    <w:uiPriority w:val="0"/>
  </w:style>
  <w:style w:type="character" w:customStyle="1" w:styleId="261">
    <w:name w:val="表图头 Char"/>
    <w:link w:val="262"/>
    <w:qFormat/>
    <w:uiPriority w:val="0"/>
    <w:rPr>
      <w:rFonts w:eastAsia="华文中宋"/>
      <w:b/>
      <w:sz w:val="24"/>
      <w:szCs w:val="24"/>
    </w:rPr>
  </w:style>
  <w:style w:type="paragraph" w:customStyle="1" w:styleId="262">
    <w:name w:val="表图头"/>
    <w:basedOn w:val="1"/>
    <w:link w:val="261"/>
    <w:qFormat/>
    <w:uiPriority w:val="0"/>
    <w:pPr>
      <w:spacing w:line="360" w:lineRule="auto"/>
      <w:ind w:firstLine="480" w:firstLineChars="200"/>
      <w:jc w:val="center"/>
    </w:pPr>
    <w:rPr>
      <w:rFonts w:eastAsia="华文中宋"/>
      <w:b/>
      <w:sz w:val="24"/>
      <w:szCs w:val="24"/>
    </w:rPr>
  </w:style>
  <w:style w:type="character" w:customStyle="1" w:styleId="263">
    <w:name w:val="表蕊 Char1"/>
    <w:link w:val="264"/>
    <w:qFormat/>
    <w:uiPriority w:val="0"/>
    <w:rPr>
      <w:rFonts w:eastAsia="宋体"/>
    </w:rPr>
  </w:style>
  <w:style w:type="paragraph" w:customStyle="1" w:styleId="264">
    <w:name w:val="表蕊"/>
    <w:basedOn w:val="1"/>
    <w:link w:val="263"/>
    <w:qFormat/>
    <w:uiPriority w:val="0"/>
    <w:pPr>
      <w:adjustRightInd w:val="0"/>
      <w:spacing w:line="320" w:lineRule="atLeast"/>
      <w:textAlignment w:val="baseline"/>
    </w:pPr>
    <w:rPr>
      <w:rFonts w:eastAsia="宋体"/>
    </w:rPr>
  </w:style>
  <w:style w:type="character" w:customStyle="1" w:styleId="265">
    <w:name w:val="纯文本1 Char Char"/>
    <w:qFormat/>
    <w:uiPriority w:val="0"/>
    <w:rPr>
      <w:rFonts w:ascii="宋体" w:hAnsi="Courier New" w:eastAsia="仿宋_GB2312"/>
      <w:kern w:val="2"/>
      <w:sz w:val="21"/>
      <w:lang w:val="en-US" w:eastAsia="zh-CN" w:bidi="ar-SA"/>
    </w:rPr>
  </w:style>
  <w:style w:type="character" w:customStyle="1" w:styleId="266">
    <w:name w:val="apple-style-span"/>
    <w:basedOn w:val="38"/>
    <w:qFormat/>
    <w:uiPriority w:val="0"/>
  </w:style>
  <w:style w:type="character" w:customStyle="1" w:styleId="267">
    <w:name w:val="bbc1"/>
    <w:qFormat/>
    <w:uiPriority w:val="0"/>
    <w:rPr>
      <w:b/>
      <w:bCs/>
      <w:color w:val="000000"/>
      <w:sz w:val="23"/>
      <w:szCs w:val="23"/>
      <w:u w:val="none"/>
    </w:rPr>
  </w:style>
  <w:style w:type="character" w:customStyle="1" w:styleId="268">
    <w:name w:val="headline-content2"/>
    <w:basedOn w:val="38"/>
    <w:qFormat/>
    <w:uiPriority w:val="0"/>
  </w:style>
  <w:style w:type="character" w:customStyle="1" w:styleId="269">
    <w:name w:val="样式 小4居中 + Char"/>
    <w:link w:val="270"/>
    <w:qFormat/>
    <w:uiPriority w:val="0"/>
    <w:rPr>
      <w:rFonts w:eastAsia="宋体"/>
      <w:sz w:val="24"/>
      <w:szCs w:val="24"/>
    </w:rPr>
  </w:style>
  <w:style w:type="paragraph" w:customStyle="1" w:styleId="270">
    <w:name w:val="样式 小4居中 +"/>
    <w:basedOn w:val="1"/>
    <w:link w:val="269"/>
    <w:qFormat/>
    <w:uiPriority w:val="0"/>
    <w:pPr>
      <w:snapToGrid w:val="0"/>
      <w:spacing w:before="15" w:beforeLines="15" w:after="15" w:afterLines="15" w:line="320" w:lineRule="atLeast"/>
      <w:jc w:val="center"/>
    </w:pPr>
    <w:rPr>
      <w:rFonts w:eastAsia="宋体"/>
      <w:sz w:val="24"/>
      <w:szCs w:val="24"/>
    </w:rPr>
  </w:style>
  <w:style w:type="character" w:customStyle="1" w:styleId="271">
    <w:name w:val="zw1"/>
    <w:qFormat/>
    <w:uiPriority w:val="0"/>
    <w:rPr>
      <w:rFonts w:hint="eastAsia" w:ascii="宋体" w:hAnsi="宋体" w:eastAsia="宋体"/>
      <w:sz w:val="22"/>
      <w:szCs w:val="22"/>
    </w:rPr>
  </w:style>
  <w:style w:type="character" w:customStyle="1" w:styleId="272">
    <w:name w:val="style101"/>
    <w:qFormat/>
    <w:uiPriority w:val="0"/>
    <w:rPr>
      <w:sz w:val="27"/>
      <w:szCs w:val="27"/>
    </w:rPr>
  </w:style>
  <w:style w:type="character" w:customStyle="1" w:styleId="273">
    <w:name w:val="样式 报告 + Times New Roman Char"/>
    <w:link w:val="274"/>
    <w:qFormat/>
    <w:uiPriority w:val="0"/>
    <w:rPr>
      <w:rFonts w:eastAsia="宋体"/>
      <w:sz w:val="28"/>
      <w:szCs w:val="28"/>
    </w:rPr>
  </w:style>
  <w:style w:type="paragraph" w:customStyle="1" w:styleId="274">
    <w:name w:val="样式 报告 + Times New Roman"/>
    <w:basedOn w:val="1"/>
    <w:link w:val="273"/>
    <w:qFormat/>
    <w:uiPriority w:val="0"/>
    <w:pPr>
      <w:adjustRightInd w:val="0"/>
      <w:spacing w:line="500" w:lineRule="exact"/>
      <w:ind w:firstLine="505"/>
      <w:textAlignment w:val="center"/>
    </w:pPr>
    <w:rPr>
      <w:rFonts w:eastAsia="宋体"/>
      <w:sz w:val="28"/>
      <w:szCs w:val="28"/>
    </w:rPr>
  </w:style>
  <w:style w:type="character" w:customStyle="1" w:styleId="275">
    <w:name w:val="正文文字缩进 Char"/>
    <w:qFormat/>
    <w:uiPriority w:val="0"/>
    <w:rPr>
      <w:kern w:val="2"/>
      <w:sz w:val="21"/>
      <w:szCs w:val="24"/>
    </w:rPr>
  </w:style>
  <w:style w:type="character" w:customStyle="1" w:styleId="276">
    <w:name w:val="标题1"/>
    <w:basedOn w:val="38"/>
    <w:qFormat/>
    <w:uiPriority w:val="0"/>
  </w:style>
  <w:style w:type="paragraph" w:customStyle="1" w:styleId="277">
    <w:name w:val="表内容"/>
    <w:basedOn w:val="1"/>
    <w:next w:val="1"/>
    <w:qFormat/>
    <w:uiPriority w:val="0"/>
    <w:pPr>
      <w:spacing w:line="320" w:lineRule="exact"/>
      <w:jc w:val="center"/>
    </w:pPr>
    <w:rPr>
      <w:rFonts w:ascii="Times New Roman" w:hAnsi="Times New Roman" w:eastAsia="宋体" w:cs="Times New Roman"/>
      <w:szCs w:val="24"/>
    </w:rPr>
  </w:style>
  <w:style w:type="paragraph" w:customStyle="1" w:styleId="278">
    <w:name w:val="字元"/>
    <w:basedOn w:val="1"/>
    <w:qFormat/>
    <w:uiPriority w:val="0"/>
    <w:rPr>
      <w:rFonts w:ascii="Times New Roman" w:hAnsi="Times New Roman" w:eastAsia="宋体" w:cs="Times New Roman"/>
      <w:sz w:val="24"/>
      <w:szCs w:val="24"/>
    </w:rPr>
  </w:style>
  <w:style w:type="paragraph" w:customStyle="1" w:styleId="279">
    <w:name w:val="价格变化趋"/>
    <w:basedOn w:val="1"/>
    <w:qFormat/>
    <w:uiPriority w:val="0"/>
    <w:pPr>
      <w:numPr>
        <w:ilvl w:val="3"/>
        <w:numId w:val="1"/>
      </w:numPr>
      <w:tabs>
        <w:tab w:val="left" w:pos="312"/>
      </w:tabs>
      <w:adjustRightInd w:val="0"/>
      <w:spacing w:line="315" w:lineRule="atLeast"/>
      <w:ind w:firstLine="601"/>
      <w:textAlignment w:val="baseline"/>
    </w:pPr>
    <w:rPr>
      <w:rFonts w:ascii="宋体" w:hAnsi="Times New Roman" w:eastAsia="宋体" w:cs="Times New Roman"/>
      <w:spacing w:val="8"/>
      <w:szCs w:val="20"/>
    </w:rPr>
  </w:style>
  <w:style w:type="paragraph" w:customStyle="1" w:styleId="280">
    <w:name w:val="表内字体"/>
    <w:basedOn w:val="1"/>
    <w:qFormat/>
    <w:uiPriority w:val="0"/>
    <w:pPr>
      <w:adjustRightInd w:val="0"/>
      <w:jc w:val="center"/>
      <w:textAlignment w:val="baseline"/>
    </w:pPr>
    <w:rPr>
      <w:rFonts w:ascii="Times New Roman" w:hAnsi="Times New Roman" w:eastAsia="仿宋_GB2312" w:cs="Times New Roman"/>
      <w:szCs w:val="21"/>
    </w:rPr>
  </w:style>
  <w:style w:type="paragraph" w:customStyle="1" w:styleId="281">
    <w:name w:val="纯文本1"/>
    <w:basedOn w:val="1"/>
    <w:qFormat/>
    <w:uiPriority w:val="0"/>
    <w:pPr>
      <w:adjustRightInd w:val="0"/>
      <w:textAlignment w:val="baseline"/>
    </w:pPr>
    <w:rPr>
      <w:rFonts w:ascii="宋体" w:hAnsi="Courier New" w:eastAsia="宋体" w:cs="Times New Roman"/>
      <w:szCs w:val="20"/>
    </w:rPr>
  </w:style>
  <w:style w:type="paragraph" w:customStyle="1" w:styleId="282">
    <w:name w:val="样式 标题 4 + (西文) Times New Roman (中文) 宋体 小四"/>
    <w:basedOn w:val="5"/>
    <w:qFormat/>
    <w:uiPriority w:val="0"/>
    <w:pPr>
      <w:tabs>
        <w:tab w:val="left" w:pos="1247"/>
      </w:tabs>
      <w:adjustRightInd/>
      <w:spacing w:before="78" w:beforeLines="25" w:after="78" w:afterLines="25" w:line="360" w:lineRule="auto"/>
      <w:ind w:left="964" w:hanging="964"/>
      <w:textAlignment w:val="auto"/>
    </w:pPr>
    <w:rPr>
      <w:rFonts w:ascii="幼圆" w:eastAsia="幼圆"/>
      <w:b w:val="0"/>
      <w:color w:val="0000FF"/>
      <w:kern w:val="2"/>
      <w:sz w:val="24"/>
      <w:szCs w:val="24"/>
    </w:rPr>
  </w:style>
  <w:style w:type="paragraph" w:customStyle="1" w:styleId="283">
    <w:name w:val="正文表标题"/>
    <w:next w:val="1"/>
    <w:qFormat/>
    <w:uiPriority w:val="0"/>
    <w:pPr>
      <w:numPr>
        <w:ilvl w:val="0"/>
        <w:numId w:val="2"/>
      </w:numPr>
      <w:tabs>
        <w:tab w:val="left" w:pos="360"/>
      </w:tabs>
      <w:jc w:val="center"/>
    </w:pPr>
    <w:rPr>
      <w:rFonts w:ascii="黑体" w:hAnsi="Times New Roman" w:eastAsia="黑体" w:cs="Times New Roman"/>
      <w:kern w:val="0"/>
      <w:sz w:val="21"/>
      <w:szCs w:val="20"/>
      <w:lang w:val="en-US" w:eastAsia="zh-CN" w:bidi="ar-SA"/>
    </w:rPr>
  </w:style>
  <w:style w:type="paragraph" w:customStyle="1" w:styleId="284">
    <w:name w:val="xl2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top"/>
    </w:pPr>
    <w:rPr>
      <w:rFonts w:ascii="Arial Unicode MS" w:hAnsi="Arial Unicode MS" w:eastAsia="Arial Unicode MS" w:cs="Times New Roman"/>
      <w:kern w:val="0"/>
      <w:szCs w:val="21"/>
    </w:rPr>
  </w:style>
  <w:style w:type="paragraph" w:customStyle="1" w:styleId="285">
    <w:name w:val="Char Char Char Char Char Char Char Char Char Char Char"/>
    <w:basedOn w:val="1"/>
    <w:qFormat/>
    <w:uiPriority w:val="0"/>
    <w:pPr>
      <w:adjustRightInd w:val="0"/>
      <w:spacing w:line="360" w:lineRule="auto"/>
    </w:pPr>
    <w:rPr>
      <w:rFonts w:ascii="Times New Roman" w:hAnsi="Times New Roman" w:eastAsia="宋体" w:cs="Times New Roman"/>
      <w:kern w:val="0"/>
      <w:sz w:val="24"/>
      <w:szCs w:val="20"/>
    </w:rPr>
  </w:style>
  <w:style w:type="paragraph" w:customStyle="1" w:styleId="286">
    <w:name w:val="Char Char1 Char1"/>
    <w:basedOn w:val="1"/>
    <w:qFormat/>
    <w:uiPriority w:val="0"/>
    <w:rPr>
      <w:rFonts w:ascii="Times New Roman" w:hAnsi="Times New Roman" w:eastAsia="宋体" w:cs="Times New Roman"/>
      <w:sz w:val="24"/>
      <w:szCs w:val="24"/>
    </w:rPr>
  </w:style>
  <w:style w:type="paragraph" w:customStyle="1" w:styleId="287">
    <w:name w:val="图及表"/>
    <w:basedOn w:val="1"/>
    <w:qFormat/>
    <w:uiPriority w:val="0"/>
    <w:pPr>
      <w:jc w:val="center"/>
    </w:pPr>
    <w:rPr>
      <w:rFonts w:ascii="Times New Roman" w:hAnsi="Times New Roman" w:eastAsia="楷体" w:cs="Times New Roman"/>
      <w:b/>
      <w:sz w:val="48"/>
      <w:szCs w:val="24"/>
    </w:rPr>
  </w:style>
  <w:style w:type="paragraph" w:customStyle="1" w:styleId="288">
    <w:name w:val="列出段落1"/>
    <w:basedOn w:val="1"/>
    <w:qFormat/>
    <w:uiPriority w:val="0"/>
    <w:pPr>
      <w:ind w:firstLine="420" w:firstLineChars="200"/>
    </w:pPr>
    <w:rPr>
      <w:rFonts w:ascii="Calibri" w:hAnsi="Calibri" w:eastAsia="宋体" w:cs="Times New Roman"/>
    </w:rPr>
  </w:style>
  <w:style w:type="paragraph" w:customStyle="1" w:styleId="289">
    <w:name w:val="Char Char Char Char Char Char"/>
    <w:basedOn w:val="1"/>
    <w:qFormat/>
    <w:uiPriority w:val="0"/>
    <w:rPr>
      <w:rFonts w:ascii="Times New Roman" w:hAnsi="Times New Roman" w:eastAsia="宋体" w:cs="Times New Roman"/>
      <w:sz w:val="24"/>
      <w:szCs w:val="24"/>
    </w:rPr>
  </w:style>
  <w:style w:type="paragraph" w:customStyle="1" w:styleId="290">
    <w:name w:val="大表格标题"/>
    <w:basedOn w:val="1"/>
    <w:qFormat/>
    <w:uiPriority w:val="0"/>
    <w:pPr>
      <w:jc w:val="center"/>
    </w:pPr>
    <w:rPr>
      <w:rFonts w:ascii="Times New Roman" w:hAnsi="Times New Roman" w:eastAsia="宋体" w:cs="Times New Roman"/>
      <w:b/>
      <w:bCs/>
      <w:sz w:val="24"/>
      <w:szCs w:val="24"/>
    </w:rPr>
  </w:style>
  <w:style w:type="paragraph" w:customStyle="1" w:styleId="291">
    <w:name w:val="标题2"/>
    <w:basedOn w:val="1"/>
    <w:next w:val="1"/>
    <w:qFormat/>
    <w:uiPriority w:val="0"/>
    <w:pPr>
      <w:autoSpaceDE w:val="0"/>
      <w:autoSpaceDN w:val="0"/>
      <w:snapToGrid w:val="0"/>
      <w:spacing w:line="590" w:lineRule="atLeast"/>
      <w:jc w:val="center"/>
    </w:pPr>
    <w:rPr>
      <w:rFonts w:ascii="Times New Roman" w:hAnsi="Times New Roman" w:eastAsia="方正楷体_GBK" w:cs="Times New Roman"/>
      <w:snapToGrid w:val="0"/>
      <w:kern w:val="0"/>
      <w:sz w:val="32"/>
      <w:szCs w:val="20"/>
    </w:rPr>
  </w:style>
  <w:style w:type="paragraph" w:customStyle="1" w:styleId="292">
    <w:name w:val="默认段落字体 Para Char Char Char Char Char Char Char Char Char Char"/>
    <w:basedOn w:val="1"/>
    <w:qFormat/>
    <w:uiPriority w:val="0"/>
    <w:rPr>
      <w:rFonts w:ascii="Tahoma" w:hAnsi="Tahoma" w:eastAsia="宋体" w:cs="Times New Roman"/>
      <w:sz w:val="24"/>
      <w:szCs w:val="20"/>
    </w:rPr>
  </w:style>
  <w:style w:type="paragraph" w:customStyle="1" w:styleId="293">
    <w:name w:val="论文正文"/>
    <w:basedOn w:val="6"/>
    <w:qFormat/>
    <w:uiPriority w:val="0"/>
    <w:pPr>
      <w:ind w:firstLine="480"/>
    </w:pPr>
    <w:rPr>
      <w:rFonts w:ascii="宋体" w:hAnsi="宋体" w:cs="Times New Roman"/>
      <w:sz w:val="28"/>
    </w:rPr>
  </w:style>
  <w:style w:type="paragraph" w:customStyle="1" w:styleId="294">
    <w:name w:val="表头及图例"/>
    <w:basedOn w:val="287"/>
    <w:qFormat/>
    <w:uiPriority w:val="0"/>
    <w:rPr>
      <w:rFonts w:eastAsia="宋体"/>
      <w:sz w:val="21"/>
    </w:rPr>
  </w:style>
  <w:style w:type="paragraph" w:customStyle="1" w:styleId="295">
    <w:name w:val="样式 标题 3 + 行距: 固定值 24 磅"/>
    <w:basedOn w:val="4"/>
    <w:qFormat/>
    <w:uiPriority w:val="0"/>
    <w:pPr>
      <w:tabs>
        <w:tab w:val="left" w:pos="1785"/>
      </w:tabs>
      <w:autoSpaceDE w:val="0"/>
      <w:autoSpaceDN w:val="0"/>
      <w:adjustRightInd w:val="0"/>
      <w:spacing w:before="0" w:after="0" w:line="480" w:lineRule="exact"/>
    </w:pPr>
    <w:rPr>
      <w:rFonts w:ascii="宋体" w:cs="宋体"/>
      <w:bCs w:val="0"/>
      <w:sz w:val="30"/>
      <w:szCs w:val="20"/>
      <w:lang w:val="zh-CN"/>
    </w:rPr>
  </w:style>
  <w:style w:type="paragraph" w:customStyle="1" w:styleId="296">
    <w:name w:val="5"/>
    <w:basedOn w:val="1"/>
    <w:next w:val="17"/>
    <w:qFormat/>
    <w:uiPriority w:val="0"/>
    <w:pPr>
      <w:spacing w:line="360" w:lineRule="auto"/>
      <w:ind w:firstLine="560" w:firstLineChars="200"/>
    </w:pPr>
    <w:rPr>
      <w:rFonts w:ascii="宋体" w:hAnsi="宋体" w:eastAsia="宋体" w:cs="Times New Roman"/>
      <w:color w:val="000000"/>
      <w:sz w:val="28"/>
      <w:szCs w:val="24"/>
    </w:rPr>
  </w:style>
  <w:style w:type="paragraph" w:customStyle="1" w:styleId="297">
    <w:name w:val="样式 样式 列表 + 左侧:  0 厘米 悬挂缩进: 5.85 字符 + 行距: 固定值 24 磅"/>
    <w:basedOn w:val="298"/>
    <w:qFormat/>
    <w:uiPriority w:val="0"/>
    <w:pPr>
      <w:framePr w:hSpace="180" w:wrap="around" w:vAnchor="text" w:hAnchor="margin" w:y="202"/>
      <w:ind w:left="-55" w:leftChars="-26"/>
      <w:jc w:val="both"/>
    </w:pPr>
  </w:style>
  <w:style w:type="paragraph" w:customStyle="1" w:styleId="298">
    <w:name w:val="样式 列表 + 左侧:  0 厘米 悬挂缩进: 5.85 字符"/>
    <w:basedOn w:val="27"/>
    <w:qFormat/>
    <w:uiPriority w:val="0"/>
    <w:pPr>
      <w:spacing w:before="0" w:after="0" w:line="240" w:lineRule="auto"/>
    </w:pPr>
    <w:rPr>
      <w:rFonts w:ascii="Times New Roman" w:eastAsia="宋体"/>
      <w:color w:val="FF0000"/>
      <w:sz w:val="21"/>
      <w:szCs w:val="21"/>
      <w:lang w:val="zh-CN"/>
    </w:rPr>
  </w:style>
  <w:style w:type="paragraph" w:customStyle="1" w:styleId="299">
    <w:name w:val="样式 样式 标题 3 + 小四 + 行距: 固定值 24 磅"/>
    <w:basedOn w:val="300"/>
    <w:qFormat/>
    <w:uiPriority w:val="0"/>
    <w:pPr>
      <w:tabs>
        <w:tab w:val="left" w:pos="1785"/>
      </w:tabs>
      <w:spacing w:line="480" w:lineRule="exact"/>
    </w:pPr>
    <w:rPr>
      <w:szCs w:val="20"/>
    </w:rPr>
  </w:style>
  <w:style w:type="paragraph" w:customStyle="1" w:styleId="300">
    <w:name w:val="样式 标题 3 + 小四"/>
    <w:basedOn w:val="4"/>
    <w:qFormat/>
    <w:uiPriority w:val="0"/>
    <w:pPr>
      <w:tabs>
        <w:tab w:val="left" w:pos="1785"/>
      </w:tabs>
      <w:autoSpaceDE w:val="0"/>
      <w:autoSpaceDN w:val="0"/>
      <w:adjustRightInd w:val="0"/>
      <w:spacing w:before="0" w:after="0" w:line="480" w:lineRule="atLeast"/>
    </w:pPr>
    <w:rPr>
      <w:rFonts w:ascii="宋体" w:cs="宋体"/>
      <w:bCs w:val="0"/>
      <w:sz w:val="28"/>
      <w:szCs w:val="30"/>
      <w:lang w:val="zh-CN"/>
    </w:rPr>
  </w:style>
  <w:style w:type="paragraph" w:customStyle="1" w:styleId="301">
    <w:name w:val="样式 样式 宋体 小四 首行缩进:  1 厘米 段前: 3 磅 段后: 3 磅 行距: 1.5 倍行距 + 首行缩进:  2 字符"/>
    <w:basedOn w:val="1"/>
    <w:qFormat/>
    <w:uiPriority w:val="0"/>
    <w:pPr>
      <w:numPr>
        <w:ilvl w:val="1"/>
        <w:numId w:val="3"/>
      </w:numPr>
      <w:tabs>
        <w:tab w:val="left" w:pos="1350"/>
      </w:tabs>
      <w:spacing w:before="60" w:after="60" w:line="360" w:lineRule="auto"/>
      <w:ind w:firstLine="200" w:firstLineChars="200"/>
    </w:pPr>
    <w:rPr>
      <w:rFonts w:ascii="宋体" w:hAnsi="宋体" w:eastAsia="宋体" w:cs="宋体"/>
      <w:kern w:val="0"/>
      <w:sz w:val="28"/>
      <w:szCs w:val="20"/>
    </w:rPr>
  </w:style>
  <w:style w:type="paragraph" w:customStyle="1" w:styleId="302">
    <w:name w:val="样式 标题 2 + (中文) 宋体 行距: 固定值 24 磅"/>
    <w:basedOn w:val="3"/>
    <w:qFormat/>
    <w:uiPriority w:val="0"/>
    <w:pPr>
      <w:tabs>
        <w:tab w:val="left" w:pos="1365"/>
      </w:tabs>
      <w:autoSpaceDE w:val="0"/>
      <w:autoSpaceDN w:val="0"/>
      <w:adjustRightInd w:val="0"/>
      <w:spacing w:before="0" w:after="0" w:line="480" w:lineRule="exact"/>
    </w:pPr>
    <w:rPr>
      <w:rFonts w:ascii="宋体" w:hAnsi="宋体" w:eastAsia="宋体" w:cs="宋体"/>
      <w:b w:val="0"/>
      <w:bCs w:val="0"/>
      <w:kern w:val="0"/>
      <w:szCs w:val="20"/>
      <w:lang w:val="zh-CN"/>
    </w:rPr>
  </w:style>
  <w:style w:type="paragraph" w:customStyle="1" w:styleId="303">
    <w:name w:val="正文(首行缩进)"/>
    <w:basedOn w:val="1"/>
    <w:qFormat/>
    <w:uiPriority w:val="0"/>
    <w:pPr>
      <w:adjustRightInd w:val="0"/>
      <w:snapToGrid w:val="0"/>
      <w:spacing w:line="360" w:lineRule="auto"/>
      <w:ind w:firstLine="200" w:firstLineChars="200"/>
    </w:pPr>
    <w:rPr>
      <w:rFonts w:ascii="Times New Roman" w:hAnsi="Times New Roman" w:eastAsia="宋体" w:cs="Times New Roman"/>
      <w:snapToGrid w:val="0"/>
      <w:kern w:val="0"/>
      <w:sz w:val="24"/>
      <w:szCs w:val="20"/>
    </w:rPr>
  </w:style>
  <w:style w:type="paragraph" w:customStyle="1" w:styleId="304">
    <w:name w:val="Char Char Char Char Char Char Char"/>
    <w:basedOn w:val="1"/>
    <w:qFormat/>
    <w:uiPriority w:val="0"/>
    <w:rPr>
      <w:rFonts w:ascii="Times New Roman" w:hAnsi="Times New Roman" w:eastAsia="宋体" w:cs="Times New Roman"/>
      <w:szCs w:val="21"/>
    </w:rPr>
  </w:style>
  <w:style w:type="paragraph" w:customStyle="1" w:styleId="305">
    <w:name w:val="正文新 Char"/>
    <w:basedOn w:val="1"/>
    <w:qFormat/>
    <w:uiPriority w:val="0"/>
    <w:pPr>
      <w:spacing w:line="360" w:lineRule="auto"/>
      <w:ind w:firstLine="200" w:firstLineChars="200"/>
    </w:pPr>
    <w:rPr>
      <w:rFonts w:ascii="Times New Roman" w:hAnsi="Times New Roman" w:eastAsia="宋体" w:cs="Times New Roman"/>
      <w:sz w:val="24"/>
      <w:szCs w:val="20"/>
    </w:rPr>
  </w:style>
  <w:style w:type="paragraph" w:customStyle="1" w:styleId="306">
    <w:name w:val="xl30"/>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eastAsia="Times New Roman" w:cs="Times New Roman"/>
      <w:kern w:val="0"/>
      <w:szCs w:val="21"/>
    </w:rPr>
  </w:style>
  <w:style w:type="paragraph" w:customStyle="1" w:styleId="307">
    <w:name w:val="[Normal]"/>
    <w:unhideWhenUsed/>
    <w:qFormat/>
    <w:uiPriority w:val="99"/>
    <w:pPr>
      <w:widowControl w:val="0"/>
      <w:autoSpaceDE w:val="0"/>
      <w:autoSpaceDN w:val="0"/>
    </w:pPr>
    <w:rPr>
      <w:rFonts w:hint="eastAsia" w:ascii="Arial" w:hAnsi="Arial" w:eastAsia="宋体" w:cs="Times New Roman"/>
      <w:kern w:val="0"/>
      <w:sz w:val="24"/>
      <w:szCs w:val="20"/>
      <w:lang w:val="en-US" w:eastAsia="zh-CN" w:bidi="ar-SA"/>
    </w:rPr>
  </w:style>
  <w:style w:type="paragraph" w:customStyle="1" w:styleId="308">
    <w:name w:val="Table Paragraph"/>
    <w:basedOn w:val="1"/>
    <w:qFormat/>
    <w:uiPriority w:val="1"/>
    <w:pPr>
      <w:jc w:val="left"/>
    </w:pPr>
    <w:rPr>
      <w:rFonts w:ascii="Calibri" w:hAnsi="Calibri" w:eastAsia="宋体" w:cs="Times New Roman"/>
      <w:kern w:val="0"/>
      <w:sz w:val="22"/>
      <w:lang w:eastAsia="en-US"/>
    </w:rPr>
  </w:style>
  <w:style w:type="paragraph" w:customStyle="1" w:styleId="309">
    <w:name w:val="样式 列表 + 左侧:  0 厘米 悬挂缩进: 2 字符"/>
    <w:basedOn w:val="27"/>
    <w:qFormat/>
    <w:uiPriority w:val="0"/>
    <w:pPr>
      <w:tabs>
        <w:tab w:val="center" w:pos="4153"/>
        <w:tab w:val="right" w:pos="8306"/>
      </w:tabs>
      <w:snapToGrid w:val="0"/>
      <w:spacing w:before="0" w:after="0" w:line="360" w:lineRule="exact"/>
    </w:pPr>
    <w:rPr>
      <w:rFonts w:ascii="Times New Roman" w:eastAsia="宋体" w:cs="宋体"/>
      <w:sz w:val="21"/>
      <w:szCs w:val="21"/>
    </w:rPr>
  </w:style>
  <w:style w:type="paragraph" w:customStyle="1" w:styleId="310">
    <w:name w:val="字元 字元1"/>
    <w:basedOn w:val="1"/>
    <w:qFormat/>
    <w:uiPriority w:val="0"/>
    <w:rPr>
      <w:rFonts w:ascii="Times New Roman" w:hAnsi="Times New Roman" w:eastAsia="宋体" w:cs="Times New Roman"/>
      <w:sz w:val="24"/>
      <w:szCs w:val="24"/>
    </w:rPr>
  </w:style>
  <w:style w:type="paragraph" w:customStyle="1" w:styleId="311">
    <w:name w:val="表标题"/>
    <w:basedOn w:val="1"/>
    <w:qFormat/>
    <w:uiPriority w:val="0"/>
    <w:pPr>
      <w:spacing w:line="480" w:lineRule="exact"/>
      <w:jc w:val="center"/>
    </w:pPr>
    <w:rPr>
      <w:rFonts w:ascii="Times New Roman" w:hAnsi="宋体" w:eastAsia="宋体" w:cs="Times New Roman"/>
      <w:color w:val="000000"/>
      <w:sz w:val="24"/>
      <w:szCs w:val="24"/>
    </w:rPr>
  </w:style>
  <w:style w:type="paragraph" w:customStyle="1" w:styleId="312">
    <w:name w:val="1文章"/>
    <w:basedOn w:val="1"/>
    <w:qFormat/>
    <w:uiPriority w:val="0"/>
    <w:pPr>
      <w:snapToGrid w:val="0"/>
      <w:spacing w:line="420" w:lineRule="auto"/>
      <w:ind w:firstLine="454"/>
      <w:outlineLvl w:val="4"/>
    </w:pPr>
    <w:rPr>
      <w:rFonts w:ascii="Times New Roman" w:hAnsi="Times New Roman" w:eastAsia="宋体" w:cs="Times New Roman"/>
      <w:spacing w:val="4"/>
      <w:sz w:val="24"/>
      <w:szCs w:val="24"/>
    </w:rPr>
  </w:style>
  <w:style w:type="paragraph" w:customStyle="1" w:styleId="313">
    <w:name w:val="正文格式"/>
    <w:basedOn w:val="1"/>
    <w:qFormat/>
    <w:uiPriority w:val="0"/>
    <w:pPr>
      <w:spacing w:line="360" w:lineRule="auto"/>
      <w:ind w:firstLine="482"/>
    </w:pPr>
    <w:rPr>
      <w:rFonts w:ascii="宋体" w:hAnsi="Times New Roman" w:eastAsia="宋体" w:cs="宋体"/>
      <w:sz w:val="24"/>
      <w:szCs w:val="24"/>
    </w:rPr>
  </w:style>
  <w:style w:type="paragraph" w:customStyle="1" w:styleId="314">
    <w:name w:val="Char Char Char Char1"/>
    <w:basedOn w:val="1"/>
    <w:qFormat/>
    <w:uiPriority w:val="0"/>
    <w:rPr>
      <w:rFonts w:ascii="Times New Roman" w:hAnsi="Times New Roman" w:eastAsia="宋体" w:cs="Times New Roman"/>
      <w:szCs w:val="21"/>
    </w:rPr>
  </w:style>
  <w:style w:type="paragraph" w:customStyle="1" w:styleId="315">
    <w:name w:val="Char Char Char Char1 Char Char Char Char"/>
    <w:basedOn w:val="1"/>
    <w:qFormat/>
    <w:uiPriority w:val="0"/>
    <w:rPr>
      <w:rFonts w:ascii="Times New Roman" w:hAnsi="Times New Roman" w:eastAsia="宋体" w:cs="Times New Roman"/>
      <w:sz w:val="24"/>
      <w:szCs w:val="24"/>
    </w:rPr>
  </w:style>
  <w:style w:type="paragraph" w:customStyle="1" w:styleId="316">
    <w:name w:val="样式 表蕊 + 宋体"/>
    <w:basedOn w:val="264"/>
    <w:qFormat/>
    <w:uiPriority w:val="0"/>
    <w:pPr>
      <w:numPr>
        <w:ilvl w:val="1"/>
        <w:numId w:val="1"/>
      </w:numPr>
      <w:tabs>
        <w:tab w:val="left" w:pos="312"/>
      </w:tabs>
      <w:adjustRightInd/>
      <w:spacing w:line="300" w:lineRule="exact"/>
      <w:jc w:val="left"/>
      <w:textAlignment w:val="auto"/>
    </w:pPr>
    <w:rPr>
      <w:rFonts w:ascii="宋体" w:hAnsi="宋体"/>
      <w:spacing w:val="8"/>
      <w:szCs w:val="24"/>
    </w:rPr>
  </w:style>
  <w:style w:type="paragraph" w:customStyle="1" w:styleId="317">
    <w:name w:val="样式 标题 2 + 行距: 固定值 24 磅"/>
    <w:basedOn w:val="3"/>
    <w:qFormat/>
    <w:uiPriority w:val="0"/>
    <w:pPr>
      <w:tabs>
        <w:tab w:val="left" w:pos="1365"/>
      </w:tabs>
      <w:autoSpaceDE w:val="0"/>
      <w:autoSpaceDN w:val="0"/>
      <w:adjustRightInd w:val="0"/>
      <w:spacing w:before="0" w:after="0" w:line="480" w:lineRule="exact"/>
    </w:pPr>
    <w:rPr>
      <w:rFonts w:ascii="宋体" w:hAnsi="宋体" w:eastAsia="宋体" w:cs="宋体"/>
      <w:bCs w:val="0"/>
      <w:kern w:val="0"/>
      <w:szCs w:val="20"/>
      <w:lang w:val="zh-CN"/>
    </w:rPr>
  </w:style>
  <w:style w:type="paragraph" w:customStyle="1" w:styleId="318">
    <w:name w:val="Char Char Char Char Char Char Char1"/>
    <w:basedOn w:val="1"/>
    <w:qFormat/>
    <w:uiPriority w:val="0"/>
    <w:rPr>
      <w:rFonts w:ascii="Times New Roman" w:hAnsi="Times New Roman" w:eastAsia="宋体" w:cs="Times New Roman"/>
      <w:szCs w:val="20"/>
    </w:rPr>
  </w:style>
  <w:style w:type="paragraph" w:customStyle="1" w:styleId="319">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s="Times New Roman"/>
      <w:kern w:val="0"/>
      <w:szCs w:val="20"/>
    </w:rPr>
  </w:style>
  <w:style w:type="paragraph" w:customStyle="1" w:styleId="320">
    <w:name w:val="样式 样式 样式 自动设置 + 五号 段前: 0.5 行 行距: 单倍行距 + 段前: 0.5 行"/>
    <w:basedOn w:val="1"/>
    <w:qFormat/>
    <w:uiPriority w:val="0"/>
    <w:pPr>
      <w:autoSpaceDE w:val="0"/>
      <w:autoSpaceDN w:val="0"/>
      <w:adjustRightInd w:val="0"/>
      <w:snapToGrid w:val="0"/>
    </w:pPr>
    <w:rPr>
      <w:rFonts w:ascii="Times New Roman" w:hAnsi="Times New Roman" w:eastAsia="宋体" w:cs="宋体"/>
      <w:szCs w:val="20"/>
    </w:rPr>
  </w:style>
  <w:style w:type="paragraph" w:customStyle="1" w:styleId="321">
    <w:name w:val="Char4 Char Char Char Char Char1 Char Char Char Char Char Char Char Char Char Char Char Char Char"/>
    <w:basedOn w:val="1"/>
    <w:qFormat/>
    <w:uiPriority w:val="0"/>
    <w:pPr>
      <w:spacing w:line="240" w:lineRule="exact"/>
      <w:ind w:firstLine="200" w:firstLineChars="200"/>
    </w:pPr>
    <w:rPr>
      <w:rFonts w:ascii="Times New Roman" w:hAnsi="Times New Roman" w:eastAsia="宋体" w:cs="Times New Roman"/>
      <w:szCs w:val="20"/>
    </w:rPr>
  </w:style>
  <w:style w:type="paragraph" w:customStyle="1" w:styleId="322">
    <w:name w:val="新正文"/>
    <w:basedOn w:val="1"/>
    <w:qFormat/>
    <w:uiPriority w:val="0"/>
    <w:pPr>
      <w:spacing w:line="480" w:lineRule="exact"/>
      <w:ind w:firstLine="482"/>
    </w:pPr>
    <w:rPr>
      <w:rFonts w:hint="eastAsia" w:ascii="仿宋_GB2312" w:hAnsi="Times New Roman" w:eastAsia="仿宋_GB2312" w:cs="Times New Roman"/>
      <w:bCs/>
      <w:kern w:val="0"/>
      <w:sz w:val="28"/>
      <w:szCs w:val="20"/>
    </w:rPr>
  </w:style>
  <w:style w:type="paragraph" w:customStyle="1" w:styleId="323">
    <w:name w:val="样式 表蕊 + 首行缩进:  2 字符3"/>
    <w:basedOn w:val="264"/>
    <w:qFormat/>
    <w:uiPriority w:val="0"/>
    <w:pPr>
      <w:spacing w:line="280" w:lineRule="atLeast"/>
      <w:jc w:val="center"/>
    </w:pPr>
    <w:rPr>
      <w:rFonts w:eastAsia="仿宋_GB2312" w:cs="宋体"/>
      <w:spacing w:val="8"/>
      <w:sz w:val="30"/>
    </w:rPr>
  </w:style>
  <w:style w:type="paragraph" w:customStyle="1" w:styleId="324">
    <w:name w:val="00正文"/>
    <w:basedOn w:val="1"/>
    <w:qFormat/>
    <w:uiPriority w:val="0"/>
    <w:pPr>
      <w:numPr>
        <w:ilvl w:val="2"/>
        <w:numId w:val="1"/>
      </w:numPr>
      <w:tabs>
        <w:tab w:val="left" w:pos="312"/>
      </w:tabs>
      <w:spacing w:line="360" w:lineRule="auto"/>
      <w:ind w:firstLine="480" w:firstLineChars="200"/>
    </w:pPr>
    <w:rPr>
      <w:rFonts w:ascii="Times New Roman" w:hAnsi="Times New Roman" w:eastAsia="宋体" w:cs="Times New Roman"/>
      <w:sz w:val="24"/>
      <w:szCs w:val="24"/>
    </w:rPr>
  </w:style>
  <w:style w:type="paragraph" w:customStyle="1" w:styleId="325">
    <w:name w:val="内部地址姓名"/>
    <w:basedOn w:val="1"/>
    <w:qFormat/>
    <w:uiPriority w:val="0"/>
    <w:pPr>
      <w:autoSpaceDE w:val="0"/>
      <w:autoSpaceDN w:val="0"/>
      <w:ind w:firstLine="200" w:firstLineChars="200"/>
    </w:pPr>
    <w:rPr>
      <w:rFonts w:ascii="宋体" w:hAnsi="Times New Roman" w:eastAsia="宋体" w:cs="宋体"/>
      <w:szCs w:val="21"/>
      <w:lang w:val="zh-CN"/>
    </w:rPr>
  </w:style>
  <w:style w:type="paragraph" w:customStyle="1" w:styleId="326">
    <w:name w:val="_Style 3"/>
    <w:basedOn w:val="1"/>
    <w:qFormat/>
    <w:uiPriority w:val="0"/>
    <w:pPr>
      <w:spacing w:line="360" w:lineRule="auto"/>
      <w:ind w:firstLine="200" w:firstLineChars="200"/>
    </w:pPr>
    <w:rPr>
      <w:rFonts w:ascii="宋体" w:hAnsi="宋体" w:eastAsia="宋体" w:cs="宋体"/>
      <w:sz w:val="24"/>
      <w:szCs w:val="24"/>
    </w:rPr>
  </w:style>
  <w:style w:type="paragraph" w:customStyle="1" w:styleId="327">
    <w:name w:val="Char11"/>
    <w:basedOn w:val="1"/>
    <w:qFormat/>
    <w:uiPriority w:val="0"/>
    <w:rPr>
      <w:rFonts w:ascii="Times New Roman" w:hAnsi="Times New Roman" w:eastAsia="宋体" w:cs="Times New Roman"/>
      <w:spacing w:val="20"/>
      <w:sz w:val="28"/>
      <w:szCs w:val="21"/>
    </w:rPr>
  </w:style>
  <w:style w:type="paragraph" w:customStyle="1" w:styleId="328">
    <w:name w:val="Char Char Char"/>
    <w:basedOn w:val="1"/>
    <w:qFormat/>
    <w:uiPriority w:val="0"/>
    <w:pPr>
      <w:adjustRightInd w:val="0"/>
      <w:spacing w:line="360" w:lineRule="auto"/>
    </w:pPr>
    <w:rPr>
      <w:rFonts w:ascii="Times New Roman" w:hAnsi="Times New Roman" w:eastAsia="宋体" w:cs="Times New Roman"/>
      <w:kern w:val="0"/>
      <w:sz w:val="24"/>
      <w:szCs w:val="20"/>
    </w:rPr>
  </w:style>
  <w:style w:type="paragraph" w:customStyle="1" w:styleId="329">
    <w:name w:val="1"/>
    <w:basedOn w:val="1"/>
    <w:next w:val="17"/>
    <w:qFormat/>
    <w:uiPriority w:val="0"/>
    <w:pPr>
      <w:ind w:left="-3" w:firstLine="423"/>
    </w:pPr>
    <w:rPr>
      <w:rFonts w:ascii="楷体_GB2312" w:hAnsi="Times New Roman" w:eastAsia="楷体_GB2312" w:cs="Times New Roman"/>
      <w:szCs w:val="24"/>
    </w:rPr>
  </w:style>
  <w:style w:type="paragraph" w:customStyle="1" w:styleId="330">
    <w:name w:val="Char1 Char Char Char Char Char Char Char Char Char Char Char Char Char Char Char Char Char"/>
    <w:basedOn w:val="1"/>
    <w:qFormat/>
    <w:uiPriority w:val="0"/>
    <w:rPr>
      <w:rFonts w:ascii="Times New Roman" w:hAnsi="Times New Roman" w:eastAsia="宋体" w:cs="Times New Roman"/>
      <w:sz w:val="24"/>
      <w:szCs w:val="24"/>
    </w:rPr>
  </w:style>
  <w:style w:type="paragraph" w:customStyle="1" w:styleId="331">
    <w:name w:val="报告表格"/>
    <w:basedOn w:val="1"/>
    <w:qFormat/>
    <w:uiPriority w:val="0"/>
    <w:pPr>
      <w:autoSpaceDE w:val="0"/>
      <w:autoSpaceDN w:val="0"/>
      <w:adjustRightInd w:val="0"/>
      <w:spacing w:line="280" w:lineRule="exact"/>
      <w:jc w:val="center"/>
      <w:textAlignment w:val="bottom"/>
    </w:pPr>
    <w:rPr>
      <w:rFonts w:ascii="宋体" w:hAnsi="宋体" w:eastAsia="宋体" w:cs="Times New Roman"/>
      <w:sz w:val="18"/>
      <w:szCs w:val="18"/>
    </w:rPr>
  </w:style>
  <w:style w:type="paragraph" w:customStyle="1" w:styleId="332">
    <w:name w:val="样式 标题 1 + (中文) 宋体 小三 行距: 多倍行距 1.35 字行"/>
    <w:basedOn w:val="2"/>
    <w:qFormat/>
    <w:uiPriority w:val="0"/>
    <w:pPr>
      <w:numPr>
        <w:ilvl w:val="2"/>
        <w:numId w:val="3"/>
      </w:numPr>
      <w:tabs>
        <w:tab w:val="left" w:pos="284"/>
        <w:tab w:val="left" w:pos="1770"/>
      </w:tabs>
      <w:snapToGrid w:val="0"/>
      <w:spacing w:before="120" w:beforeLines="50" w:after="120" w:afterLines="50" w:line="480" w:lineRule="exact"/>
      <w:ind w:left="432" w:hanging="432"/>
    </w:pPr>
    <w:rPr>
      <w:rFonts w:hAnsi="宋体" w:eastAsia="黑体"/>
      <w:b w:val="0"/>
      <w:sz w:val="36"/>
      <w:szCs w:val="36"/>
    </w:rPr>
  </w:style>
  <w:style w:type="paragraph" w:customStyle="1" w:styleId="333">
    <w:name w:val="Normal_0"/>
    <w:qFormat/>
    <w:uiPriority w:val="0"/>
    <w:pPr>
      <w:spacing w:before="120" w:after="240"/>
      <w:jc w:val="both"/>
    </w:pPr>
    <w:rPr>
      <w:rFonts w:ascii="Times New Roman" w:hAnsi="Times New Roman" w:eastAsia="Calibri" w:cs="Times New Roman"/>
      <w:kern w:val="0"/>
      <w:sz w:val="22"/>
      <w:szCs w:val="22"/>
      <w:lang w:val="ru-RU" w:eastAsia="en-US" w:bidi="ar-SA"/>
    </w:rPr>
  </w:style>
  <w:style w:type="paragraph" w:customStyle="1" w:styleId="334">
    <w:name w:val="表名"/>
    <w:basedOn w:val="1"/>
    <w:qFormat/>
    <w:uiPriority w:val="0"/>
    <w:pPr>
      <w:adjustRightInd w:val="0"/>
      <w:spacing w:before="120" w:after="120" w:line="380" w:lineRule="atLeast"/>
      <w:ind w:firstLine="425"/>
      <w:jc w:val="center"/>
    </w:pPr>
    <w:rPr>
      <w:rFonts w:ascii="Times New Roman" w:hAnsi="Times New Roman" w:eastAsia="宋体" w:cs="Times New Roman"/>
      <w:kern w:val="0"/>
      <w:sz w:val="24"/>
      <w:szCs w:val="24"/>
    </w:rPr>
  </w:style>
  <w:style w:type="paragraph" w:customStyle="1" w:styleId="335">
    <w:name w:val="表题"/>
    <w:basedOn w:val="1"/>
    <w:qFormat/>
    <w:uiPriority w:val="0"/>
    <w:pPr>
      <w:snapToGrid w:val="0"/>
      <w:jc w:val="center"/>
    </w:pPr>
    <w:rPr>
      <w:rFonts w:ascii="Times New Roman" w:hAnsi="Times New Roman" w:eastAsia="黑体" w:cs="Times New Roman"/>
      <w:sz w:val="24"/>
      <w:szCs w:val="20"/>
    </w:rPr>
  </w:style>
  <w:style w:type="paragraph" w:customStyle="1" w:styleId="336">
    <w:name w:val="样式"/>
    <w:basedOn w:val="1"/>
    <w:qFormat/>
    <w:uiPriority w:val="0"/>
    <w:pPr>
      <w:autoSpaceDE w:val="0"/>
      <w:autoSpaceDN w:val="0"/>
      <w:adjustRightInd w:val="0"/>
      <w:spacing w:line="480" w:lineRule="exact"/>
      <w:ind w:firstLine="200" w:firstLineChars="200"/>
    </w:pPr>
    <w:rPr>
      <w:rFonts w:ascii="宋体" w:hAnsi="Times New Roman" w:eastAsia="宋体" w:cs="宋体"/>
      <w:sz w:val="28"/>
      <w:szCs w:val="28"/>
      <w:lang w:val="zh-CN"/>
    </w:rPr>
  </w:style>
  <w:style w:type="paragraph" w:customStyle="1" w:styleId="337">
    <w:name w:val="Char Char2 Char Char Char Char"/>
    <w:basedOn w:val="1"/>
    <w:qFormat/>
    <w:uiPriority w:val="0"/>
    <w:pPr>
      <w:spacing w:before="20" w:beforeLines="20" w:line="440" w:lineRule="atLeast"/>
      <w:ind w:firstLine="200" w:firstLineChars="200"/>
    </w:pPr>
    <w:rPr>
      <w:rFonts w:ascii="Times New Roman" w:hAnsi="Times New Roman" w:eastAsia="宋体" w:cs="Times New Roman"/>
      <w:sz w:val="24"/>
      <w:szCs w:val="24"/>
    </w:rPr>
  </w:style>
  <w:style w:type="paragraph" w:customStyle="1" w:styleId="338">
    <w:name w:val="WPS Plain"/>
    <w:qFormat/>
    <w:uiPriority w:val="0"/>
    <w:rPr>
      <w:rFonts w:ascii="Times New Roman" w:hAnsi="Times New Roman" w:eastAsia="宋体" w:cs="Times New Roman"/>
      <w:kern w:val="0"/>
      <w:sz w:val="20"/>
      <w:szCs w:val="20"/>
      <w:lang w:val="en-US" w:eastAsia="zh-CN" w:bidi="ar-SA"/>
    </w:rPr>
  </w:style>
  <w:style w:type="paragraph" w:customStyle="1" w:styleId="339">
    <w:name w:val="Char2"/>
    <w:basedOn w:val="1"/>
    <w:qFormat/>
    <w:uiPriority w:val="0"/>
    <w:pPr>
      <w:snapToGrid w:val="0"/>
      <w:spacing w:line="360" w:lineRule="auto"/>
      <w:ind w:firstLine="200" w:firstLineChars="200"/>
    </w:pPr>
    <w:rPr>
      <w:rFonts w:ascii="Times New Roman" w:hAnsi="Times New Roman" w:eastAsia="仿宋_GB2312" w:cs="Times New Roman"/>
      <w:sz w:val="24"/>
      <w:szCs w:val="24"/>
    </w:rPr>
  </w:style>
  <w:style w:type="paragraph" w:customStyle="1" w:styleId="340">
    <w:name w:val="报告"/>
    <w:basedOn w:val="1"/>
    <w:qFormat/>
    <w:uiPriority w:val="0"/>
    <w:pPr>
      <w:adjustRightInd w:val="0"/>
      <w:spacing w:line="360" w:lineRule="auto"/>
      <w:ind w:firstLine="505"/>
      <w:textAlignment w:val="center"/>
    </w:pPr>
    <w:rPr>
      <w:rFonts w:ascii="TimesNewRoman" w:hAnsi="TimesNewRoman" w:eastAsia="宋体" w:cs="Times New Roman"/>
      <w:kern w:val="0"/>
      <w:sz w:val="24"/>
      <w:szCs w:val="20"/>
    </w:rPr>
  </w:style>
  <w:style w:type="paragraph" w:customStyle="1" w:styleId="341">
    <w:name w:val="样式 标题 1 + 小二"/>
    <w:basedOn w:val="2"/>
    <w:qFormat/>
    <w:uiPriority w:val="0"/>
    <w:pPr>
      <w:spacing w:line="500" w:lineRule="exact"/>
    </w:pPr>
    <w:rPr>
      <w:sz w:val="36"/>
      <w:szCs w:val="36"/>
    </w:rPr>
  </w:style>
  <w:style w:type="paragraph" w:customStyle="1" w:styleId="342">
    <w:name w:val="Char Char1"/>
    <w:basedOn w:val="1"/>
    <w:qFormat/>
    <w:uiPriority w:val="0"/>
    <w:pPr>
      <w:snapToGrid w:val="0"/>
      <w:spacing w:line="360" w:lineRule="auto"/>
      <w:ind w:firstLine="200" w:firstLineChars="200"/>
    </w:pPr>
    <w:rPr>
      <w:rFonts w:ascii="Times New Roman" w:hAnsi="Times New Roman" w:eastAsia="仿宋_GB2312" w:cs="Times New Roman"/>
      <w:sz w:val="24"/>
      <w:szCs w:val="24"/>
    </w:rPr>
  </w:style>
  <w:style w:type="paragraph" w:customStyle="1" w:styleId="343">
    <w:name w:val="Char4 Char Char Char Char Char Char Char Char Char Char Char Char Char Char Char Char Char1 Char Char Char Char1"/>
    <w:basedOn w:val="1"/>
    <w:qFormat/>
    <w:uiPriority w:val="0"/>
    <w:pPr>
      <w:spacing w:line="240" w:lineRule="exact"/>
      <w:ind w:firstLine="200" w:firstLineChars="200"/>
    </w:pPr>
    <w:rPr>
      <w:rFonts w:ascii="Times New Roman" w:hAnsi="Times New Roman" w:eastAsia="宋体" w:cs="Times New Roman"/>
      <w:sz w:val="28"/>
      <w:szCs w:val="28"/>
    </w:rPr>
  </w:style>
  <w:style w:type="paragraph" w:customStyle="1" w:styleId="344">
    <w:name w:val="新表"/>
    <w:basedOn w:val="1"/>
    <w:qFormat/>
    <w:uiPriority w:val="0"/>
    <w:pPr>
      <w:spacing w:line="360" w:lineRule="exact"/>
    </w:pPr>
    <w:rPr>
      <w:rFonts w:ascii="Times New Roman" w:hAnsi="Times New Roman" w:eastAsia="仿宋_GB2312" w:cs="Times New Roman"/>
      <w:bCs/>
      <w:kern w:val="0"/>
      <w:sz w:val="24"/>
      <w:szCs w:val="24"/>
    </w:rPr>
  </w:style>
  <w:style w:type="paragraph" w:customStyle="1" w:styleId="345">
    <w:name w:val="2"/>
    <w:basedOn w:val="1"/>
    <w:next w:val="16"/>
    <w:qFormat/>
    <w:uiPriority w:val="0"/>
    <w:pPr>
      <w:spacing w:after="120"/>
    </w:pPr>
    <w:rPr>
      <w:rFonts w:ascii="Times New Roman" w:hAnsi="Times New Roman" w:eastAsia="宋体" w:cs="Times New Roman"/>
      <w:szCs w:val="24"/>
    </w:rPr>
  </w:style>
  <w:style w:type="paragraph" w:customStyle="1" w:styleId="346">
    <w:name w:val="样式 标题 3 + (西文) Times New Roman (中文) 宋体 小四 加粗"/>
    <w:basedOn w:val="4"/>
    <w:qFormat/>
    <w:uiPriority w:val="0"/>
    <w:pPr>
      <w:numPr>
        <w:ilvl w:val="2"/>
        <w:numId w:val="4"/>
      </w:numPr>
      <w:tabs>
        <w:tab w:val="left" w:pos="709"/>
        <w:tab w:val="left" w:pos="1680"/>
      </w:tabs>
      <w:adjustRightInd w:val="0"/>
      <w:snapToGrid w:val="0"/>
      <w:spacing w:before="120" w:beforeLines="50" w:after="120" w:afterLines="50" w:line="480" w:lineRule="exact"/>
      <w:jc w:val="left"/>
    </w:pPr>
    <w:rPr>
      <w:rFonts w:hAnsi="宋体" w:eastAsia="黑体"/>
      <w:b w:val="0"/>
      <w:snapToGrid w:val="0"/>
      <w:sz w:val="30"/>
      <w:szCs w:val="30"/>
    </w:rPr>
  </w:style>
  <w:style w:type="paragraph" w:customStyle="1" w:styleId="347">
    <w:name w:val="Normal_3"/>
    <w:qFormat/>
    <w:uiPriority w:val="0"/>
    <w:pPr>
      <w:spacing w:before="120" w:after="240"/>
      <w:jc w:val="both"/>
    </w:pPr>
    <w:rPr>
      <w:rFonts w:ascii="Times New Roman" w:hAnsi="Times New Roman" w:eastAsia="Calibri" w:cs="Times New Roman"/>
      <w:kern w:val="0"/>
      <w:sz w:val="22"/>
      <w:szCs w:val="22"/>
      <w:lang w:val="ru-RU" w:eastAsia="en-US" w:bidi="ar-SA"/>
    </w:rPr>
  </w:style>
  <w:style w:type="paragraph" w:customStyle="1" w:styleId="348">
    <w:name w:val="样式 样式 样式 列表 + 左侧:  0 厘米 悬挂缩进: 5.85 字符 + 行距: 固定值 24 磅 + 首行缩进:  0...."/>
    <w:basedOn w:val="1"/>
    <w:qFormat/>
    <w:uiPriority w:val="0"/>
    <w:pPr>
      <w:framePr w:hSpace="180" w:wrap="around" w:vAnchor="text" w:hAnchor="margin" w:xAlign="center" w:y="202"/>
      <w:autoSpaceDE w:val="0"/>
      <w:autoSpaceDN w:val="0"/>
      <w:adjustRightInd w:val="0"/>
      <w:jc w:val="center"/>
    </w:pPr>
    <w:rPr>
      <w:rFonts w:ascii="宋体" w:hAnsi="Times New Roman" w:eastAsia="宋体" w:cs="宋体"/>
      <w:szCs w:val="21"/>
      <w:lang w:val="zh-CN"/>
    </w:rPr>
  </w:style>
  <w:style w:type="paragraph" w:customStyle="1" w:styleId="349">
    <w:name w:val="样式 样式 标题 2节 + (西文) Times New Roman (中文) 宋体 四号 段前: 0.5 行 段后: 0......"/>
    <w:basedOn w:val="1"/>
    <w:qFormat/>
    <w:uiPriority w:val="0"/>
    <w:pPr>
      <w:keepNext/>
      <w:keepLines/>
      <w:numPr>
        <w:ilvl w:val="1"/>
        <w:numId w:val="4"/>
      </w:numPr>
      <w:tabs>
        <w:tab w:val="left" w:pos="567"/>
        <w:tab w:val="left" w:pos="1260"/>
      </w:tabs>
      <w:adjustRightInd w:val="0"/>
      <w:snapToGrid w:val="0"/>
      <w:spacing w:before="120" w:beforeLines="50" w:after="120" w:afterLines="50" w:line="480" w:lineRule="exact"/>
      <w:ind w:left="142" w:hanging="142"/>
      <w:outlineLvl w:val="1"/>
    </w:pPr>
    <w:rPr>
      <w:rFonts w:ascii="Times New Roman" w:hAnsi="Times New Roman" w:eastAsia="黑体" w:cs="Times New Roman"/>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er" Target="footer1.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wmf"/><Relationship Id="rId26" Type="http://schemas.openxmlformats.org/officeDocument/2006/relationships/oleObject" Target="embeddings/oleObject9.bin"/><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wmf"/><Relationship Id="rId22" Type="http://schemas.openxmlformats.org/officeDocument/2006/relationships/oleObject" Target="embeddings/oleObject8.bin"/><Relationship Id="rId21" Type="http://schemas.openxmlformats.org/officeDocument/2006/relationships/image" Target="media/image7.w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6.wmf"/><Relationship Id="rId18" Type="http://schemas.openxmlformats.org/officeDocument/2006/relationships/oleObject" Target="embeddings/oleObject6.bin"/><Relationship Id="rId17" Type="http://schemas.openxmlformats.org/officeDocument/2006/relationships/image" Target="media/image5.wmf"/><Relationship Id="rId16" Type="http://schemas.openxmlformats.org/officeDocument/2006/relationships/oleObject" Target="embeddings/oleObject5.bin"/><Relationship Id="rId15" Type="http://schemas.openxmlformats.org/officeDocument/2006/relationships/image" Target="media/image4.wmf"/><Relationship Id="rId14" Type="http://schemas.openxmlformats.org/officeDocument/2006/relationships/oleObject" Target="embeddings/oleObject4.bin"/><Relationship Id="rId13" Type="http://schemas.openxmlformats.org/officeDocument/2006/relationships/image" Target="media/image3.wmf"/><Relationship Id="rId12" Type="http://schemas.openxmlformats.org/officeDocument/2006/relationships/oleObject" Target="embeddings/oleObject3.bin"/><Relationship Id="rId11" Type="http://schemas.openxmlformats.org/officeDocument/2006/relationships/image" Target="media/image2.e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Info spid="_x0000_s2049"/>
    <customShpInfo spid="_x0000_s104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6337</Words>
  <Characters>36122</Characters>
  <Lines>301</Lines>
  <Paragraphs>84</Paragraphs>
  <TotalTime>219</TotalTime>
  <ScaleCrop>false</ScaleCrop>
  <LinksUpToDate>false</LinksUpToDate>
  <CharactersWithSpaces>42375</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2020-06-27T22:31:00Z</dcterms:created>
  <dc:creator>张文勇</dc:creator>
  <cp:lastModifiedBy>奈lu.</cp:lastModifiedBy>
  <dcterms:modified xsi:type="dcterms:W3CDTF">2020-08-12T02:03:17Z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