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4.vsd" ContentType="application/vnd.visio"/>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pPr>
        <w:rPr>
          <w:rFonts w:eastAsia="仿宋_GB2312"/>
          <w:color w:val="auto"/>
          <w:sz w:val="36"/>
          <w:szCs w:val="36"/>
        </w:rPr>
      </w:pPr>
    </w:p>
    <w:p>
      <w:pPr>
        <w:rPr>
          <w:rFonts w:eastAsia="仿宋_GB2312"/>
          <w:color w:val="auto"/>
          <w:sz w:val="36"/>
          <w:szCs w:val="36"/>
        </w:rPr>
      </w:pPr>
    </w:p>
    <w:p>
      <w:pPr>
        <w:rPr>
          <w:rFonts w:eastAsia="仿宋_GB2312"/>
          <w:color w:val="auto"/>
          <w:sz w:val="36"/>
          <w:szCs w:val="36"/>
        </w:rPr>
      </w:pPr>
    </w:p>
    <w:p>
      <w:pPr>
        <w:adjustRightInd w:val="0"/>
        <w:snapToGrid w:val="0"/>
        <w:jc w:val="center"/>
        <w:outlineLvl w:val="0"/>
        <w:rPr>
          <w:bCs/>
          <w:color w:val="auto"/>
          <w:sz w:val="72"/>
          <w:szCs w:val="72"/>
        </w:rPr>
      </w:pPr>
      <w:r>
        <w:rPr>
          <w:bCs/>
          <w:color w:val="auto"/>
          <w:sz w:val="72"/>
          <w:szCs w:val="72"/>
        </w:rPr>
        <w:t>建设项目环境影响报告表</w:t>
      </w:r>
    </w:p>
    <w:p>
      <w:pPr>
        <w:adjustRightInd w:val="0"/>
        <w:snapToGrid w:val="0"/>
        <w:spacing w:before="192" w:beforeLines="80"/>
        <w:jc w:val="center"/>
        <w:rPr>
          <w:bCs/>
          <w:color w:val="auto"/>
          <w:sz w:val="48"/>
          <w:szCs w:val="48"/>
        </w:rPr>
      </w:pPr>
      <w:r>
        <w:rPr>
          <w:bCs/>
          <w:color w:val="auto"/>
          <w:sz w:val="48"/>
          <w:szCs w:val="48"/>
        </w:rPr>
        <w:t>（污染影响类）</w:t>
      </w:r>
    </w:p>
    <w:p>
      <w:pPr>
        <w:adjustRightInd w:val="0"/>
        <w:snapToGrid w:val="0"/>
        <w:spacing w:line="288" w:lineRule="auto"/>
        <w:jc w:val="center"/>
        <w:rPr>
          <w:color w:val="auto"/>
          <w:kern w:val="44"/>
          <w:sz w:val="44"/>
          <w:szCs w:val="44"/>
        </w:rPr>
      </w:pPr>
    </w:p>
    <w:p>
      <w:pPr>
        <w:jc w:val="center"/>
        <w:rPr>
          <w:color w:val="auto"/>
          <w:sz w:val="52"/>
          <w:szCs w:val="52"/>
        </w:rPr>
      </w:pPr>
    </w:p>
    <w:p>
      <w:pPr>
        <w:rPr>
          <w:color w:val="auto"/>
          <w:sz w:val="44"/>
          <w:szCs w:val="44"/>
        </w:rPr>
      </w:pPr>
    </w:p>
    <w:p>
      <w:pPr>
        <w:rPr>
          <w:color w:val="auto"/>
          <w:sz w:val="44"/>
          <w:szCs w:val="44"/>
        </w:rPr>
      </w:pPr>
    </w:p>
    <w:p>
      <w:pPr>
        <w:rPr>
          <w:color w:val="auto"/>
          <w:sz w:val="44"/>
          <w:szCs w:val="44"/>
        </w:rPr>
      </w:pPr>
    </w:p>
    <w:p>
      <w:pPr>
        <w:adjustRightInd w:val="0"/>
        <w:snapToGrid w:val="0"/>
        <w:spacing w:line="288" w:lineRule="auto"/>
        <w:jc w:val="center"/>
        <w:rPr>
          <w:color w:val="auto"/>
          <w:sz w:val="36"/>
          <w:szCs w:val="36"/>
        </w:rPr>
      </w:pPr>
    </w:p>
    <w:p>
      <w:pPr>
        <w:adjustRightInd w:val="0"/>
        <w:snapToGrid w:val="0"/>
        <w:spacing w:line="360" w:lineRule="auto"/>
        <w:ind w:left="630" w:leftChars="300"/>
        <w:jc w:val="left"/>
        <w:rPr>
          <w:color w:val="auto"/>
          <w:sz w:val="36"/>
          <w:szCs w:val="36"/>
          <w:u w:val="single"/>
        </w:rPr>
      </w:pPr>
      <w:r>
        <w:rPr>
          <w:color w:val="auto"/>
          <w:sz w:val="36"/>
          <w:szCs w:val="36"/>
        </w:rPr>
        <w:t>项目名称：</w:t>
      </w:r>
      <w:r>
        <w:rPr>
          <w:rFonts w:hint="eastAsia"/>
          <w:color w:val="auto"/>
          <w:sz w:val="36"/>
          <w:szCs w:val="36"/>
          <w:u w:val="single"/>
        </w:rPr>
        <w:t>迁扩建橡胶件及塑料件项目</w:t>
      </w:r>
    </w:p>
    <w:p>
      <w:pPr>
        <w:adjustRightInd w:val="0"/>
        <w:snapToGrid w:val="0"/>
        <w:spacing w:line="360" w:lineRule="auto"/>
        <w:ind w:firstLine="720" w:firstLineChars="200"/>
        <w:jc w:val="left"/>
        <w:rPr>
          <w:color w:val="auto"/>
          <w:sz w:val="36"/>
          <w:szCs w:val="36"/>
          <w:u w:val="single"/>
        </w:rPr>
      </w:pPr>
      <w:r>
        <w:rPr>
          <w:color w:val="auto"/>
          <w:sz w:val="36"/>
          <w:szCs w:val="36"/>
        </w:rPr>
        <w:t>建设单位（盖章）：</w:t>
      </w:r>
      <w:r>
        <w:rPr>
          <w:color w:val="auto"/>
          <w:sz w:val="36"/>
          <w:szCs w:val="36"/>
          <w:u w:val="single"/>
        </w:rPr>
        <w:t>苏州路似达橡胶有限公司</w:t>
      </w:r>
    </w:p>
    <w:p>
      <w:pPr>
        <w:adjustRightInd w:val="0"/>
        <w:snapToGrid w:val="0"/>
        <w:spacing w:line="360" w:lineRule="auto"/>
        <w:ind w:firstLine="720" w:firstLineChars="200"/>
        <w:jc w:val="left"/>
        <w:rPr>
          <w:color w:val="auto"/>
          <w:sz w:val="36"/>
          <w:szCs w:val="36"/>
        </w:rPr>
      </w:pPr>
      <w:r>
        <w:rPr>
          <w:color w:val="auto"/>
          <w:sz w:val="36"/>
          <w:szCs w:val="36"/>
        </w:rPr>
        <w:t>编制日期：</w:t>
      </w:r>
      <w:r>
        <w:rPr>
          <w:color w:val="auto"/>
          <w:sz w:val="36"/>
          <w:szCs w:val="36"/>
          <w:u w:val="single"/>
        </w:rPr>
        <w:t>2023年</w:t>
      </w:r>
      <w:r>
        <w:rPr>
          <w:rFonts w:hint="eastAsia"/>
          <w:color w:val="auto"/>
          <w:sz w:val="36"/>
          <w:szCs w:val="36"/>
          <w:u w:val="single"/>
        </w:rPr>
        <w:t>7</w:t>
      </w:r>
      <w:r>
        <w:rPr>
          <w:color w:val="auto"/>
          <w:sz w:val="36"/>
          <w:szCs w:val="36"/>
          <w:u w:val="single"/>
        </w:rPr>
        <w:t>月</w:t>
      </w:r>
    </w:p>
    <w:p>
      <w:pPr>
        <w:adjustRightInd w:val="0"/>
        <w:snapToGrid w:val="0"/>
        <w:spacing w:line="288" w:lineRule="auto"/>
        <w:rPr>
          <w:rFonts w:eastAsia="楷体_GB2312"/>
          <w:color w:val="auto"/>
          <w:sz w:val="36"/>
          <w:szCs w:val="36"/>
        </w:rPr>
      </w:pPr>
    </w:p>
    <w:p>
      <w:pPr>
        <w:adjustRightInd w:val="0"/>
        <w:snapToGrid w:val="0"/>
        <w:spacing w:line="288" w:lineRule="auto"/>
        <w:jc w:val="center"/>
        <w:rPr>
          <w:rFonts w:eastAsia="楷体_GB2312"/>
          <w:color w:val="auto"/>
          <w:sz w:val="36"/>
          <w:szCs w:val="36"/>
        </w:rPr>
      </w:pPr>
    </w:p>
    <w:p>
      <w:pPr>
        <w:adjustRightInd w:val="0"/>
        <w:snapToGrid w:val="0"/>
        <w:spacing w:line="288" w:lineRule="auto"/>
        <w:jc w:val="center"/>
        <w:rPr>
          <w:rFonts w:eastAsia="楷体_GB2312"/>
          <w:color w:val="auto"/>
          <w:sz w:val="36"/>
          <w:szCs w:val="36"/>
        </w:rPr>
      </w:pPr>
    </w:p>
    <w:p>
      <w:pPr>
        <w:adjustRightInd w:val="0"/>
        <w:snapToGrid w:val="0"/>
        <w:spacing w:line="288" w:lineRule="auto"/>
        <w:jc w:val="center"/>
        <w:rPr>
          <w:rFonts w:eastAsia="楷体_GB2312"/>
          <w:color w:val="auto"/>
          <w:sz w:val="36"/>
          <w:szCs w:val="36"/>
        </w:rPr>
      </w:pPr>
    </w:p>
    <w:p>
      <w:pPr>
        <w:adjustRightInd w:val="0"/>
        <w:snapToGrid w:val="0"/>
        <w:spacing w:line="288" w:lineRule="auto"/>
        <w:jc w:val="center"/>
        <w:rPr>
          <w:rFonts w:eastAsia="楷体_GB2312"/>
          <w:color w:val="auto"/>
          <w:sz w:val="36"/>
          <w:szCs w:val="36"/>
        </w:rPr>
      </w:pPr>
    </w:p>
    <w:p>
      <w:pPr>
        <w:adjustRightInd w:val="0"/>
        <w:snapToGrid w:val="0"/>
        <w:spacing w:line="288" w:lineRule="auto"/>
        <w:jc w:val="center"/>
        <w:rPr>
          <w:rFonts w:eastAsia="楷体_GB2312"/>
          <w:color w:val="auto"/>
          <w:sz w:val="36"/>
          <w:szCs w:val="36"/>
        </w:rPr>
      </w:pPr>
    </w:p>
    <w:p>
      <w:pPr>
        <w:adjustRightInd w:val="0"/>
        <w:snapToGrid w:val="0"/>
        <w:spacing w:line="288" w:lineRule="auto"/>
        <w:jc w:val="center"/>
        <w:rPr>
          <w:rFonts w:eastAsia="楷体_GB2312"/>
          <w:color w:val="auto"/>
          <w:sz w:val="36"/>
          <w:szCs w:val="36"/>
        </w:rPr>
      </w:pPr>
    </w:p>
    <w:p>
      <w:pPr>
        <w:adjustRightInd w:val="0"/>
        <w:snapToGrid w:val="0"/>
        <w:spacing w:line="288" w:lineRule="auto"/>
        <w:jc w:val="center"/>
        <w:rPr>
          <w:rFonts w:eastAsia="楷体_GB2312"/>
          <w:color w:val="auto"/>
          <w:sz w:val="36"/>
          <w:szCs w:val="36"/>
        </w:rPr>
      </w:pPr>
    </w:p>
    <w:p>
      <w:pPr>
        <w:adjustRightInd w:val="0"/>
        <w:snapToGrid w:val="0"/>
        <w:spacing w:line="288" w:lineRule="auto"/>
        <w:jc w:val="center"/>
        <w:rPr>
          <w:color w:val="auto"/>
          <w:sz w:val="36"/>
          <w:szCs w:val="36"/>
        </w:rPr>
      </w:pPr>
      <w:r>
        <w:rPr>
          <w:color w:val="auto"/>
          <w:sz w:val="36"/>
          <w:szCs w:val="36"/>
        </w:rPr>
        <w:t>中华人民共和国生态环境部制</w:t>
      </w:r>
    </w:p>
    <w:p>
      <w:pPr>
        <w:adjustRightInd w:val="0"/>
        <w:snapToGrid w:val="0"/>
        <w:spacing w:line="288" w:lineRule="auto"/>
        <w:ind w:firstLine="1040"/>
        <w:rPr>
          <w:rFonts w:eastAsia="仿宋_GB2312"/>
          <w:color w:val="auto"/>
          <w:sz w:val="36"/>
          <w:szCs w:val="36"/>
        </w:rPr>
        <w:sectPr>
          <w:footerReference r:id="rId3" w:type="default"/>
          <w:footerReference r:id="rId4" w:type="even"/>
          <w:pgSz w:w="11906" w:h="16838"/>
          <w:pgMar w:top="1440" w:right="1080" w:bottom="1440" w:left="1080" w:header="851" w:footer="1077" w:gutter="0"/>
          <w:pgNumType w:start="3"/>
          <w:cols w:space="720" w:num="1"/>
          <w:docGrid w:linePitch="312" w:charSpace="0"/>
        </w:sectPr>
      </w:pPr>
    </w:p>
    <w:p>
      <w:pPr>
        <w:adjustRightInd w:val="0"/>
        <w:snapToGrid w:val="0"/>
        <w:spacing w:line="360" w:lineRule="auto"/>
        <w:jc w:val="center"/>
        <w:outlineLvl w:val="0"/>
        <w:rPr>
          <w:rFonts w:eastAsia="黑体"/>
          <w:snapToGrid w:val="0"/>
          <w:color w:val="auto"/>
          <w:sz w:val="30"/>
          <w:szCs w:val="30"/>
        </w:rPr>
      </w:pPr>
      <w:r>
        <w:rPr>
          <w:rFonts w:eastAsia="黑体"/>
          <w:snapToGrid w:val="0"/>
          <w:color w:val="auto"/>
          <w:sz w:val="30"/>
          <w:szCs w:val="30"/>
        </w:rPr>
        <w:t>一、建设项目基本情况</w:t>
      </w:r>
    </w:p>
    <w:tbl>
      <w:tblPr>
        <w:tblStyle w:val="37"/>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560"/>
        <w:gridCol w:w="2985"/>
        <w:gridCol w:w="1565"/>
        <w:gridCol w:w="365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27" w:hRule="atLeast"/>
          <w:jc w:val="center"/>
        </w:trPr>
        <w:tc>
          <w:tcPr>
            <w:tcW w:w="1555"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zCs w:val="21"/>
              </w:rPr>
            </w:pPr>
            <w:r>
              <w:rPr>
                <w:color w:val="auto"/>
                <w:szCs w:val="21"/>
              </w:rPr>
              <w:t>建设项目名称</w:t>
            </w:r>
          </w:p>
        </w:tc>
        <w:tc>
          <w:tcPr>
            <w:tcW w:w="8181"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auto"/>
                <w:szCs w:val="21"/>
                <w:highlight w:val="yellow"/>
              </w:rPr>
            </w:pPr>
            <w:r>
              <w:rPr>
                <w:rFonts w:hint="eastAsia"/>
                <w:color w:val="auto"/>
                <w:szCs w:val="21"/>
              </w:rPr>
              <w:t>迁扩建橡胶件及塑料件项目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44" w:hRule="atLeast"/>
          <w:jc w:val="center"/>
        </w:trPr>
        <w:tc>
          <w:tcPr>
            <w:tcW w:w="1555"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zCs w:val="21"/>
              </w:rPr>
            </w:pPr>
            <w:r>
              <w:rPr>
                <w:color w:val="auto"/>
                <w:szCs w:val="21"/>
              </w:rPr>
              <w:t>项目代码</w:t>
            </w:r>
          </w:p>
        </w:tc>
        <w:tc>
          <w:tcPr>
            <w:tcW w:w="8181"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auto"/>
                <w:szCs w:val="21"/>
                <w:highlight w:val="yellow"/>
              </w:rPr>
            </w:pPr>
            <w:r>
              <w:rPr>
                <w:rFonts w:hint="eastAsia"/>
                <w:color w:val="auto"/>
                <w:szCs w:val="21"/>
              </w:rPr>
              <w:t>2306-320585-89-01-130757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49" w:hRule="atLeast"/>
          <w:jc w:val="center"/>
        </w:trPr>
        <w:tc>
          <w:tcPr>
            <w:tcW w:w="1555"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zCs w:val="21"/>
              </w:rPr>
            </w:pPr>
            <w:r>
              <w:rPr>
                <w:color w:val="auto"/>
                <w:szCs w:val="21"/>
              </w:rPr>
              <w:t>建设单位联系人</w:t>
            </w:r>
          </w:p>
        </w:tc>
        <w:tc>
          <w:tcPr>
            <w:tcW w:w="2976"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auto"/>
                <w:szCs w:val="21"/>
              </w:rPr>
            </w:pPr>
            <w:r>
              <w:rPr>
                <w:rFonts w:hint="eastAsia"/>
                <w:color w:val="auto"/>
              </w:rPr>
              <w:t>谢丽红</w:t>
            </w:r>
          </w:p>
        </w:tc>
        <w:tc>
          <w:tcPr>
            <w:tcW w:w="15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auto"/>
                <w:szCs w:val="21"/>
              </w:rPr>
            </w:pPr>
            <w:r>
              <w:rPr>
                <w:color w:val="auto"/>
                <w:szCs w:val="21"/>
              </w:rPr>
              <w:t>联系方式</w:t>
            </w:r>
          </w:p>
        </w:tc>
        <w:tc>
          <w:tcPr>
            <w:tcW w:w="3645" w:type="dxa"/>
            <w:tcBorders>
              <w:top w:val="single" w:color="auto" w:sz="4" w:space="0"/>
              <w:left w:val="single" w:color="auto" w:sz="4" w:space="0"/>
              <w:bottom w:val="single" w:color="auto" w:sz="4" w:space="0"/>
              <w:right w:val="single" w:color="auto" w:sz="4" w:space="0"/>
            </w:tcBorders>
            <w:vAlign w:val="center"/>
          </w:tcPr>
          <w:p>
            <w:pPr>
              <w:widowControl/>
              <w:adjustRightInd w:val="0"/>
              <w:snapToGrid w:val="0"/>
              <w:jc w:val="center"/>
              <w:rPr>
                <w:rFonts w:eastAsia="微软雅黑"/>
                <w:color w:val="auto"/>
                <w:kern w:val="0"/>
                <w:szCs w:val="21"/>
              </w:rPr>
            </w:pPr>
            <w:r>
              <w:rPr>
                <w:color w:val="auto"/>
              </w:rPr>
              <w:t>18013776778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30" w:hRule="atLeast"/>
          <w:jc w:val="center"/>
        </w:trPr>
        <w:tc>
          <w:tcPr>
            <w:tcW w:w="1555"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zCs w:val="21"/>
              </w:rPr>
            </w:pPr>
            <w:r>
              <w:rPr>
                <w:color w:val="auto"/>
                <w:szCs w:val="21"/>
              </w:rPr>
              <w:t>建设地点</w:t>
            </w:r>
          </w:p>
        </w:tc>
        <w:tc>
          <w:tcPr>
            <w:tcW w:w="8181"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auto"/>
                <w:szCs w:val="21"/>
              </w:rPr>
            </w:pPr>
            <w:r>
              <w:rPr>
                <w:color w:val="auto"/>
                <w:szCs w:val="21"/>
              </w:rPr>
              <w:t>江苏省</w:t>
            </w:r>
            <w:bookmarkStart w:id="0" w:name="_Hlk124338899"/>
            <w:r>
              <w:rPr>
                <w:rFonts w:hint="eastAsia"/>
                <w:color w:val="auto"/>
                <w:szCs w:val="21"/>
              </w:rPr>
              <w:t>太仓市</w:t>
            </w:r>
            <w:r>
              <w:rPr>
                <w:rFonts w:hint="eastAsia"/>
                <w:color w:val="auto"/>
              </w:rPr>
              <w:t>城厢镇东亭北路128号9幢</w:t>
            </w:r>
            <w:bookmarkEnd w:id="0"/>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38" w:hRule="atLeast"/>
          <w:jc w:val="center"/>
        </w:trPr>
        <w:tc>
          <w:tcPr>
            <w:tcW w:w="1555"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zCs w:val="21"/>
              </w:rPr>
            </w:pPr>
            <w:r>
              <w:rPr>
                <w:color w:val="auto"/>
                <w:szCs w:val="21"/>
              </w:rPr>
              <w:t>地理坐标</w:t>
            </w:r>
          </w:p>
        </w:tc>
        <w:tc>
          <w:tcPr>
            <w:tcW w:w="8181"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auto"/>
                <w:szCs w:val="21"/>
              </w:rPr>
            </w:pPr>
            <w:r>
              <w:rPr>
                <w:color w:val="auto"/>
                <w:szCs w:val="21"/>
              </w:rPr>
              <w:t>（</w:t>
            </w:r>
            <w:r>
              <w:rPr>
                <w:color w:val="auto"/>
                <w:szCs w:val="21"/>
                <w:u w:val="single"/>
              </w:rPr>
              <w:t xml:space="preserve">  121  </w:t>
            </w:r>
            <w:r>
              <w:rPr>
                <w:color w:val="auto"/>
                <w:szCs w:val="21"/>
              </w:rPr>
              <w:t>度</w:t>
            </w:r>
            <w:r>
              <w:rPr>
                <w:color w:val="auto"/>
                <w:szCs w:val="21"/>
                <w:u w:val="single"/>
              </w:rPr>
              <w:t xml:space="preserve">  7  </w:t>
            </w:r>
            <w:r>
              <w:rPr>
                <w:color w:val="auto"/>
                <w:szCs w:val="21"/>
              </w:rPr>
              <w:t>分</w:t>
            </w:r>
            <w:r>
              <w:rPr>
                <w:color w:val="auto"/>
                <w:szCs w:val="21"/>
                <w:u w:val="single"/>
              </w:rPr>
              <w:t xml:space="preserve">  8.1228 </w:t>
            </w:r>
            <w:r>
              <w:rPr>
                <w:color w:val="auto"/>
                <w:szCs w:val="21"/>
              </w:rPr>
              <w:t>秒，</w:t>
            </w:r>
            <w:r>
              <w:rPr>
                <w:color w:val="auto"/>
                <w:szCs w:val="21"/>
                <w:u w:val="single"/>
              </w:rPr>
              <w:t xml:space="preserve">  31  </w:t>
            </w:r>
            <w:r>
              <w:rPr>
                <w:color w:val="auto"/>
                <w:szCs w:val="21"/>
              </w:rPr>
              <w:t>度</w:t>
            </w:r>
            <w:r>
              <w:rPr>
                <w:color w:val="auto"/>
                <w:szCs w:val="21"/>
                <w:u w:val="single"/>
              </w:rPr>
              <w:t xml:space="preserve">  29  </w:t>
            </w:r>
            <w:r>
              <w:rPr>
                <w:color w:val="auto"/>
                <w:szCs w:val="21"/>
              </w:rPr>
              <w:t>分</w:t>
            </w:r>
            <w:r>
              <w:rPr>
                <w:color w:val="auto"/>
                <w:szCs w:val="21"/>
                <w:u w:val="single"/>
              </w:rPr>
              <w:t xml:space="preserve">  51.0648 </w:t>
            </w:r>
            <w:r>
              <w:rPr>
                <w:color w:val="auto"/>
                <w:szCs w:val="21"/>
              </w:rPr>
              <w:t>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555"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zCs w:val="21"/>
              </w:rPr>
            </w:pPr>
            <w:r>
              <w:rPr>
                <w:color w:val="auto"/>
                <w:szCs w:val="21"/>
              </w:rPr>
              <w:t>国民经济</w:t>
            </w:r>
          </w:p>
          <w:p>
            <w:pPr>
              <w:adjustRightInd w:val="0"/>
              <w:snapToGrid w:val="0"/>
              <w:jc w:val="center"/>
              <w:rPr>
                <w:color w:val="auto"/>
                <w:szCs w:val="21"/>
              </w:rPr>
            </w:pPr>
            <w:r>
              <w:rPr>
                <w:color w:val="auto"/>
                <w:szCs w:val="21"/>
              </w:rPr>
              <w:t>行业类别</w:t>
            </w:r>
          </w:p>
        </w:tc>
        <w:tc>
          <w:tcPr>
            <w:tcW w:w="2976" w:type="dxa"/>
            <w:tcBorders>
              <w:top w:val="single" w:color="auto" w:sz="4" w:space="0"/>
              <w:left w:val="single" w:color="auto" w:sz="4" w:space="0"/>
              <w:bottom w:val="single" w:color="auto" w:sz="4" w:space="0"/>
              <w:right w:val="single" w:color="auto" w:sz="4" w:space="0"/>
            </w:tcBorders>
            <w:vAlign w:val="center"/>
          </w:tcPr>
          <w:p>
            <w:pPr>
              <w:adjustRightInd w:val="0"/>
              <w:snapToGrid w:val="0"/>
              <w:rPr>
                <w:rFonts w:ascii="宋体" w:hAnsi="宋体" w:cs="宋体"/>
                <w:color w:val="auto"/>
                <w:spacing w:val="-2"/>
                <w:szCs w:val="21"/>
              </w:rPr>
            </w:pPr>
            <w:r>
              <w:rPr>
                <w:rFonts w:hint="eastAsia" w:ascii="宋体" w:hAnsi="宋体" w:cs="宋体"/>
                <w:color w:val="auto"/>
                <w:spacing w:val="-2"/>
                <w:szCs w:val="21"/>
              </w:rPr>
              <w:t>【</w:t>
            </w:r>
            <w:r>
              <w:rPr>
                <w:rFonts w:hint="eastAsia" w:eastAsia="Times New Roman"/>
                <w:color w:val="auto"/>
                <w:spacing w:val="-2"/>
                <w:szCs w:val="21"/>
              </w:rPr>
              <w:t>C2913</w:t>
            </w:r>
            <w:r>
              <w:rPr>
                <w:rFonts w:hint="eastAsia" w:ascii="宋体" w:hAnsi="宋体" w:cs="宋体"/>
                <w:color w:val="auto"/>
                <w:spacing w:val="-2"/>
                <w:szCs w:val="21"/>
              </w:rPr>
              <w:t>】橡胶零件制造</w:t>
            </w:r>
          </w:p>
          <w:p>
            <w:pPr>
              <w:adjustRightInd w:val="0"/>
              <w:snapToGrid w:val="0"/>
              <w:rPr>
                <w:color w:val="auto"/>
                <w:spacing w:val="-2"/>
                <w:szCs w:val="21"/>
              </w:rPr>
            </w:pPr>
            <w:r>
              <w:rPr>
                <w:rFonts w:hint="eastAsia" w:ascii="宋体" w:hAnsi="宋体" w:cs="宋体"/>
                <w:color w:val="auto"/>
                <w:spacing w:val="-2"/>
                <w:szCs w:val="21"/>
              </w:rPr>
              <w:t>【</w:t>
            </w:r>
            <w:r>
              <w:rPr>
                <w:rFonts w:hint="eastAsia" w:eastAsia="Times New Roman"/>
                <w:color w:val="auto"/>
                <w:spacing w:val="-2"/>
                <w:szCs w:val="21"/>
              </w:rPr>
              <w:t>C29</w:t>
            </w:r>
            <w:r>
              <w:rPr>
                <w:rFonts w:eastAsia="Times New Roman"/>
                <w:color w:val="auto"/>
                <w:spacing w:val="-2"/>
                <w:szCs w:val="21"/>
              </w:rPr>
              <w:t>29</w:t>
            </w:r>
            <w:r>
              <w:rPr>
                <w:rFonts w:hint="eastAsia" w:ascii="宋体" w:hAnsi="宋体" w:cs="宋体"/>
                <w:color w:val="auto"/>
                <w:spacing w:val="-2"/>
                <w:szCs w:val="21"/>
              </w:rPr>
              <w:t>】</w:t>
            </w:r>
            <w:r>
              <w:rPr>
                <w:rFonts w:hint="eastAsia"/>
                <w:color w:val="auto"/>
                <w:spacing w:val="-2"/>
                <w:szCs w:val="21"/>
              </w:rPr>
              <w:t>塑料零件及其他塑料制品制造</w:t>
            </w:r>
          </w:p>
        </w:tc>
        <w:tc>
          <w:tcPr>
            <w:tcW w:w="15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auto"/>
                <w:szCs w:val="21"/>
              </w:rPr>
            </w:pPr>
            <w:bookmarkStart w:id="1" w:name="_Hlk49843745"/>
            <w:r>
              <w:rPr>
                <w:color w:val="auto"/>
                <w:szCs w:val="21"/>
              </w:rPr>
              <w:t>建设项目</w:t>
            </w:r>
          </w:p>
          <w:p>
            <w:pPr>
              <w:adjustRightInd w:val="0"/>
              <w:snapToGrid w:val="0"/>
              <w:jc w:val="center"/>
              <w:rPr>
                <w:color w:val="auto"/>
                <w:szCs w:val="21"/>
              </w:rPr>
            </w:pPr>
            <w:r>
              <w:rPr>
                <w:color w:val="auto"/>
                <w:szCs w:val="21"/>
              </w:rPr>
              <w:t>行业类别</w:t>
            </w:r>
            <w:bookmarkEnd w:id="1"/>
          </w:p>
        </w:tc>
        <w:tc>
          <w:tcPr>
            <w:tcW w:w="3645" w:type="dxa"/>
            <w:tcBorders>
              <w:top w:val="single" w:color="auto" w:sz="4" w:space="0"/>
              <w:left w:val="single" w:color="auto" w:sz="4" w:space="0"/>
              <w:bottom w:val="single" w:color="auto" w:sz="4" w:space="0"/>
              <w:right w:val="single" w:color="auto" w:sz="4" w:space="0"/>
            </w:tcBorders>
            <w:vAlign w:val="center"/>
          </w:tcPr>
          <w:p>
            <w:pPr>
              <w:adjustRightInd w:val="0"/>
              <w:snapToGrid w:val="0"/>
              <w:ind w:firstLine="4" w:firstLineChars="2"/>
              <w:rPr>
                <w:color w:val="auto"/>
                <w:szCs w:val="21"/>
              </w:rPr>
            </w:pPr>
            <w:r>
              <w:rPr>
                <w:rFonts w:hint="eastAsia"/>
                <w:color w:val="auto"/>
                <w:szCs w:val="21"/>
              </w:rPr>
              <w:t>二十六、橡胶和塑料制品业 29</w:t>
            </w:r>
          </w:p>
          <w:p>
            <w:pPr>
              <w:adjustRightInd w:val="0"/>
              <w:snapToGrid w:val="0"/>
              <w:ind w:firstLine="4" w:firstLineChars="2"/>
              <w:rPr>
                <w:color w:val="auto"/>
                <w:szCs w:val="21"/>
              </w:rPr>
            </w:pPr>
            <w:r>
              <w:rPr>
                <w:rFonts w:hint="eastAsia"/>
                <w:color w:val="auto"/>
                <w:szCs w:val="21"/>
              </w:rPr>
              <w:t>5</w:t>
            </w:r>
            <w:r>
              <w:rPr>
                <w:color w:val="auto"/>
                <w:szCs w:val="21"/>
              </w:rPr>
              <w:t>2</w:t>
            </w:r>
            <w:r>
              <w:rPr>
                <w:rFonts w:hint="eastAsia"/>
                <w:color w:val="auto"/>
                <w:szCs w:val="21"/>
              </w:rPr>
              <w:t>、橡胶制品业 291，其他</w:t>
            </w:r>
          </w:p>
          <w:p>
            <w:pPr>
              <w:adjustRightInd w:val="0"/>
              <w:snapToGrid w:val="0"/>
              <w:ind w:firstLine="4" w:firstLineChars="2"/>
              <w:rPr>
                <w:color w:val="auto"/>
                <w:szCs w:val="21"/>
              </w:rPr>
            </w:pPr>
            <w:r>
              <w:rPr>
                <w:rFonts w:hint="eastAsia"/>
                <w:color w:val="auto"/>
                <w:szCs w:val="21"/>
              </w:rPr>
              <w:t>5</w:t>
            </w:r>
            <w:r>
              <w:rPr>
                <w:color w:val="auto"/>
                <w:szCs w:val="21"/>
              </w:rPr>
              <w:t>3</w:t>
            </w:r>
            <w:r>
              <w:rPr>
                <w:rFonts w:hint="eastAsia"/>
                <w:color w:val="auto"/>
                <w:szCs w:val="21"/>
              </w:rPr>
              <w:t>、塑料制品业 292，其他（年用非溶剂型低VOCs含量涂料10吨以下的除外）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092" w:hRule="atLeast"/>
          <w:jc w:val="center"/>
        </w:trPr>
        <w:tc>
          <w:tcPr>
            <w:tcW w:w="1555"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zCs w:val="21"/>
              </w:rPr>
            </w:pPr>
            <w:r>
              <w:rPr>
                <w:color w:val="auto"/>
                <w:szCs w:val="21"/>
              </w:rPr>
              <w:t>建设性质</w:t>
            </w:r>
          </w:p>
        </w:tc>
        <w:tc>
          <w:tcPr>
            <w:tcW w:w="2976"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color w:val="auto"/>
                <w:szCs w:val="21"/>
              </w:rPr>
            </w:pPr>
            <w:r>
              <w:rPr>
                <w:rFonts w:ascii="Segoe UI Symbol" w:hAnsi="Segoe UI Symbol" w:cs="Segoe UI Symbol"/>
                <w:color w:val="auto"/>
                <w:szCs w:val="21"/>
              </w:rPr>
              <w:t>☑</w:t>
            </w:r>
            <w:r>
              <w:rPr>
                <w:color w:val="auto"/>
                <w:szCs w:val="21"/>
              </w:rPr>
              <w:t>新建（迁建）</w:t>
            </w:r>
          </w:p>
          <w:p>
            <w:pPr>
              <w:adjustRightInd w:val="0"/>
              <w:snapToGrid w:val="0"/>
              <w:jc w:val="left"/>
              <w:rPr>
                <w:color w:val="auto"/>
                <w:szCs w:val="21"/>
              </w:rPr>
            </w:pPr>
            <w:r>
              <w:rPr>
                <w:color w:val="auto"/>
                <w:szCs w:val="21"/>
              </w:rPr>
              <w:t>□改建</w:t>
            </w:r>
          </w:p>
          <w:p>
            <w:pPr>
              <w:adjustRightInd w:val="0"/>
              <w:snapToGrid w:val="0"/>
              <w:jc w:val="left"/>
              <w:rPr>
                <w:color w:val="auto"/>
                <w:szCs w:val="21"/>
              </w:rPr>
            </w:pPr>
            <w:r>
              <w:rPr>
                <w:rFonts w:ascii="Segoe UI Symbol" w:hAnsi="Segoe UI Symbol" w:cs="Segoe UI Symbol"/>
                <w:color w:val="auto"/>
                <w:szCs w:val="21"/>
              </w:rPr>
              <w:t>☑</w:t>
            </w:r>
            <w:r>
              <w:rPr>
                <w:color w:val="auto"/>
                <w:szCs w:val="21"/>
              </w:rPr>
              <w:t>扩建</w:t>
            </w:r>
          </w:p>
          <w:p>
            <w:pPr>
              <w:adjustRightInd w:val="0"/>
              <w:snapToGrid w:val="0"/>
              <w:jc w:val="left"/>
              <w:rPr>
                <w:color w:val="auto"/>
                <w:szCs w:val="21"/>
              </w:rPr>
            </w:pPr>
            <w:r>
              <w:rPr>
                <w:color w:val="auto"/>
                <w:szCs w:val="21"/>
              </w:rPr>
              <w:t>□技术改造</w:t>
            </w:r>
          </w:p>
        </w:tc>
        <w:tc>
          <w:tcPr>
            <w:tcW w:w="15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auto"/>
                <w:szCs w:val="21"/>
              </w:rPr>
            </w:pPr>
            <w:r>
              <w:rPr>
                <w:color w:val="auto"/>
                <w:szCs w:val="21"/>
              </w:rPr>
              <w:t>建设项目</w:t>
            </w:r>
          </w:p>
          <w:p>
            <w:pPr>
              <w:adjustRightInd w:val="0"/>
              <w:snapToGrid w:val="0"/>
              <w:jc w:val="center"/>
              <w:rPr>
                <w:color w:val="auto"/>
                <w:szCs w:val="21"/>
              </w:rPr>
            </w:pPr>
            <w:r>
              <w:rPr>
                <w:color w:val="auto"/>
                <w:szCs w:val="21"/>
              </w:rPr>
              <w:t>申报情形</w:t>
            </w:r>
          </w:p>
        </w:tc>
        <w:tc>
          <w:tcPr>
            <w:tcW w:w="364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color w:val="auto"/>
                <w:szCs w:val="21"/>
              </w:rPr>
            </w:pPr>
            <w:r>
              <w:rPr>
                <w:rFonts w:ascii="Segoe UI Symbol" w:hAnsi="Segoe UI Symbol" w:cs="Segoe UI Symbol"/>
                <w:color w:val="auto"/>
                <w:szCs w:val="21"/>
              </w:rPr>
              <w:t>☑</w:t>
            </w:r>
            <w:r>
              <w:rPr>
                <w:color w:val="auto"/>
                <w:szCs w:val="21"/>
              </w:rPr>
              <w:t>首次申报项目</w:t>
            </w:r>
          </w:p>
          <w:p>
            <w:pPr>
              <w:adjustRightInd w:val="0"/>
              <w:snapToGrid w:val="0"/>
              <w:jc w:val="left"/>
              <w:rPr>
                <w:color w:val="auto"/>
                <w:szCs w:val="21"/>
              </w:rPr>
            </w:pPr>
            <w:r>
              <w:rPr>
                <w:color w:val="auto"/>
                <w:szCs w:val="21"/>
              </w:rPr>
              <w:t>□不予批准后再次申报项目</w:t>
            </w:r>
          </w:p>
          <w:p>
            <w:pPr>
              <w:adjustRightInd w:val="0"/>
              <w:snapToGrid w:val="0"/>
              <w:jc w:val="left"/>
              <w:rPr>
                <w:color w:val="auto"/>
                <w:szCs w:val="21"/>
              </w:rPr>
            </w:pPr>
            <w:r>
              <w:rPr>
                <w:color w:val="auto"/>
                <w:szCs w:val="21"/>
              </w:rPr>
              <w:t>□超五年重新审核项目</w:t>
            </w:r>
          </w:p>
          <w:p>
            <w:pPr>
              <w:adjustRightInd w:val="0"/>
              <w:snapToGrid w:val="0"/>
              <w:jc w:val="left"/>
              <w:rPr>
                <w:color w:val="auto"/>
                <w:szCs w:val="21"/>
              </w:rPr>
            </w:pPr>
            <w:r>
              <w:rPr>
                <w:color w:val="auto"/>
                <w:szCs w:val="21"/>
              </w:rPr>
              <w:t>□重大变动重新报批项目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 w:hRule="atLeast"/>
          <w:jc w:val="center"/>
        </w:trPr>
        <w:tc>
          <w:tcPr>
            <w:tcW w:w="1555"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zCs w:val="21"/>
              </w:rPr>
            </w:pPr>
            <w:r>
              <w:rPr>
                <w:color w:val="auto"/>
                <w:szCs w:val="21"/>
              </w:rPr>
              <w:t>项目审批（核准/备案）部门</w:t>
            </w:r>
          </w:p>
        </w:tc>
        <w:tc>
          <w:tcPr>
            <w:tcW w:w="2976"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color w:val="auto"/>
                <w:szCs w:val="21"/>
              </w:rPr>
            </w:pPr>
            <w:r>
              <w:rPr>
                <w:color w:val="auto"/>
                <w:szCs w:val="21"/>
              </w:rPr>
              <w:t>太仓市行政审批局</w:t>
            </w: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color w:val="auto"/>
                <w:szCs w:val="21"/>
              </w:rPr>
            </w:pPr>
            <w:r>
              <w:rPr>
                <w:color w:val="auto"/>
                <w:szCs w:val="21"/>
              </w:rPr>
              <w:t>项目审批（核准/备案）文号</w:t>
            </w:r>
          </w:p>
        </w:tc>
        <w:tc>
          <w:tcPr>
            <w:tcW w:w="364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color w:val="auto"/>
                <w:szCs w:val="21"/>
              </w:rPr>
            </w:pPr>
            <w:r>
              <w:rPr>
                <w:rFonts w:hint="eastAsia"/>
                <w:color w:val="auto"/>
                <w:szCs w:val="21"/>
              </w:rPr>
              <w:t>太行审投备〔2023〕291号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 w:hRule="atLeast"/>
          <w:jc w:val="center"/>
        </w:trPr>
        <w:tc>
          <w:tcPr>
            <w:tcW w:w="1555"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zCs w:val="21"/>
              </w:rPr>
            </w:pPr>
            <w:r>
              <w:rPr>
                <w:color w:val="auto"/>
                <w:szCs w:val="21"/>
              </w:rPr>
              <w:t>总投资（万元）</w:t>
            </w:r>
          </w:p>
        </w:tc>
        <w:tc>
          <w:tcPr>
            <w:tcW w:w="2976"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color w:val="auto"/>
                <w:szCs w:val="21"/>
              </w:rPr>
            </w:pPr>
            <w:r>
              <w:rPr>
                <w:rFonts w:hint="eastAsia"/>
                <w:color w:val="auto"/>
                <w:szCs w:val="21"/>
              </w:rPr>
              <w:t>280</w:t>
            </w:r>
          </w:p>
        </w:tc>
        <w:tc>
          <w:tcPr>
            <w:tcW w:w="1560" w:type="dxa"/>
            <w:tcBorders>
              <w:top w:val="single" w:color="auto" w:sz="4" w:space="0"/>
              <w:left w:val="single" w:color="auto" w:sz="4" w:space="0"/>
              <w:bottom w:val="single" w:color="auto" w:sz="4" w:space="0"/>
              <w:right w:val="single" w:color="auto" w:sz="4" w:space="0"/>
            </w:tcBorders>
            <w:shd w:val="clear" w:color="auto" w:fill="auto"/>
            <w:tcMar>
              <w:top w:w="16" w:type="dxa"/>
              <w:left w:w="16" w:type="dxa"/>
              <w:right w:w="16" w:type="dxa"/>
            </w:tcMar>
            <w:vAlign w:val="center"/>
          </w:tcPr>
          <w:p>
            <w:pPr>
              <w:adjustRightInd w:val="0"/>
              <w:snapToGrid w:val="0"/>
              <w:jc w:val="center"/>
              <w:rPr>
                <w:color w:val="auto"/>
                <w:szCs w:val="21"/>
              </w:rPr>
            </w:pPr>
            <w:r>
              <w:rPr>
                <w:color w:val="auto"/>
                <w:szCs w:val="21"/>
              </w:rPr>
              <w:t>环保投资（万元）</w:t>
            </w:r>
          </w:p>
        </w:tc>
        <w:tc>
          <w:tcPr>
            <w:tcW w:w="364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color w:val="auto"/>
                <w:szCs w:val="21"/>
              </w:rPr>
            </w:pPr>
            <w:r>
              <w:rPr>
                <w:rFonts w:hint="eastAsia"/>
                <w:color w:val="auto"/>
                <w:szCs w:val="21"/>
              </w:rPr>
              <w:t>15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 w:hRule="atLeast"/>
          <w:jc w:val="center"/>
        </w:trPr>
        <w:tc>
          <w:tcPr>
            <w:tcW w:w="1555"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zCs w:val="21"/>
              </w:rPr>
            </w:pPr>
            <w:r>
              <w:rPr>
                <w:color w:val="auto"/>
                <w:szCs w:val="21"/>
              </w:rPr>
              <w:t>环保投资占比（%）</w:t>
            </w:r>
          </w:p>
        </w:tc>
        <w:tc>
          <w:tcPr>
            <w:tcW w:w="2976"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color w:val="auto"/>
                <w:szCs w:val="21"/>
              </w:rPr>
            </w:pPr>
            <w:r>
              <w:rPr>
                <w:rFonts w:hint="eastAsia"/>
                <w:color w:val="auto"/>
                <w:szCs w:val="21"/>
              </w:rPr>
              <w:t>5.36</w:t>
            </w:r>
          </w:p>
        </w:tc>
        <w:tc>
          <w:tcPr>
            <w:tcW w:w="1560" w:type="dxa"/>
            <w:tcBorders>
              <w:top w:val="single" w:color="auto" w:sz="4" w:space="0"/>
              <w:left w:val="single" w:color="auto" w:sz="4" w:space="0"/>
              <w:bottom w:val="single" w:color="auto" w:sz="4" w:space="0"/>
              <w:right w:val="single" w:color="auto" w:sz="4" w:space="0"/>
            </w:tcBorders>
            <w:shd w:val="clear" w:color="auto" w:fill="auto"/>
            <w:tcMar>
              <w:top w:w="16" w:type="dxa"/>
              <w:left w:w="16" w:type="dxa"/>
              <w:right w:w="16" w:type="dxa"/>
            </w:tcMar>
            <w:vAlign w:val="center"/>
          </w:tcPr>
          <w:p>
            <w:pPr>
              <w:adjustRightInd w:val="0"/>
              <w:snapToGrid w:val="0"/>
              <w:jc w:val="center"/>
              <w:rPr>
                <w:color w:val="auto"/>
                <w:szCs w:val="21"/>
              </w:rPr>
            </w:pPr>
            <w:r>
              <w:rPr>
                <w:color w:val="auto"/>
                <w:szCs w:val="21"/>
              </w:rPr>
              <w:t>施工工期</w:t>
            </w:r>
          </w:p>
        </w:tc>
        <w:tc>
          <w:tcPr>
            <w:tcW w:w="3645" w:type="dxa"/>
            <w:tcBorders>
              <w:top w:val="single" w:color="auto" w:sz="4" w:space="0"/>
              <w:left w:val="single" w:color="auto" w:sz="4" w:space="0"/>
              <w:bottom w:val="single" w:color="auto" w:sz="4" w:space="0"/>
              <w:right w:val="single" w:color="auto" w:sz="4" w:space="0"/>
            </w:tcBorders>
            <w:shd w:val="clear" w:color="auto" w:fill="auto"/>
            <w:vAlign w:val="center"/>
          </w:tcPr>
          <w:p>
            <w:pPr>
              <w:adjustRightInd w:val="0"/>
              <w:snapToGrid w:val="0"/>
              <w:jc w:val="center"/>
              <w:rPr>
                <w:color w:val="auto"/>
                <w:szCs w:val="21"/>
              </w:rPr>
            </w:pPr>
            <w:r>
              <w:rPr>
                <w:rFonts w:hint="eastAsia"/>
                <w:color w:val="auto"/>
                <w:szCs w:val="21"/>
              </w:rPr>
              <w:t>3</w:t>
            </w:r>
            <w:r>
              <w:rPr>
                <w:color w:val="auto"/>
                <w:szCs w:val="21"/>
              </w:rPr>
              <w:t>个月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4" w:hRule="atLeast"/>
          <w:jc w:val="center"/>
        </w:trPr>
        <w:tc>
          <w:tcPr>
            <w:tcW w:w="1555"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zCs w:val="21"/>
              </w:rPr>
            </w:pPr>
            <w:r>
              <w:rPr>
                <w:color w:val="auto"/>
                <w:szCs w:val="21"/>
              </w:rPr>
              <w:t>是否开工建设</w:t>
            </w:r>
          </w:p>
        </w:tc>
        <w:tc>
          <w:tcPr>
            <w:tcW w:w="2976" w:type="dxa"/>
            <w:tcBorders>
              <w:top w:val="single" w:color="auto" w:sz="4" w:space="0"/>
              <w:left w:val="single" w:color="auto" w:sz="4" w:space="0"/>
              <w:bottom w:val="single" w:color="auto" w:sz="4" w:space="0"/>
              <w:right w:val="single" w:color="auto" w:sz="4" w:space="0"/>
            </w:tcBorders>
            <w:vAlign w:val="center"/>
          </w:tcPr>
          <w:p>
            <w:pPr>
              <w:adjustRightInd w:val="0"/>
              <w:snapToGrid w:val="0"/>
              <w:rPr>
                <w:color w:val="auto"/>
                <w:szCs w:val="21"/>
              </w:rPr>
            </w:pPr>
            <w:r>
              <w:rPr>
                <w:rFonts w:ascii="Segoe UI Symbol" w:hAnsi="Segoe UI Symbol" w:cs="Segoe UI Symbol"/>
                <w:snapToGrid w:val="0"/>
                <w:color w:val="auto"/>
                <w:kern w:val="0"/>
                <w:szCs w:val="21"/>
              </w:rPr>
              <w:t>☑</w:t>
            </w:r>
            <w:r>
              <w:rPr>
                <w:color w:val="auto"/>
                <w:szCs w:val="21"/>
              </w:rPr>
              <w:t>否</w:t>
            </w:r>
          </w:p>
          <w:p>
            <w:pPr>
              <w:adjustRightInd w:val="0"/>
              <w:snapToGrid w:val="0"/>
              <w:rPr>
                <w:color w:val="auto"/>
                <w:szCs w:val="21"/>
              </w:rPr>
            </w:pPr>
            <w:r>
              <w:rPr>
                <w:snapToGrid w:val="0"/>
                <w:color w:val="auto"/>
                <w:kern w:val="0"/>
                <w:szCs w:val="21"/>
              </w:rPr>
              <w:t>□</w:t>
            </w:r>
            <w:r>
              <w:rPr>
                <w:color w:val="auto"/>
                <w:szCs w:val="21"/>
              </w:rPr>
              <w:t>是：</w:t>
            </w:r>
            <w:r>
              <w:rPr>
                <w:color w:val="auto"/>
                <w:szCs w:val="21"/>
                <w:u w:val="single"/>
              </w:rPr>
              <w:t xml:space="preserve">             </w:t>
            </w:r>
          </w:p>
        </w:tc>
        <w:tc>
          <w:tcPr>
            <w:tcW w:w="1560" w:type="dxa"/>
            <w:tcBorders>
              <w:top w:val="single" w:color="auto" w:sz="4" w:space="0"/>
              <w:left w:val="single" w:color="auto" w:sz="4" w:space="0"/>
              <w:bottom w:val="single" w:color="auto" w:sz="4" w:space="0"/>
              <w:right w:val="single" w:color="auto" w:sz="4" w:space="0"/>
            </w:tcBorders>
            <w:tcMar>
              <w:top w:w="16" w:type="dxa"/>
              <w:left w:w="16" w:type="dxa"/>
              <w:right w:w="16" w:type="dxa"/>
            </w:tcMar>
            <w:vAlign w:val="center"/>
          </w:tcPr>
          <w:p>
            <w:pPr>
              <w:adjustRightInd w:val="0"/>
              <w:snapToGrid w:val="0"/>
              <w:jc w:val="center"/>
              <w:rPr>
                <w:color w:val="auto"/>
                <w:spacing w:val="-6"/>
                <w:szCs w:val="21"/>
              </w:rPr>
            </w:pPr>
            <w:r>
              <w:rPr>
                <w:color w:val="auto"/>
                <w:spacing w:val="-6"/>
                <w:szCs w:val="21"/>
              </w:rPr>
              <w:t>用地（用海）</w:t>
            </w:r>
          </w:p>
          <w:p>
            <w:pPr>
              <w:adjustRightInd w:val="0"/>
              <w:snapToGrid w:val="0"/>
              <w:jc w:val="center"/>
              <w:rPr>
                <w:color w:val="auto"/>
                <w:szCs w:val="21"/>
              </w:rPr>
            </w:pPr>
            <w:r>
              <w:rPr>
                <w:color w:val="auto"/>
                <w:spacing w:val="-6"/>
                <w:szCs w:val="21"/>
              </w:rPr>
              <w:t>面积（m</w:t>
            </w:r>
            <w:r>
              <w:rPr>
                <w:color w:val="auto"/>
                <w:spacing w:val="-6"/>
                <w:szCs w:val="21"/>
                <w:vertAlign w:val="superscript"/>
              </w:rPr>
              <w:t>2</w:t>
            </w:r>
            <w:r>
              <w:rPr>
                <w:color w:val="auto"/>
                <w:spacing w:val="-6"/>
                <w:szCs w:val="21"/>
              </w:rPr>
              <w:t>）</w:t>
            </w:r>
          </w:p>
        </w:tc>
        <w:tc>
          <w:tcPr>
            <w:tcW w:w="364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auto"/>
                <w:szCs w:val="21"/>
              </w:rPr>
            </w:pPr>
            <w:r>
              <w:rPr>
                <w:rFonts w:hint="eastAsia"/>
                <w:color w:val="auto"/>
                <w:szCs w:val="21"/>
              </w:rPr>
              <w:t>1200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1555"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rPr>
                <w:color w:val="auto"/>
                <w:kern w:val="0"/>
                <w:szCs w:val="21"/>
              </w:rPr>
            </w:pPr>
            <w:r>
              <w:rPr>
                <w:color w:val="auto"/>
                <w:kern w:val="0"/>
                <w:szCs w:val="21"/>
              </w:rPr>
              <w:t>专项评价设置情况</w:t>
            </w:r>
          </w:p>
        </w:tc>
        <w:tc>
          <w:tcPr>
            <w:tcW w:w="8181" w:type="dxa"/>
            <w:gridSpan w:val="3"/>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rPr>
                <w:b/>
                <w:color w:val="auto"/>
                <w:kern w:val="0"/>
                <w:szCs w:val="21"/>
              </w:rPr>
            </w:pPr>
            <w:bookmarkStart w:id="2" w:name="_Hlk104473302"/>
            <w:r>
              <w:rPr>
                <w:b/>
                <w:color w:val="auto"/>
                <w:kern w:val="0"/>
                <w:szCs w:val="21"/>
              </w:rPr>
              <w:t>表1-1  专项设置情况判断表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34"/>
              <w:gridCol w:w="4291"/>
              <w:gridCol w:w="266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vAlign w:val="center"/>
                </w:tcPr>
                <w:p>
                  <w:pPr>
                    <w:jc w:val="center"/>
                    <w:rPr>
                      <w:b/>
                      <w:bCs/>
                      <w:color w:val="auto"/>
                      <w:sz w:val="18"/>
                      <w:szCs w:val="21"/>
                    </w:rPr>
                  </w:pPr>
                  <w:r>
                    <w:rPr>
                      <w:b/>
                      <w:bCs/>
                      <w:color w:val="auto"/>
                      <w:sz w:val="18"/>
                      <w:szCs w:val="21"/>
                    </w:rPr>
                    <w:t>专项评价的类别</w:t>
                  </w:r>
                </w:p>
              </w:tc>
              <w:tc>
                <w:tcPr>
                  <w:tcW w:w="2685" w:type="pct"/>
                  <w:vAlign w:val="center"/>
                </w:tcPr>
                <w:p>
                  <w:pPr>
                    <w:jc w:val="center"/>
                    <w:rPr>
                      <w:b/>
                      <w:bCs/>
                      <w:color w:val="auto"/>
                      <w:sz w:val="18"/>
                      <w:szCs w:val="21"/>
                    </w:rPr>
                  </w:pPr>
                  <w:r>
                    <w:rPr>
                      <w:b/>
                      <w:bCs/>
                      <w:color w:val="auto"/>
                      <w:sz w:val="18"/>
                      <w:szCs w:val="21"/>
                    </w:rPr>
                    <w:t>设置原则</w:t>
                  </w:r>
                </w:p>
              </w:tc>
              <w:tc>
                <w:tcPr>
                  <w:tcW w:w="1668" w:type="pct"/>
                  <w:vAlign w:val="center"/>
                </w:tcPr>
                <w:p>
                  <w:pPr>
                    <w:jc w:val="center"/>
                    <w:rPr>
                      <w:b/>
                      <w:bCs/>
                      <w:color w:val="auto"/>
                      <w:sz w:val="18"/>
                      <w:szCs w:val="21"/>
                    </w:rPr>
                  </w:pPr>
                  <w:r>
                    <w:rPr>
                      <w:b/>
                      <w:bCs/>
                      <w:color w:val="auto"/>
                      <w:sz w:val="18"/>
                      <w:szCs w:val="21"/>
                    </w:rPr>
                    <w:t>本项目情况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647" w:type="pct"/>
                  <w:vAlign w:val="center"/>
                </w:tcPr>
                <w:p>
                  <w:pPr>
                    <w:jc w:val="center"/>
                    <w:rPr>
                      <w:color w:val="auto"/>
                      <w:sz w:val="18"/>
                      <w:szCs w:val="21"/>
                    </w:rPr>
                  </w:pPr>
                  <w:r>
                    <w:rPr>
                      <w:color w:val="auto"/>
                      <w:sz w:val="18"/>
                      <w:szCs w:val="21"/>
                    </w:rPr>
                    <w:t>大气</w:t>
                  </w:r>
                </w:p>
              </w:tc>
              <w:tc>
                <w:tcPr>
                  <w:tcW w:w="2685" w:type="pct"/>
                  <w:vAlign w:val="center"/>
                </w:tcPr>
                <w:p>
                  <w:pPr>
                    <w:jc w:val="center"/>
                    <w:rPr>
                      <w:color w:val="auto"/>
                      <w:sz w:val="18"/>
                      <w:szCs w:val="21"/>
                    </w:rPr>
                  </w:pPr>
                  <w:r>
                    <w:rPr>
                      <w:color w:val="auto"/>
                      <w:sz w:val="18"/>
                      <w:szCs w:val="21"/>
                    </w:rPr>
                    <w:t>排放废气含有毒有害污染物、二噁英、苯并[a]芘、氰化物、氯气且厂界外500 米范围内有环境空气保护目标的建设项目</w:t>
                  </w:r>
                </w:p>
              </w:tc>
              <w:tc>
                <w:tcPr>
                  <w:tcW w:w="1668" w:type="pct"/>
                  <w:vAlign w:val="center"/>
                </w:tcPr>
                <w:p>
                  <w:pPr>
                    <w:jc w:val="center"/>
                    <w:rPr>
                      <w:color w:val="auto"/>
                      <w:sz w:val="18"/>
                      <w:szCs w:val="21"/>
                    </w:rPr>
                  </w:pPr>
                  <w:r>
                    <w:rPr>
                      <w:rFonts w:hint="eastAsia"/>
                      <w:color w:val="auto"/>
                      <w:sz w:val="18"/>
                      <w:szCs w:val="21"/>
                    </w:rPr>
                    <w:t>项目厂界外500米范围内无环境空气保护目标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5" w:hRule="atLeast"/>
                <w:jc w:val="center"/>
              </w:trPr>
              <w:tc>
                <w:tcPr>
                  <w:tcW w:w="647" w:type="pct"/>
                  <w:vAlign w:val="center"/>
                </w:tcPr>
                <w:p>
                  <w:pPr>
                    <w:jc w:val="center"/>
                    <w:rPr>
                      <w:color w:val="auto"/>
                      <w:sz w:val="18"/>
                      <w:szCs w:val="21"/>
                    </w:rPr>
                  </w:pPr>
                  <w:r>
                    <w:rPr>
                      <w:color w:val="auto"/>
                      <w:sz w:val="18"/>
                      <w:szCs w:val="21"/>
                    </w:rPr>
                    <w:t>地表水</w:t>
                  </w:r>
                </w:p>
              </w:tc>
              <w:tc>
                <w:tcPr>
                  <w:tcW w:w="2685" w:type="pct"/>
                  <w:vAlign w:val="center"/>
                </w:tcPr>
                <w:p>
                  <w:pPr>
                    <w:jc w:val="center"/>
                    <w:rPr>
                      <w:color w:val="auto"/>
                      <w:sz w:val="18"/>
                      <w:szCs w:val="21"/>
                    </w:rPr>
                  </w:pPr>
                  <w:r>
                    <w:rPr>
                      <w:color w:val="auto"/>
                      <w:sz w:val="18"/>
                      <w:szCs w:val="21"/>
                    </w:rPr>
                    <w:t>新增工业废水直排建设项目（槽罐车外送污水处理厂的除外）；新增废水直排的污水集中处理厂</w:t>
                  </w:r>
                </w:p>
              </w:tc>
              <w:tc>
                <w:tcPr>
                  <w:tcW w:w="1668" w:type="pct"/>
                  <w:vAlign w:val="center"/>
                </w:tcPr>
                <w:p>
                  <w:pPr>
                    <w:jc w:val="center"/>
                    <w:rPr>
                      <w:color w:val="auto"/>
                      <w:sz w:val="18"/>
                      <w:szCs w:val="21"/>
                    </w:rPr>
                  </w:pPr>
                  <w:r>
                    <w:rPr>
                      <w:color w:val="auto"/>
                      <w:sz w:val="18"/>
                      <w:szCs w:val="21"/>
                    </w:rPr>
                    <w:t>本项目不涉及工业废水直排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647" w:type="pct"/>
                  <w:vAlign w:val="center"/>
                </w:tcPr>
                <w:p>
                  <w:pPr>
                    <w:jc w:val="center"/>
                    <w:rPr>
                      <w:color w:val="auto"/>
                      <w:sz w:val="18"/>
                      <w:szCs w:val="21"/>
                    </w:rPr>
                  </w:pPr>
                  <w:r>
                    <w:rPr>
                      <w:color w:val="auto"/>
                      <w:sz w:val="18"/>
                      <w:szCs w:val="21"/>
                    </w:rPr>
                    <w:t>环境风险</w:t>
                  </w:r>
                </w:p>
              </w:tc>
              <w:tc>
                <w:tcPr>
                  <w:tcW w:w="2685" w:type="pct"/>
                  <w:vAlign w:val="center"/>
                </w:tcPr>
                <w:p>
                  <w:pPr>
                    <w:jc w:val="center"/>
                    <w:rPr>
                      <w:color w:val="auto"/>
                      <w:sz w:val="18"/>
                      <w:szCs w:val="21"/>
                    </w:rPr>
                  </w:pPr>
                  <w:r>
                    <w:rPr>
                      <w:color w:val="auto"/>
                      <w:sz w:val="18"/>
                      <w:szCs w:val="21"/>
                    </w:rPr>
                    <w:t>有毒有害和易燃易爆危险物质存储量超过临界量的建设项目</w:t>
                  </w:r>
                </w:p>
              </w:tc>
              <w:tc>
                <w:tcPr>
                  <w:tcW w:w="1668" w:type="pct"/>
                  <w:vAlign w:val="center"/>
                </w:tcPr>
                <w:p>
                  <w:pPr>
                    <w:jc w:val="center"/>
                    <w:rPr>
                      <w:color w:val="auto"/>
                      <w:sz w:val="18"/>
                      <w:szCs w:val="21"/>
                    </w:rPr>
                  </w:pPr>
                  <w:r>
                    <w:rPr>
                      <w:color w:val="auto"/>
                      <w:sz w:val="18"/>
                      <w:szCs w:val="21"/>
                    </w:rPr>
                    <w:t>本项目</w:t>
                  </w:r>
                  <w:r>
                    <w:rPr>
                      <w:rFonts w:hint="eastAsia"/>
                      <w:color w:val="auto"/>
                      <w:sz w:val="18"/>
                      <w:szCs w:val="21"/>
                    </w:rPr>
                    <w:t>危险物质总量与其临界量比值Q=</w:t>
                  </w:r>
                  <w:r>
                    <w:rPr>
                      <w:rFonts w:hint="eastAsia"/>
                      <w:color w:val="auto"/>
                      <w:sz w:val="18"/>
                      <w:szCs w:val="18"/>
                    </w:rPr>
                    <w:t>0</w:t>
                  </w:r>
                  <w:r>
                    <w:rPr>
                      <w:color w:val="auto"/>
                      <w:sz w:val="18"/>
                      <w:szCs w:val="18"/>
                    </w:rPr>
                    <w:t>.</w:t>
                  </w:r>
                  <w:r>
                    <w:rPr>
                      <w:rFonts w:hint="eastAsia"/>
                      <w:color w:val="auto"/>
                      <w:sz w:val="18"/>
                      <w:szCs w:val="18"/>
                    </w:rPr>
                    <w:t>052</w:t>
                  </w:r>
                  <w:r>
                    <w:rPr>
                      <w:rFonts w:hint="eastAsia"/>
                      <w:color w:val="auto"/>
                      <w:sz w:val="18"/>
                      <w:szCs w:val="21"/>
                    </w:rPr>
                    <w:t>，</w:t>
                  </w:r>
                  <w:r>
                    <w:rPr>
                      <w:color w:val="auto"/>
                      <w:sz w:val="18"/>
                      <w:szCs w:val="21"/>
                    </w:rPr>
                    <w:t>危险物质未超过临界量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vAlign w:val="center"/>
                </w:tcPr>
                <w:p>
                  <w:pPr>
                    <w:jc w:val="center"/>
                    <w:rPr>
                      <w:color w:val="auto"/>
                      <w:sz w:val="18"/>
                      <w:szCs w:val="21"/>
                    </w:rPr>
                  </w:pPr>
                  <w:r>
                    <w:rPr>
                      <w:color w:val="auto"/>
                      <w:sz w:val="18"/>
                      <w:szCs w:val="21"/>
                    </w:rPr>
                    <w:t>生态</w:t>
                  </w:r>
                </w:p>
              </w:tc>
              <w:tc>
                <w:tcPr>
                  <w:tcW w:w="2685" w:type="pct"/>
                  <w:vAlign w:val="center"/>
                </w:tcPr>
                <w:p>
                  <w:pPr>
                    <w:jc w:val="center"/>
                    <w:rPr>
                      <w:color w:val="auto"/>
                      <w:sz w:val="18"/>
                      <w:szCs w:val="21"/>
                    </w:rPr>
                  </w:pPr>
                  <w:r>
                    <w:rPr>
                      <w:color w:val="auto"/>
                      <w:sz w:val="18"/>
                      <w:szCs w:val="21"/>
                    </w:rPr>
                    <w:t>取水口下游500米范围内有重要水生生物的自然产卵场、索饵场、越冬场和洄游通道的新增河道取水的污染类建设项目</w:t>
                  </w:r>
                </w:p>
              </w:tc>
              <w:tc>
                <w:tcPr>
                  <w:tcW w:w="1668" w:type="pct"/>
                  <w:vAlign w:val="center"/>
                </w:tcPr>
                <w:p>
                  <w:pPr>
                    <w:jc w:val="center"/>
                    <w:rPr>
                      <w:color w:val="auto"/>
                      <w:sz w:val="18"/>
                      <w:szCs w:val="21"/>
                    </w:rPr>
                  </w:pPr>
                  <w:r>
                    <w:rPr>
                      <w:color w:val="auto"/>
                      <w:sz w:val="18"/>
                      <w:szCs w:val="21"/>
                    </w:rPr>
                    <w:t>本项目不涉及河道取水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647" w:type="pct"/>
                  <w:vAlign w:val="center"/>
                </w:tcPr>
                <w:p>
                  <w:pPr>
                    <w:jc w:val="center"/>
                    <w:rPr>
                      <w:color w:val="auto"/>
                      <w:sz w:val="18"/>
                      <w:szCs w:val="21"/>
                    </w:rPr>
                  </w:pPr>
                  <w:r>
                    <w:rPr>
                      <w:color w:val="auto"/>
                      <w:sz w:val="18"/>
                      <w:szCs w:val="21"/>
                    </w:rPr>
                    <w:t>海洋</w:t>
                  </w:r>
                </w:p>
              </w:tc>
              <w:tc>
                <w:tcPr>
                  <w:tcW w:w="2685" w:type="pct"/>
                  <w:vAlign w:val="center"/>
                </w:tcPr>
                <w:p>
                  <w:pPr>
                    <w:jc w:val="center"/>
                    <w:rPr>
                      <w:color w:val="auto"/>
                      <w:sz w:val="18"/>
                      <w:szCs w:val="21"/>
                    </w:rPr>
                  </w:pPr>
                  <w:r>
                    <w:rPr>
                      <w:color w:val="auto"/>
                      <w:sz w:val="18"/>
                      <w:szCs w:val="21"/>
                    </w:rPr>
                    <w:t>直接向海排放污染物的海洋工程建设项目</w:t>
                  </w:r>
                </w:p>
              </w:tc>
              <w:tc>
                <w:tcPr>
                  <w:tcW w:w="1668" w:type="pct"/>
                  <w:vAlign w:val="center"/>
                </w:tcPr>
                <w:p>
                  <w:pPr>
                    <w:jc w:val="center"/>
                    <w:rPr>
                      <w:color w:val="auto"/>
                      <w:sz w:val="18"/>
                      <w:szCs w:val="21"/>
                    </w:rPr>
                  </w:pPr>
                  <w:r>
                    <w:rPr>
                      <w:color w:val="auto"/>
                      <w:sz w:val="18"/>
                      <w:szCs w:val="21"/>
                    </w:rPr>
                    <w:t>本项目不向海排放污染物</w:t>
                  </w:r>
                </w:p>
              </w:tc>
            </w:tr>
          </w:tbl>
          <w:p>
            <w:pPr>
              <w:autoSpaceDE w:val="0"/>
              <w:autoSpaceDN w:val="0"/>
              <w:adjustRightInd w:val="0"/>
              <w:snapToGrid w:val="0"/>
              <w:jc w:val="center"/>
              <w:rPr>
                <w:color w:val="auto"/>
                <w:kern w:val="0"/>
                <w:szCs w:val="21"/>
              </w:rPr>
            </w:pPr>
            <w:r>
              <w:rPr>
                <w:color w:val="auto"/>
                <w:kern w:val="0"/>
                <w:szCs w:val="21"/>
              </w:rPr>
              <w:t>由上表分析可知，本项目无需开展大气、地表水、环境风险、生态和海洋专项评价。</w:t>
            </w:r>
            <w:bookmarkEnd w:id="2"/>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0" w:hRule="atLeast"/>
          <w:jc w:val="center"/>
        </w:trPr>
        <w:tc>
          <w:tcPr>
            <w:tcW w:w="1555"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rPr>
                <w:color w:val="auto"/>
                <w:kern w:val="0"/>
                <w:szCs w:val="21"/>
              </w:rPr>
            </w:pPr>
            <w:r>
              <w:rPr>
                <w:color w:val="auto"/>
                <w:szCs w:val="21"/>
              </w:rPr>
              <w:t>规划情况</w:t>
            </w:r>
          </w:p>
        </w:tc>
        <w:tc>
          <w:tcPr>
            <w:tcW w:w="8181"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snapToGrid w:val="0"/>
                <w:color w:val="auto"/>
                <w:kern w:val="0"/>
              </w:rPr>
            </w:pPr>
            <w:r>
              <w:rPr>
                <w:b/>
                <w:bCs/>
                <w:snapToGrid w:val="0"/>
                <w:color w:val="auto"/>
                <w:kern w:val="0"/>
              </w:rPr>
              <w:t>规划名称：</w:t>
            </w:r>
            <w:r>
              <w:rPr>
                <w:snapToGrid w:val="0"/>
                <w:color w:val="auto"/>
                <w:kern w:val="0"/>
              </w:rPr>
              <w:t>《江苏省太仓高新技术产业开发区控制性详细规划》</w:t>
            </w:r>
          </w:p>
          <w:p>
            <w:pPr>
              <w:adjustRightInd w:val="0"/>
              <w:snapToGrid w:val="0"/>
              <w:spacing w:line="360" w:lineRule="auto"/>
              <w:rPr>
                <w:snapToGrid w:val="0"/>
                <w:color w:val="auto"/>
                <w:kern w:val="0"/>
              </w:rPr>
            </w:pPr>
            <w:r>
              <w:rPr>
                <w:b/>
                <w:bCs/>
                <w:snapToGrid w:val="0"/>
                <w:color w:val="auto"/>
                <w:kern w:val="0"/>
              </w:rPr>
              <w:t>审批部门：</w:t>
            </w:r>
            <w:r>
              <w:rPr>
                <w:snapToGrid w:val="0"/>
                <w:color w:val="auto"/>
                <w:kern w:val="0"/>
              </w:rPr>
              <w:t>太仓市人民政府</w:t>
            </w:r>
          </w:p>
          <w:p>
            <w:pPr>
              <w:adjustRightInd w:val="0"/>
              <w:snapToGrid w:val="0"/>
              <w:spacing w:line="360" w:lineRule="auto"/>
              <w:rPr>
                <w:snapToGrid w:val="0"/>
                <w:color w:val="auto"/>
                <w:kern w:val="0"/>
              </w:rPr>
            </w:pPr>
            <w:r>
              <w:rPr>
                <w:b/>
                <w:bCs/>
                <w:snapToGrid w:val="0"/>
                <w:color w:val="auto"/>
                <w:kern w:val="0"/>
              </w:rPr>
              <w:t>审批文号：</w:t>
            </w:r>
            <w:r>
              <w:rPr>
                <w:snapToGrid w:val="0"/>
                <w:color w:val="auto"/>
                <w:kern w:val="0"/>
              </w:rPr>
              <w:t>太政复[2018]78号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55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auto"/>
                <w:szCs w:val="21"/>
              </w:rPr>
            </w:pPr>
            <w:r>
              <w:rPr>
                <w:color w:val="auto"/>
                <w:szCs w:val="21"/>
              </w:rPr>
              <w:t>规划环境影响评价情况</w:t>
            </w:r>
          </w:p>
        </w:tc>
        <w:tc>
          <w:tcPr>
            <w:tcW w:w="8181"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snapToGrid w:val="0"/>
                <w:color w:val="auto"/>
                <w:kern w:val="0"/>
              </w:rPr>
            </w:pPr>
            <w:r>
              <w:rPr>
                <w:b/>
                <w:bCs/>
                <w:snapToGrid w:val="0"/>
                <w:color w:val="auto"/>
                <w:kern w:val="0"/>
              </w:rPr>
              <w:t>规划环评：</w:t>
            </w:r>
            <w:r>
              <w:rPr>
                <w:snapToGrid w:val="0"/>
                <w:color w:val="auto"/>
                <w:kern w:val="0"/>
              </w:rPr>
              <w:t>《</w:t>
            </w:r>
            <w:r>
              <w:rPr>
                <w:rFonts w:hint="eastAsia"/>
                <w:snapToGrid w:val="0"/>
                <w:color w:val="auto"/>
                <w:kern w:val="0"/>
              </w:rPr>
              <w:t>江苏省太仓高新技术产业开发区开发建设规划环境影响报告书</w:t>
            </w:r>
            <w:r>
              <w:rPr>
                <w:snapToGrid w:val="0"/>
                <w:color w:val="auto"/>
                <w:kern w:val="0"/>
              </w:rPr>
              <w:t>》</w:t>
            </w:r>
          </w:p>
          <w:p>
            <w:pPr>
              <w:adjustRightInd w:val="0"/>
              <w:snapToGrid w:val="0"/>
              <w:spacing w:line="360" w:lineRule="auto"/>
              <w:rPr>
                <w:snapToGrid w:val="0"/>
                <w:color w:val="auto"/>
                <w:kern w:val="0"/>
              </w:rPr>
            </w:pPr>
            <w:r>
              <w:rPr>
                <w:b/>
                <w:bCs/>
                <w:snapToGrid w:val="0"/>
                <w:color w:val="auto"/>
                <w:kern w:val="0"/>
              </w:rPr>
              <w:t>审</w:t>
            </w:r>
            <w:r>
              <w:rPr>
                <w:rFonts w:hint="eastAsia"/>
                <w:b/>
                <w:bCs/>
                <w:snapToGrid w:val="0"/>
                <w:color w:val="auto"/>
                <w:kern w:val="0"/>
              </w:rPr>
              <w:t>批</w:t>
            </w:r>
            <w:r>
              <w:rPr>
                <w:b/>
                <w:bCs/>
                <w:snapToGrid w:val="0"/>
                <w:color w:val="auto"/>
                <w:kern w:val="0"/>
              </w:rPr>
              <w:t>部门：</w:t>
            </w:r>
            <w:r>
              <w:rPr>
                <w:rFonts w:hint="eastAsia"/>
                <w:snapToGrid w:val="0"/>
                <w:color w:val="auto"/>
                <w:kern w:val="0"/>
              </w:rPr>
              <w:t>苏州市太仓生态环境局</w:t>
            </w:r>
          </w:p>
          <w:p>
            <w:pPr>
              <w:adjustRightInd w:val="0"/>
              <w:snapToGrid w:val="0"/>
              <w:spacing w:line="360" w:lineRule="auto"/>
              <w:rPr>
                <w:snapToGrid w:val="0"/>
                <w:color w:val="auto"/>
                <w:kern w:val="0"/>
              </w:rPr>
            </w:pPr>
            <w:r>
              <w:rPr>
                <w:b/>
                <w:bCs/>
                <w:snapToGrid w:val="0"/>
                <w:color w:val="auto"/>
                <w:kern w:val="0"/>
              </w:rPr>
              <w:t>审批意见：</w:t>
            </w:r>
            <w:r>
              <w:rPr>
                <w:rFonts w:hint="eastAsia"/>
                <w:snapToGrid w:val="0"/>
                <w:color w:val="auto"/>
                <w:kern w:val="0"/>
              </w:rPr>
              <w:t>太环审</w:t>
            </w:r>
            <w:r>
              <w:rPr>
                <w:rFonts w:hint="eastAsia" w:ascii="微软雅黑" w:hAnsi="微软雅黑" w:eastAsia="微软雅黑" w:cs="微软雅黑"/>
                <w:snapToGrid w:val="0"/>
                <w:color w:val="auto"/>
                <w:kern w:val="0"/>
                <w:lang w:eastAsia="zh-CN"/>
              </w:rPr>
              <w:t>〔</w:t>
            </w:r>
            <w:r>
              <w:rPr>
                <w:rFonts w:hint="eastAsia"/>
                <w:snapToGrid w:val="0"/>
                <w:color w:val="auto"/>
                <w:kern w:val="0"/>
              </w:rPr>
              <w:t>2021</w:t>
            </w:r>
            <w:r>
              <w:rPr>
                <w:rFonts w:hint="eastAsia" w:ascii="微软雅黑" w:hAnsi="微软雅黑" w:eastAsia="微软雅黑" w:cs="微软雅黑"/>
                <w:snapToGrid w:val="0"/>
                <w:color w:val="auto"/>
                <w:kern w:val="0"/>
                <w:lang w:eastAsia="zh-CN"/>
              </w:rPr>
              <w:t>〕</w:t>
            </w:r>
            <w:bookmarkStart w:id="17" w:name="_GoBack"/>
            <w:bookmarkEnd w:id="17"/>
            <w:r>
              <w:rPr>
                <w:rFonts w:hint="eastAsia"/>
                <w:snapToGrid w:val="0"/>
                <w:color w:val="auto"/>
                <w:kern w:val="0"/>
              </w:rPr>
              <w:t>1号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555"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rPr>
                <w:color w:val="auto"/>
                <w:kern w:val="0"/>
                <w:szCs w:val="21"/>
              </w:rPr>
            </w:pPr>
            <w:r>
              <w:rPr>
                <w:color w:val="auto"/>
                <w:kern w:val="0"/>
                <w:szCs w:val="21"/>
              </w:rPr>
              <w:t>规划及规划环境影响评价符合性分析</w:t>
            </w:r>
          </w:p>
        </w:tc>
        <w:tc>
          <w:tcPr>
            <w:tcW w:w="8181" w:type="dxa"/>
            <w:gridSpan w:val="3"/>
            <w:tcBorders>
              <w:top w:val="single" w:color="auto" w:sz="4" w:space="0"/>
              <w:left w:val="single" w:color="auto" w:sz="4" w:space="0"/>
              <w:right w:val="single" w:color="auto" w:sz="4" w:space="0"/>
            </w:tcBorders>
            <w:vAlign w:val="center"/>
          </w:tcPr>
          <w:p>
            <w:pPr>
              <w:adjustRightInd w:val="0"/>
              <w:snapToGrid w:val="0"/>
              <w:spacing w:line="360" w:lineRule="auto"/>
              <w:ind w:firstLine="422" w:firstLineChars="200"/>
              <w:rPr>
                <w:b/>
                <w:bCs/>
                <w:color w:val="auto"/>
              </w:rPr>
            </w:pPr>
            <w:r>
              <w:rPr>
                <w:b/>
                <w:bCs/>
                <w:color w:val="auto"/>
              </w:rPr>
              <w:t>1、与</w:t>
            </w:r>
            <w:r>
              <w:rPr>
                <w:rFonts w:hint="eastAsia"/>
                <w:b/>
                <w:bCs/>
                <w:color w:val="auto"/>
              </w:rPr>
              <w:t>《江苏省太仓高新技术产业开发区控制性详细规划》</w:t>
            </w:r>
            <w:r>
              <w:rPr>
                <w:b/>
                <w:bCs/>
                <w:color w:val="auto"/>
              </w:rPr>
              <w:t>相符性</w:t>
            </w:r>
          </w:p>
          <w:p>
            <w:pPr>
              <w:adjustRightInd w:val="0"/>
              <w:snapToGrid w:val="0"/>
              <w:spacing w:line="360" w:lineRule="auto"/>
              <w:ind w:firstLine="420" w:firstLineChars="200"/>
              <w:rPr>
                <w:color w:val="auto"/>
              </w:rPr>
            </w:pPr>
            <w:r>
              <w:rPr>
                <w:color w:val="auto"/>
              </w:rPr>
              <w:t>根据</w:t>
            </w:r>
            <w:r>
              <w:rPr>
                <w:rFonts w:hint="eastAsia"/>
                <w:color w:val="auto"/>
              </w:rPr>
              <w:t>《江苏省太仓高新技术产业开发区控制性详细规划》</w:t>
            </w:r>
            <w:r>
              <w:rPr>
                <w:color w:val="auto"/>
              </w:rPr>
              <w:t>，</w:t>
            </w:r>
            <w:r>
              <w:rPr>
                <w:rFonts w:hint="eastAsia"/>
                <w:color w:val="auto"/>
              </w:rPr>
              <w:t>规划范围：西至盐铁塘，南至新浏河，北至苏昆太高速，东至沪通铁路，规划用地55.29平方公里。</w:t>
            </w:r>
          </w:p>
          <w:p>
            <w:pPr>
              <w:adjustRightInd w:val="0"/>
              <w:snapToGrid w:val="0"/>
              <w:spacing w:line="360" w:lineRule="auto"/>
              <w:ind w:firstLine="420" w:firstLineChars="200"/>
              <w:rPr>
                <w:color w:val="auto"/>
              </w:rPr>
            </w:pPr>
            <w:r>
              <w:rPr>
                <w:rFonts w:hint="eastAsia"/>
                <w:color w:val="auto"/>
              </w:rPr>
              <w:t>功能定位：太仓市中心城区的重要组成部分，太仓市市级综合中心，以高新技术产业为主要发展方向，以德企为核心特色，科创驱动、环境优美、活力宜居的花园城区。主要功能包括智能制造、科创研发、商业服务、商务办公、生态居住等。</w:t>
            </w:r>
          </w:p>
          <w:p>
            <w:pPr>
              <w:adjustRightInd w:val="0"/>
              <w:snapToGrid w:val="0"/>
              <w:spacing w:line="360" w:lineRule="auto"/>
              <w:ind w:firstLine="420" w:firstLineChars="200"/>
              <w:rPr>
                <w:color w:val="auto"/>
              </w:rPr>
            </w:pPr>
            <w:r>
              <w:rPr>
                <w:rFonts w:hint="eastAsia"/>
                <w:color w:val="auto"/>
              </w:rPr>
              <w:t>规划布局结构：“两轴、三心、八片区”。两轴：东西向城市综合发展主轴郑和路-上海路，南北向城市功能发展次轴东亭路。三心：行政中心周边的市级综合行政、文化、休闲中心，陆渡体育公园周边的市级体育中心，高铁站前的市级商业贸易中心。八片区：新区生活片区、板桥生活片区、北部生活片区，高铁站前对外商贸片区、德资工业片区、三港工业片区、江南路工业片区以及沿江高速以东的娄江新城战略发展片区。用地布局：规划围绕中央商务区及高铁站布局主要的公共服务设施；居住用地主要分布于南侧；工业用地主要位于沿江高速以西、苏州路以北以及江南路、三港两个工业组团。</w:t>
            </w:r>
          </w:p>
          <w:p>
            <w:pPr>
              <w:adjustRightInd w:val="0"/>
              <w:snapToGrid w:val="0"/>
              <w:spacing w:line="360" w:lineRule="auto"/>
              <w:ind w:firstLine="420" w:firstLineChars="200"/>
              <w:rPr>
                <w:color w:val="auto"/>
              </w:rPr>
            </w:pPr>
            <w:r>
              <w:rPr>
                <w:color w:val="auto"/>
              </w:rPr>
              <w:t>本项目</w:t>
            </w:r>
            <w:r>
              <w:rPr>
                <w:rFonts w:hint="eastAsia"/>
                <w:color w:val="auto"/>
              </w:rPr>
              <w:t>租赁倪俊良</w:t>
            </w:r>
            <w:r>
              <w:rPr>
                <w:color w:val="auto"/>
              </w:rPr>
              <w:t>位于</w:t>
            </w:r>
            <w:r>
              <w:rPr>
                <w:rFonts w:hint="eastAsia"/>
                <w:color w:val="auto"/>
              </w:rPr>
              <w:t>太仓城厢镇东亭北路128号9幢的厂房进行项目建设</w:t>
            </w:r>
            <w:r>
              <w:rPr>
                <w:color w:val="auto"/>
              </w:rPr>
              <w:t>，位于太仓市主城，根据</w:t>
            </w:r>
            <w:r>
              <w:rPr>
                <w:rFonts w:hint="eastAsia"/>
                <w:color w:val="auto"/>
              </w:rPr>
              <w:t>江苏省太仓高新技术产业开发区控制性详细规划</w:t>
            </w:r>
            <w:r>
              <w:rPr>
                <w:color w:val="auto"/>
              </w:rPr>
              <w:t>，项目所在地块为工业用地。根据</w:t>
            </w:r>
            <w:r>
              <w:rPr>
                <w:rFonts w:hint="eastAsia"/>
                <w:color w:val="auto"/>
              </w:rPr>
              <w:t>土地证（附件13）、房权证</w:t>
            </w:r>
            <w:r>
              <w:rPr>
                <w:color w:val="auto"/>
              </w:rPr>
              <w:t>（附件</w:t>
            </w:r>
            <w:r>
              <w:rPr>
                <w:rFonts w:hint="eastAsia"/>
                <w:color w:val="auto"/>
              </w:rPr>
              <w:t>14</w:t>
            </w:r>
            <w:r>
              <w:rPr>
                <w:color w:val="auto"/>
              </w:rPr>
              <w:t>），土地用途为工业用地，项目已取得备案证（项目代码</w:t>
            </w:r>
            <w:r>
              <w:rPr>
                <w:rFonts w:hint="eastAsia"/>
                <w:color w:val="auto"/>
              </w:rPr>
              <w:t>2306-320585-89-01-130757</w:t>
            </w:r>
            <w:r>
              <w:rPr>
                <w:color w:val="auto"/>
              </w:rPr>
              <w:t>）。因此，本项目选址符合要求。</w:t>
            </w:r>
          </w:p>
          <w:p>
            <w:pPr>
              <w:adjustRightInd w:val="0"/>
              <w:snapToGrid w:val="0"/>
              <w:spacing w:line="360" w:lineRule="auto"/>
              <w:ind w:firstLine="420" w:firstLineChars="200"/>
              <w:rPr>
                <w:color w:val="auto"/>
              </w:rPr>
            </w:pPr>
            <w:r>
              <w:rPr>
                <w:color w:val="auto"/>
              </w:rPr>
              <w:t>综上所述，本项目与《</w:t>
            </w:r>
            <w:r>
              <w:rPr>
                <w:rFonts w:hint="eastAsia"/>
                <w:color w:val="auto"/>
              </w:rPr>
              <w:t>江苏省太仓高新技术产业开发区控制性详细规划</w:t>
            </w:r>
            <w:r>
              <w:rPr>
                <w:color w:val="auto"/>
              </w:rPr>
              <w:t>》要求相符。</w:t>
            </w:r>
          </w:p>
          <w:p>
            <w:pPr>
              <w:adjustRightInd w:val="0"/>
              <w:snapToGrid w:val="0"/>
              <w:spacing w:line="360" w:lineRule="auto"/>
              <w:ind w:firstLine="422" w:firstLineChars="200"/>
              <w:rPr>
                <w:rFonts w:hint="default" w:ascii="Times New Roman" w:hAnsi="Times New Roman" w:cs="Times New Roman"/>
                <w:b/>
                <w:bCs/>
                <w:color w:val="auto"/>
              </w:rPr>
            </w:pPr>
            <w:r>
              <w:rPr>
                <w:rFonts w:hint="default" w:ascii="Times New Roman" w:hAnsi="Times New Roman" w:cs="Times New Roman"/>
                <w:b/>
                <w:bCs/>
                <w:color w:val="auto"/>
              </w:rPr>
              <w:t>2、与《江苏省太仓高新技术产业开发区开发建设规划环境影响报告书》</w:t>
            </w:r>
            <w:r>
              <w:rPr>
                <w:rFonts w:hint="default" w:ascii="Times New Roman" w:hAnsi="Times New Roman" w:cs="Times New Roman"/>
                <w:b/>
                <w:bCs/>
                <w:color w:val="auto"/>
              </w:rPr>
              <w:t>（太环审</w:t>
            </w:r>
            <w:r>
              <w:rPr>
                <w:rFonts w:hint="default" w:ascii="Times New Roman" w:hAnsi="Times New Roman" w:eastAsia="微软雅黑" w:cs="Times New Roman"/>
                <w:b/>
                <w:bCs/>
                <w:color w:val="auto"/>
                <w:lang w:eastAsia="zh-CN"/>
              </w:rPr>
              <w:t>〔</w:t>
            </w:r>
            <w:r>
              <w:rPr>
                <w:rFonts w:hint="default" w:ascii="Times New Roman" w:hAnsi="Times New Roman" w:eastAsia="微软雅黑" w:cs="Times New Roman"/>
                <w:b/>
                <w:bCs/>
                <w:color w:val="auto"/>
                <w:lang w:val="en-US" w:eastAsia="zh-CN"/>
              </w:rPr>
              <w:t>2021</w:t>
            </w:r>
            <w:r>
              <w:rPr>
                <w:rFonts w:hint="default" w:ascii="Times New Roman" w:hAnsi="Times New Roman" w:eastAsia="微软雅黑" w:cs="Times New Roman"/>
                <w:b/>
                <w:bCs/>
                <w:color w:val="auto"/>
                <w:lang w:eastAsia="zh-CN"/>
              </w:rPr>
              <w:t>〕</w:t>
            </w:r>
            <w:r>
              <w:rPr>
                <w:rFonts w:hint="default" w:ascii="Times New Roman" w:hAnsi="Times New Roman" w:cs="Times New Roman"/>
                <w:b/>
                <w:bCs/>
                <w:color w:val="auto"/>
              </w:rPr>
              <w:t>1号）</w:t>
            </w:r>
            <w:r>
              <w:rPr>
                <w:rFonts w:hint="default" w:ascii="Times New Roman" w:hAnsi="Times New Roman" w:cs="Times New Roman"/>
                <w:b/>
                <w:bCs/>
                <w:color w:val="auto"/>
              </w:rPr>
              <w:t>相符性</w:t>
            </w:r>
          </w:p>
          <w:p>
            <w:pPr>
              <w:widowControl/>
              <w:adjustRightInd w:val="0"/>
              <w:snapToGrid w:val="0"/>
              <w:spacing w:line="360" w:lineRule="auto"/>
              <w:ind w:firstLine="420" w:firstLineChars="200"/>
              <w:jc w:val="left"/>
              <w:rPr>
                <w:color w:val="auto"/>
              </w:rPr>
            </w:pPr>
            <w:r>
              <w:rPr>
                <w:rFonts w:hint="eastAsia"/>
                <w:color w:val="auto"/>
              </w:rPr>
              <w:t>根据 《江苏省太仓高新技术产业开发区开发建设规划环境影响报告书》，产业定位为：</w:t>
            </w:r>
          </w:p>
          <w:p>
            <w:pPr>
              <w:widowControl/>
              <w:adjustRightInd w:val="0"/>
              <w:snapToGrid w:val="0"/>
              <w:spacing w:line="360" w:lineRule="auto"/>
              <w:ind w:firstLine="420" w:firstLineChars="200"/>
              <w:jc w:val="left"/>
              <w:rPr>
                <w:color w:val="auto"/>
              </w:rPr>
            </w:pPr>
            <w:r>
              <w:rPr>
                <w:rFonts w:hint="eastAsia"/>
                <w:color w:val="auto"/>
              </w:rPr>
              <w:t>以高新技术产业为主要发展方向。产业主要布局在德资工业园、板桥综合片区、江南路片区、三港片区四个片区。</w:t>
            </w:r>
          </w:p>
          <w:p>
            <w:pPr>
              <w:widowControl/>
              <w:adjustRightInd w:val="0"/>
              <w:snapToGrid w:val="0"/>
              <w:spacing w:line="360" w:lineRule="auto"/>
              <w:ind w:firstLine="420" w:firstLineChars="200"/>
              <w:jc w:val="left"/>
              <w:rPr>
                <w:color w:val="auto"/>
              </w:rPr>
            </w:pPr>
            <w:r>
              <w:rPr>
                <w:rFonts w:hint="eastAsia"/>
                <w:color w:val="auto"/>
              </w:rPr>
              <w:t>德资工业园：以高端制造产业（精密机械、汽车零部件、电子信息、医疗器械、新型纺织机械、模具、航空航天装备、高档数控机床和机器人等）为特色，兼顾发展生物医药（禁止原料药生产）、新能源、新材料（非化工）等主导产业。</w:t>
            </w:r>
          </w:p>
          <w:p>
            <w:pPr>
              <w:widowControl/>
              <w:adjustRightInd w:val="0"/>
              <w:snapToGrid w:val="0"/>
              <w:spacing w:line="360" w:lineRule="auto"/>
              <w:ind w:firstLine="420" w:firstLineChars="200"/>
              <w:jc w:val="left"/>
              <w:rPr>
                <w:color w:val="auto"/>
              </w:rPr>
            </w:pPr>
            <w:r>
              <w:rPr>
                <w:rFonts w:hint="eastAsia"/>
                <w:color w:val="auto"/>
              </w:rPr>
              <w:t>板桥综合片区：该片区规划保留两块工业用地。其中靠近沈海高速公路的工业用地主要发展新材料产业，主要发展精密机械、高性能膜材料、航空新材料、电子新材料为主的新材料产业，禁止发展化工新材料等污染严重的新材料产业；四通路、常胜路之间的工业用地主要以汽车零部件研发和生物医药研发为主，严格控制污染与噪声，减少对周边生活片区的影响。</w:t>
            </w:r>
          </w:p>
          <w:p>
            <w:pPr>
              <w:widowControl/>
              <w:adjustRightInd w:val="0"/>
              <w:snapToGrid w:val="0"/>
              <w:spacing w:line="360" w:lineRule="auto"/>
              <w:ind w:firstLine="420" w:firstLineChars="200"/>
              <w:jc w:val="left"/>
              <w:rPr>
                <w:color w:val="auto"/>
              </w:rPr>
            </w:pPr>
            <w:r>
              <w:rPr>
                <w:rFonts w:hint="eastAsia"/>
                <w:color w:val="auto"/>
              </w:rPr>
              <w:t>三港工业片区：以精密机械、电子信息、新能源、生物医药（禁止原料药生产）为特色。</w:t>
            </w:r>
          </w:p>
          <w:p>
            <w:pPr>
              <w:widowControl/>
              <w:adjustRightInd w:val="0"/>
              <w:snapToGrid w:val="0"/>
              <w:spacing w:line="360" w:lineRule="auto"/>
              <w:ind w:firstLine="420" w:firstLineChars="200"/>
              <w:jc w:val="left"/>
              <w:rPr>
                <w:color w:val="auto"/>
              </w:rPr>
            </w:pPr>
            <w:r>
              <w:rPr>
                <w:rFonts w:hint="eastAsia"/>
                <w:color w:val="auto"/>
              </w:rPr>
              <w:t>江南路工业片区：以精密机械、电子信息、新能源、生物医药（禁止原料药生产）为特色。</w:t>
            </w:r>
          </w:p>
          <w:p>
            <w:pPr>
              <w:widowControl/>
              <w:adjustRightInd w:val="0"/>
              <w:snapToGrid w:val="0"/>
              <w:spacing w:line="360" w:lineRule="auto"/>
              <w:ind w:firstLine="420" w:firstLineChars="200"/>
              <w:jc w:val="left"/>
              <w:rPr>
                <w:color w:val="auto"/>
              </w:rPr>
            </w:pPr>
            <w:r>
              <w:rPr>
                <w:rFonts w:hint="eastAsia"/>
                <w:color w:val="auto"/>
              </w:rPr>
              <w:t>开发区禁止新建纯电镀项目，禁止新引进含印染的项目，需要配套电镀工序的企业、拟保留的少量印染企业按照《江苏省太湖水污染防治条例》第四十三条和第四十六条的规定执行。</w:t>
            </w:r>
          </w:p>
          <w:p>
            <w:pPr>
              <w:adjustRightInd w:val="0"/>
              <w:snapToGrid w:val="0"/>
              <w:spacing w:line="360" w:lineRule="auto"/>
              <w:ind w:firstLine="420" w:firstLineChars="200"/>
              <w:rPr>
                <w:color w:val="auto"/>
              </w:rPr>
            </w:pPr>
            <w:r>
              <w:rPr>
                <w:color w:val="auto"/>
              </w:rPr>
              <w:t>本项目位于</w:t>
            </w:r>
            <w:r>
              <w:rPr>
                <w:rFonts w:hint="eastAsia"/>
                <w:color w:val="auto"/>
              </w:rPr>
              <w:t>德资工业园，生产的橡胶件、塑料件均为汽车零部件</w:t>
            </w:r>
            <w:r>
              <w:rPr>
                <w:color w:val="auto"/>
              </w:rPr>
              <w:t>，</w:t>
            </w:r>
            <w:r>
              <w:rPr>
                <w:rFonts w:hint="eastAsia"/>
                <w:color w:val="auto"/>
              </w:rPr>
              <w:t>符合江苏省太仓高新技术产业开发区产业定位</w:t>
            </w:r>
            <w:r>
              <w:rPr>
                <w:color w:val="auto"/>
              </w:rPr>
              <w:t>。</w:t>
            </w:r>
          </w:p>
          <w:p>
            <w:pPr>
              <w:adjustRightInd w:val="0"/>
              <w:snapToGrid w:val="0"/>
              <w:spacing w:line="360" w:lineRule="auto"/>
              <w:ind w:firstLine="420" w:firstLineChars="200"/>
              <w:rPr>
                <w:color w:val="auto"/>
              </w:rPr>
            </w:pPr>
            <w:r>
              <w:rPr>
                <w:color w:val="auto"/>
              </w:rPr>
              <w:t>综上所述，本项目与</w:t>
            </w:r>
            <w:r>
              <w:rPr>
                <w:rFonts w:hint="eastAsia"/>
                <w:color w:val="auto"/>
              </w:rPr>
              <w:t>《江苏省太仓高新技术产业开发区开发建设规划环境影响报告书》</w:t>
            </w:r>
            <w:r>
              <w:rPr>
                <w:color w:val="auto"/>
              </w:rPr>
              <w:t>要求相符。</w:t>
            </w:r>
          </w:p>
          <w:p>
            <w:pPr>
              <w:adjustRightInd w:val="0"/>
              <w:snapToGrid w:val="0"/>
              <w:spacing w:line="360" w:lineRule="auto"/>
              <w:ind w:firstLine="422" w:firstLineChars="200"/>
              <w:rPr>
                <w:b/>
                <w:bCs/>
                <w:color w:val="auto"/>
              </w:rPr>
            </w:pPr>
            <w:r>
              <w:rPr>
                <w:rFonts w:hint="eastAsia"/>
                <w:b/>
                <w:bCs/>
                <w:color w:val="auto"/>
              </w:rPr>
              <w:t>3</w:t>
            </w:r>
            <w:r>
              <w:rPr>
                <w:b/>
                <w:bCs/>
                <w:color w:val="auto"/>
              </w:rPr>
              <w:t>、与</w:t>
            </w:r>
            <w:r>
              <w:rPr>
                <w:rFonts w:hint="eastAsia"/>
                <w:b/>
                <w:bCs/>
                <w:color w:val="auto"/>
              </w:rPr>
              <w:t>《江苏省太仓高新技术产业开发区开发建设规划环境影响报告书》审查意见</w:t>
            </w:r>
            <w:r>
              <w:rPr>
                <w:b/>
                <w:bCs/>
                <w:color w:val="auto"/>
              </w:rPr>
              <w:t>相符性</w:t>
            </w:r>
          </w:p>
          <w:p>
            <w:pPr>
              <w:adjustRightInd w:val="0"/>
              <w:snapToGrid w:val="0"/>
              <w:spacing w:line="360" w:lineRule="auto"/>
              <w:ind w:firstLine="420" w:firstLineChars="200"/>
              <w:rPr>
                <w:bCs/>
                <w:color w:val="auto"/>
              </w:rPr>
            </w:pPr>
            <w:r>
              <w:rPr>
                <w:rFonts w:hint="eastAsia"/>
                <w:bCs/>
                <w:color w:val="auto"/>
              </w:rPr>
              <w:t>本项目与规划环评审查意见相符性分析见下表。</w:t>
            </w:r>
          </w:p>
          <w:p>
            <w:pPr>
              <w:adjustRightInd w:val="0"/>
              <w:snapToGrid w:val="0"/>
              <w:jc w:val="center"/>
              <w:rPr>
                <w:b/>
                <w:color w:val="auto"/>
              </w:rPr>
            </w:pPr>
            <w:r>
              <w:rPr>
                <w:rFonts w:hint="eastAsia"/>
                <w:b/>
                <w:color w:val="auto"/>
              </w:rPr>
              <w:t>表1</w:t>
            </w:r>
            <w:r>
              <w:rPr>
                <w:b/>
                <w:color w:val="auto"/>
              </w:rPr>
              <w:t xml:space="preserve">-2    </w:t>
            </w:r>
            <w:r>
              <w:rPr>
                <w:rFonts w:hint="eastAsia"/>
                <w:b/>
                <w:color w:val="auto"/>
              </w:rPr>
              <w:t>本项目与规划环评审查意见相符性分析一览表</w:t>
            </w:r>
          </w:p>
          <w:tbl>
            <w:tblPr>
              <w:tblStyle w:val="38"/>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44"/>
              <w:gridCol w:w="4536"/>
              <w:gridCol w:w="1843"/>
              <w:gridCol w:w="83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744" w:type="dxa"/>
                  <w:vAlign w:val="center"/>
                </w:tcPr>
                <w:p>
                  <w:pPr>
                    <w:adjustRightInd w:val="0"/>
                    <w:snapToGrid w:val="0"/>
                    <w:jc w:val="center"/>
                    <w:rPr>
                      <w:b/>
                      <w:color w:val="auto"/>
                      <w:sz w:val="18"/>
                      <w:szCs w:val="18"/>
                    </w:rPr>
                  </w:pPr>
                  <w:r>
                    <w:rPr>
                      <w:rFonts w:hint="eastAsia"/>
                      <w:b/>
                      <w:color w:val="auto"/>
                      <w:sz w:val="18"/>
                      <w:szCs w:val="18"/>
                    </w:rPr>
                    <w:t>序号</w:t>
                  </w:r>
                </w:p>
              </w:tc>
              <w:tc>
                <w:tcPr>
                  <w:tcW w:w="4536" w:type="dxa"/>
                  <w:vAlign w:val="center"/>
                </w:tcPr>
                <w:p>
                  <w:pPr>
                    <w:adjustRightInd w:val="0"/>
                    <w:snapToGrid w:val="0"/>
                    <w:jc w:val="center"/>
                    <w:rPr>
                      <w:b/>
                      <w:color w:val="auto"/>
                      <w:sz w:val="18"/>
                      <w:szCs w:val="18"/>
                    </w:rPr>
                  </w:pPr>
                  <w:r>
                    <w:rPr>
                      <w:rFonts w:hint="eastAsia"/>
                      <w:b/>
                      <w:color w:val="auto"/>
                      <w:sz w:val="18"/>
                      <w:szCs w:val="18"/>
                    </w:rPr>
                    <w:t>审查意见要求</w:t>
                  </w:r>
                </w:p>
              </w:tc>
              <w:tc>
                <w:tcPr>
                  <w:tcW w:w="1843" w:type="dxa"/>
                  <w:vAlign w:val="center"/>
                </w:tcPr>
                <w:p>
                  <w:pPr>
                    <w:adjustRightInd w:val="0"/>
                    <w:snapToGrid w:val="0"/>
                    <w:jc w:val="center"/>
                    <w:rPr>
                      <w:b/>
                      <w:color w:val="auto"/>
                      <w:sz w:val="18"/>
                      <w:szCs w:val="18"/>
                    </w:rPr>
                  </w:pPr>
                  <w:r>
                    <w:rPr>
                      <w:rFonts w:hint="eastAsia"/>
                      <w:b/>
                      <w:color w:val="auto"/>
                      <w:sz w:val="18"/>
                      <w:szCs w:val="18"/>
                    </w:rPr>
                    <w:t>本项目</w:t>
                  </w:r>
                </w:p>
              </w:tc>
              <w:tc>
                <w:tcPr>
                  <w:tcW w:w="832" w:type="dxa"/>
                  <w:vAlign w:val="center"/>
                </w:tcPr>
                <w:p>
                  <w:pPr>
                    <w:adjustRightInd w:val="0"/>
                    <w:snapToGrid w:val="0"/>
                    <w:jc w:val="center"/>
                    <w:rPr>
                      <w:b/>
                      <w:color w:val="auto"/>
                      <w:sz w:val="18"/>
                      <w:szCs w:val="18"/>
                    </w:rPr>
                  </w:pPr>
                  <w:r>
                    <w:rPr>
                      <w:rFonts w:hint="eastAsia"/>
                      <w:b/>
                      <w:color w:val="auto"/>
                      <w:sz w:val="18"/>
                      <w:szCs w:val="18"/>
                    </w:rPr>
                    <w:t>相符性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44" w:type="dxa"/>
                  <w:vAlign w:val="center"/>
                </w:tcPr>
                <w:p>
                  <w:pPr>
                    <w:adjustRightInd w:val="0"/>
                    <w:snapToGrid w:val="0"/>
                    <w:jc w:val="center"/>
                    <w:rPr>
                      <w:bCs/>
                      <w:color w:val="auto"/>
                      <w:sz w:val="18"/>
                      <w:szCs w:val="18"/>
                    </w:rPr>
                  </w:pPr>
                  <w:r>
                    <w:rPr>
                      <w:rFonts w:hint="eastAsia"/>
                      <w:bCs/>
                      <w:color w:val="auto"/>
                      <w:sz w:val="18"/>
                      <w:szCs w:val="18"/>
                    </w:rPr>
                    <w:t>1</w:t>
                  </w:r>
                </w:p>
              </w:tc>
              <w:tc>
                <w:tcPr>
                  <w:tcW w:w="4536" w:type="dxa"/>
                  <w:vAlign w:val="center"/>
                </w:tcPr>
                <w:p>
                  <w:pPr>
                    <w:adjustRightInd w:val="0"/>
                    <w:snapToGrid w:val="0"/>
                    <w:ind w:firstLine="360" w:firstLineChars="200"/>
                    <w:rPr>
                      <w:bCs/>
                      <w:color w:val="auto"/>
                      <w:sz w:val="18"/>
                      <w:szCs w:val="18"/>
                    </w:rPr>
                  </w:pPr>
                  <w:r>
                    <w:rPr>
                      <w:rFonts w:hint="eastAsia"/>
                      <w:bCs/>
                      <w:color w:val="auto"/>
                      <w:sz w:val="18"/>
                      <w:szCs w:val="18"/>
                    </w:rPr>
                    <w:t>结合规划实施现状推进工业区建设和环境管理，进一步优化空间布局和功能定位，加快实施产业结构调整与升级，实现区域产业和环境的可持续发展。</w:t>
                  </w:r>
                </w:p>
              </w:tc>
              <w:tc>
                <w:tcPr>
                  <w:tcW w:w="1843" w:type="dxa"/>
                  <w:vAlign w:val="center"/>
                </w:tcPr>
                <w:p>
                  <w:pPr>
                    <w:adjustRightInd w:val="0"/>
                    <w:snapToGrid w:val="0"/>
                    <w:jc w:val="center"/>
                    <w:rPr>
                      <w:bCs/>
                      <w:color w:val="auto"/>
                      <w:sz w:val="18"/>
                      <w:szCs w:val="18"/>
                    </w:rPr>
                  </w:pPr>
                  <w:r>
                    <w:rPr>
                      <w:rFonts w:hint="eastAsia"/>
                      <w:bCs/>
                      <w:color w:val="auto"/>
                      <w:sz w:val="18"/>
                      <w:szCs w:val="18"/>
                    </w:rPr>
                    <w:t>本项目位于太仓市城厢镇东亭北路128号9幢，符合空间布局和功能定位</w:t>
                  </w:r>
                </w:p>
              </w:tc>
              <w:tc>
                <w:tcPr>
                  <w:tcW w:w="832" w:type="dxa"/>
                  <w:vAlign w:val="center"/>
                </w:tcPr>
                <w:p>
                  <w:pPr>
                    <w:adjustRightInd w:val="0"/>
                    <w:snapToGrid w:val="0"/>
                    <w:jc w:val="center"/>
                    <w:rPr>
                      <w:bCs/>
                      <w:color w:val="auto"/>
                      <w:sz w:val="18"/>
                      <w:szCs w:val="18"/>
                    </w:rPr>
                  </w:pPr>
                  <w:r>
                    <w:rPr>
                      <w:rFonts w:hint="eastAsia"/>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44" w:type="dxa"/>
                  <w:vAlign w:val="center"/>
                </w:tcPr>
                <w:p>
                  <w:pPr>
                    <w:adjustRightInd w:val="0"/>
                    <w:snapToGrid w:val="0"/>
                    <w:jc w:val="center"/>
                    <w:rPr>
                      <w:bCs/>
                      <w:color w:val="auto"/>
                      <w:sz w:val="18"/>
                      <w:szCs w:val="18"/>
                    </w:rPr>
                  </w:pPr>
                  <w:r>
                    <w:rPr>
                      <w:bCs/>
                      <w:color w:val="auto"/>
                      <w:sz w:val="18"/>
                      <w:szCs w:val="18"/>
                    </w:rPr>
                    <w:t>2</w:t>
                  </w:r>
                </w:p>
              </w:tc>
              <w:tc>
                <w:tcPr>
                  <w:tcW w:w="4536" w:type="dxa"/>
                  <w:vAlign w:val="center"/>
                </w:tcPr>
                <w:p>
                  <w:pPr>
                    <w:adjustRightInd w:val="0"/>
                    <w:snapToGrid w:val="0"/>
                    <w:ind w:firstLine="360" w:firstLineChars="200"/>
                    <w:rPr>
                      <w:bCs/>
                      <w:color w:val="auto"/>
                      <w:sz w:val="18"/>
                      <w:szCs w:val="18"/>
                    </w:rPr>
                  </w:pPr>
                  <w:r>
                    <w:rPr>
                      <w:rFonts w:hint="eastAsia"/>
                      <w:color w:val="auto"/>
                      <w:sz w:val="18"/>
                      <w:szCs w:val="18"/>
                    </w:rPr>
                    <w:t>实施清单管理，入区项目严格执行环境准入条件，切实践行绿色低碳工业发展道路。项目环评落实国家产业政策、规划产业定位、“三线一单”以及法律法规要求，按照《报告书》提出的入区项目生态环境准入清单，优先引进生产工艺和设备先进、技术含量高、清洁生产水平高、污染物排放低、资源利用率高的工业项目。</w:t>
                  </w:r>
                </w:p>
              </w:tc>
              <w:tc>
                <w:tcPr>
                  <w:tcW w:w="1843" w:type="dxa"/>
                  <w:vAlign w:val="center"/>
                </w:tcPr>
                <w:p>
                  <w:pPr>
                    <w:adjustRightInd w:val="0"/>
                    <w:snapToGrid w:val="0"/>
                    <w:jc w:val="center"/>
                    <w:rPr>
                      <w:bCs/>
                      <w:color w:val="auto"/>
                      <w:sz w:val="18"/>
                      <w:szCs w:val="18"/>
                    </w:rPr>
                  </w:pPr>
                  <w:r>
                    <w:rPr>
                      <w:rFonts w:hint="eastAsia"/>
                      <w:bCs/>
                      <w:color w:val="auto"/>
                      <w:sz w:val="18"/>
                      <w:szCs w:val="18"/>
                    </w:rPr>
                    <w:t>本项目符合</w:t>
                  </w:r>
                  <w:r>
                    <w:rPr>
                      <w:color w:val="auto"/>
                      <w:kern w:val="0"/>
                      <w:sz w:val="18"/>
                      <w:szCs w:val="18"/>
                    </w:rPr>
                    <w:t>生态环境准入清单</w:t>
                  </w:r>
                  <w:r>
                    <w:rPr>
                      <w:rFonts w:hint="eastAsia"/>
                      <w:color w:val="auto"/>
                      <w:kern w:val="0"/>
                      <w:sz w:val="18"/>
                      <w:szCs w:val="18"/>
                    </w:rPr>
                    <w:t>，符合产业定位及其他法律法规要求</w:t>
                  </w:r>
                </w:p>
              </w:tc>
              <w:tc>
                <w:tcPr>
                  <w:tcW w:w="832" w:type="dxa"/>
                  <w:vAlign w:val="center"/>
                </w:tcPr>
                <w:p>
                  <w:pPr>
                    <w:adjustRightInd w:val="0"/>
                    <w:snapToGrid w:val="0"/>
                    <w:jc w:val="center"/>
                    <w:rPr>
                      <w:bCs/>
                      <w:color w:val="auto"/>
                      <w:sz w:val="18"/>
                      <w:szCs w:val="18"/>
                    </w:rPr>
                  </w:pPr>
                  <w:r>
                    <w:rPr>
                      <w:rFonts w:hint="eastAsia"/>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44" w:type="dxa"/>
                  <w:vAlign w:val="center"/>
                </w:tcPr>
                <w:p>
                  <w:pPr>
                    <w:adjustRightInd w:val="0"/>
                    <w:snapToGrid w:val="0"/>
                    <w:jc w:val="center"/>
                    <w:rPr>
                      <w:bCs/>
                      <w:color w:val="auto"/>
                      <w:sz w:val="18"/>
                      <w:szCs w:val="18"/>
                    </w:rPr>
                  </w:pPr>
                  <w:r>
                    <w:rPr>
                      <w:rFonts w:hint="eastAsia"/>
                      <w:bCs/>
                      <w:color w:val="auto"/>
                      <w:sz w:val="18"/>
                      <w:szCs w:val="18"/>
                    </w:rPr>
                    <w:t>3</w:t>
                  </w:r>
                </w:p>
              </w:tc>
              <w:tc>
                <w:tcPr>
                  <w:tcW w:w="4536" w:type="dxa"/>
                  <w:vAlign w:val="center"/>
                </w:tcPr>
                <w:p>
                  <w:pPr>
                    <w:adjustRightInd w:val="0"/>
                    <w:snapToGrid w:val="0"/>
                    <w:ind w:firstLine="360" w:firstLineChars="200"/>
                    <w:rPr>
                      <w:bCs/>
                      <w:color w:val="auto"/>
                      <w:sz w:val="18"/>
                      <w:szCs w:val="18"/>
                    </w:rPr>
                  </w:pPr>
                  <w:r>
                    <w:rPr>
                      <w:rFonts w:hint="eastAsia"/>
                      <w:color w:val="auto"/>
                      <w:sz w:val="18"/>
                      <w:szCs w:val="18"/>
                    </w:rPr>
                    <w:t>扎实推进节能减排工作。应采取工艺改造、节水管理等措施控制和减少现有企业的资源消耗水平及污染物排放强度。根据国家和江苏省有关大气、水、土壤污染防治行动计划相关要求，明确开发区环境质量改善阶段目标，采取有效措施减少主要污染物和挥发性有机物(VOCs）等特征污染物的排放总量，确保实现区域环境质量改善目标。对开发区现有主要VOCs及异味废气排放企业开展综合治理工作，加强日常监测、监督管理和预防控制。</w:t>
                  </w:r>
                </w:p>
              </w:tc>
              <w:tc>
                <w:tcPr>
                  <w:tcW w:w="1843" w:type="dxa"/>
                  <w:vAlign w:val="center"/>
                </w:tcPr>
                <w:p>
                  <w:pPr>
                    <w:adjustRightInd w:val="0"/>
                    <w:snapToGrid w:val="0"/>
                    <w:jc w:val="center"/>
                    <w:rPr>
                      <w:bCs/>
                      <w:color w:val="auto"/>
                      <w:sz w:val="18"/>
                      <w:szCs w:val="18"/>
                    </w:rPr>
                  </w:pPr>
                  <w:r>
                    <w:rPr>
                      <w:rFonts w:hint="eastAsia"/>
                      <w:bCs/>
                      <w:color w:val="auto"/>
                      <w:sz w:val="18"/>
                      <w:szCs w:val="18"/>
                    </w:rPr>
                    <w:t>本项目</w:t>
                  </w:r>
                  <w:r>
                    <w:rPr>
                      <w:rFonts w:hint="eastAsia"/>
                      <w:color w:val="auto"/>
                      <w:sz w:val="18"/>
                      <w:szCs w:val="18"/>
                    </w:rPr>
                    <w:t>生产过程中产生的废气经集气罩收集，通过布袋除尘+二级活性炭处理后通过</w:t>
                  </w:r>
                  <w:r>
                    <w:rPr>
                      <w:rFonts w:hint="eastAsia"/>
                      <w:color w:val="auto"/>
                      <w:sz w:val="18"/>
                      <w:szCs w:val="18"/>
                      <w:lang w:val="en-US" w:eastAsia="zh-CN"/>
                    </w:rPr>
                    <w:t>25</w:t>
                  </w:r>
                  <w:r>
                    <w:rPr>
                      <w:rFonts w:hint="eastAsia"/>
                      <w:color w:val="auto"/>
                      <w:sz w:val="18"/>
                      <w:szCs w:val="18"/>
                    </w:rPr>
                    <w:t>米高排气筒排放，通过加强车间通风，满足排放标准要求。并</w:t>
                  </w:r>
                  <w:r>
                    <w:rPr>
                      <w:rFonts w:hint="eastAsia"/>
                      <w:bCs/>
                      <w:color w:val="auto"/>
                      <w:sz w:val="18"/>
                      <w:szCs w:val="18"/>
                    </w:rPr>
                    <w:t>根据规范完善环境监测计划，开展日常环境监测</w:t>
                  </w:r>
                  <w:r>
                    <w:rPr>
                      <w:rFonts w:hint="eastAsia"/>
                      <w:color w:val="auto"/>
                      <w:sz w:val="18"/>
                      <w:szCs w:val="18"/>
                    </w:rPr>
                    <w:t>，加强监督管理。</w:t>
                  </w:r>
                </w:p>
              </w:tc>
              <w:tc>
                <w:tcPr>
                  <w:tcW w:w="832" w:type="dxa"/>
                  <w:vAlign w:val="center"/>
                </w:tcPr>
                <w:p>
                  <w:pPr>
                    <w:adjustRightInd w:val="0"/>
                    <w:snapToGrid w:val="0"/>
                    <w:jc w:val="center"/>
                    <w:rPr>
                      <w:bCs/>
                      <w:color w:val="auto"/>
                      <w:sz w:val="18"/>
                      <w:szCs w:val="18"/>
                    </w:rPr>
                  </w:pPr>
                  <w:r>
                    <w:rPr>
                      <w:rFonts w:hint="eastAsia"/>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44" w:type="dxa"/>
                  <w:vAlign w:val="center"/>
                </w:tcPr>
                <w:p>
                  <w:pPr>
                    <w:adjustRightInd w:val="0"/>
                    <w:snapToGrid w:val="0"/>
                    <w:jc w:val="center"/>
                    <w:rPr>
                      <w:bCs/>
                      <w:color w:val="auto"/>
                      <w:sz w:val="18"/>
                      <w:szCs w:val="18"/>
                    </w:rPr>
                  </w:pPr>
                  <w:r>
                    <w:rPr>
                      <w:rFonts w:hint="eastAsia"/>
                      <w:bCs/>
                      <w:color w:val="auto"/>
                      <w:sz w:val="18"/>
                      <w:szCs w:val="18"/>
                    </w:rPr>
                    <w:t>4</w:t>
                  </w:r>
                </w:p>
              </w:tc>
              <w:tc>
                <w:tcPr>
                  <w:tcW w:w="4536" w:type="dxa"/>
                  <w:vAlign w:val="center"/>
                </w:tcPr>
                <w:p>
                  <w:pPr>
                    <w:ind w:firstLine="360" w:firstLineChars="200"/>
                    <w:rPr>
                      <w:bCs/>
                      <w:color w:val="auto"/>
                      <w:sz w:val="18"/>
                      <w:szCs w:val="18"/>
                    </w:rPr>
                  </w:pPr>
                  <w:r>
                    <w:rPr>
                      <w:rFonts w:hint="eastAsia"/>
                      <w:color w:val="auto"/>
                      <w:sz w:val="18"/>
                      <w:szCs w:val="18"/>
                    </w:rPr>
                    <w:t>严格落实污染物排放总量控制要求，使区内污染物排放得到有效控制。污染物排放总量指标纳入区域总量指标内，污染物排放应满足区域总量控制及污染物削减计划要求，切实维护区域环境质量和生态功能。</w:t>
                  </w:r>
                </w:p>
              </w:tc>
              <w:tc>
                <w:tcPr>
                  <w:tcW w:w="1843" w:type="dxa"/>
                  <w:vAlign w:val="center"/>
                </w:tcPr>
                <w:p>
                  <w:pPr>
                    <w:adjustRightInd w:val="0"/>
                    <w:snapToGrid w:val="0"/>
                    <w:jc w:val="center"/>
                    <w:rPr>
                      <w:bCs/>
                      <w:color w:val="auto"/>
                      <w:sz w:val="18"/>
                      <w:szCs w:val="18"/>
                    </w:rPr>
                  </w:pPr>
                  <w:r>
                    <w:rPr>
                      <w:rFonts w:hint="eastAsia"/>
                      <w:bCs/>
                      <w:color w:val="auto"/>
                      <w:sz w:val="18"/>
                      <w:szCs w:val="18"/>
                    </w:rPr>
                    <w:t>本项目</w:t>
                  </w:r>
                  <w:r>
                    <w:rPr>
                      <w:rFonts w:hint="eastAsia"/>
                      <w:color w:val="auto"/>
                      <w:sz w:val="18"/>
                      <w:szCs w:val="18"/>
                    </w:rPr>
                    <w:t>生产过程中产生的废气经集气罩收集，通过布袋除尘+二级活性炭处理后通过</w:t>
                  </w:r>
                  <w:r>
                    <w:rPr>
                      <w:rFonts w:hint="eastAsia"/>
                      <w:color w:val="auto"/>
                      <w:sz w:val="18"/>
                      <w:szCs w:val="18"/>
                      <w:lang w:val="en-US" w:eastAsia="zh-CN"/>
                    </w:rPr>
                    <w:t>25</w:t>
                  </w:r>
                  <w:r>
                    <w:rPr>
                      <w:rFonts w:hint="eastAsia"/>
                      <w:color w:val="auto"/>
                      <w:sz w:val="18"/>
                      <w:szCs w:val="18"/>
                    </w:rPr>
                    <w:t>米高排气筒排放，通过加强车间通风，满足排放标准要求。</w:t>
                  </w:r>
                </w:p>
              </w:tc>
              <w:tc>
                <w:tcPr>
                  <w:tcW w:w="832" w:type="dxa"/>
                  <w:vAlign w:val="center"/>
                </w:tcPr>
                <w:p>
                  <w:pPr>
                    <w:adjustRightInd w:val="0"/>
                    <w:snapToGrid w:val="0"/>
                    <w:jc w:val="center"/>
                    <w:rPr>
                      <w:bCs/>
                      <w:color w:val="auto"/>
                      <w:sz w:val="18"/>
                      <w:szCs w:val="18"/>
                    </w:rPr>
                  </w:pPr>
                  <w:r>
                    <w:rPr>
                      <w:rFonts w:hint="eastAsia"/>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44" w:type="dxa"/>
                  <w:vAlign w:val="center"/>
                </w:tcPr>
                <w:p>
                  <w:pPr>
                    <w:adjustRightInd w:val="0"/>
                    <w:snapToGrid w:val="0"/>
                    <w:jc w:val="center"/>
                    <w:rPr>
                      <w:bCs/>
                      <w:color w:val="auto"/>
                      <w:sz w:val="18"/>
                      <w:szCs w:val="18"/>
                    </w:rPr>
                  </w:pPr>
                  <w:r>
                    <w:rPr>
                      <w:rFonts w:hint="eastAsia"/>
                      <w:bCs/>
                      <w:color w:val="auto"/>
                      <w:sz w:val="18"/>
                      <w:szCs w:val="18"/>
                    </w:rPr>
                    <w:t>5</w:t>
                  </w:r>
                </w:p>
              </w:tc>
              <w:tc>
                <w:tcPr>
                  <w:tcW w:w="4536" w:type="dxa"/>
                  <w:vAlign w:val="center"/>
                </w:tcPr>
                <w:p>
                  <w:pPr>
                    <w:ind w:firstLine="360" w:firstLineChars="200"/>
                    <w:rPr>
                      <w:bCs/>
                      <w:color w:val="auto"/>
                      <w:sz w:val="18"/>
                      <w:szCs w:val="18"/>
                    </w:rPr>
                  </w:pPr>
                  <w:r>
                    <w:rPr>
                      <w:rFonts w:hint="eastAsia"/>
                      <w:color w:val="auto"/>
                      <w:sz w:val="18"/>
                      <w:szCs w:val="18"/>
                    </w:rPr>
                    <w:t>鼓励开发区内企业开展清洁生产审核，促进循环经济与可持续发展。开展开发区生态环境管理，更好地落实开发区边界绿化隔离带要求。</w:t>
                  </w:r>
                </w:p>
              </w:tc>
              <w:tc>
                <w:tcPr>
                  <w:tcW w:w="1843" w:type="dxa"/>
                  <w:vAlign w:val="center"/>
                </w:tcPr>
                <w:p>
                  <w:pPr>
                    <w:adjustRightInd w:val="0"/>
                    <w:snapToGrid w:val="0"/>
                    <w:jc w:val="center"/>
                    <w:rPr>
                      <w:bCs/>
                      <w:color w:val="auto"/>
                      <w:sz w:val="18"/>
                      <w:szCs w:val="18"/>
                    </w:rPr>
                  </w:pPr>
                  <w:r>
                    <w:rPr>
                      <w:rFonts w:hint="eastAsia"/>
                      <w:bCs/>
                      <w:color w:val="auto"/>
                      <w:sz w:val="18"/>
                      <w:szCs w:val="18"/>
                    </w:rPr>
                    <w:t>企业使用电力等清洁能源，并制定了节约水电等措施，促进了经济的可持续发展</w:t>
                  </w:r>
                </w:p>
              </w:tc>
              <w:tc>
                <w:tcPr>
                  <w:tcW w:w="832" w:type="dxa"/>
                  <w:vAlign w:val="center"/>
                </w:tcPr>
                <w:p>
                  <w:pPr>
                    <w:adjustRightInd w:val="0"/>
                    <w:snapToGrid w:val="0"/>
                    <w:jc w:val="center"/>
                    <w:rPr>
                      <w:bCs/>
                      <w:color w:val="auto"/>
                      <w:sz w:val="18"/>
                      <w:szCs w:val="18"/>
                    </w:rPr>
                  </w:pPr>
                  <w:r>
                    <w:rPr>
                      <w:rFonts w:hint="eastAsia"/>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44" w:type="dxa"/>
                  <w:vAlign w:val="center"/>
                </w:tcPr>
                <w:p>
                  <w:pPr>
                    <w:adjustRightInd w:val="0"/>
                    <w:snapToGrid w:val="0"/>
                    <w:jc w:val="center"/>
                    <w:rPr>
                      <w:bCs/>
                      <w:color w:val="auto"/>
                      <w:sz w:val="18"/>
                      <w:szCs w:val="18"/>
                    </w:rPr>
                  </w:pPr>
                  <w:r>
                    <w:rPr>
                      <w:rFonts w:hint="eastAsia"/>
                      <w:bCs/>
                      <w:color w:val="auto"/>
                      <w:sz w:val="18"/>
                      <w:szCs w:val="18"/>
                    </w:rPr>
                    <w:t>6</w:t>
                  </w:r>
                </w:p>
              </w:tc>
              <w:tc>
                <w:tcPr>
                  <w:tcW w:w="4536" w:type="dxa"/>
                  <w:vAlign w:val="center"/>
                </w:tcPr>
                <w:p>
                  <w:pPr>
                    <w:rPr>
                      <w:bCs/>
                      <w:color w:val="auto"/>
                      <w:sz w:val="18"/>
                      <w:szCs w:val="18"/>
                    </w:rPr>
                  </w:pPr>
                  <w:r>
                    <w:rPr>
                      <w:rFonts w:hint="eastAsia"/>
                      <w:color w:val="auto"/>
                      <w:sz w:val="18"/>
                      <w:szCs w:val="18"/>
                    </w:rPr>
                    <w:t>入区建设项目严格执行环境影响评价制度、“三同时”制度、排污许可制度，做好建设项目环境保护事前审批与事中事后监督管理的有效衔接，规范项目管理。</w:t>
                  </w:r>
                </w:p>
              </w:tc>
              <w:tc>
                <w:tcPr>
                  <w:tcW w:w="1843" w:type="dxa"/>
                  <w:vAlign w:val="center"/>
                </w:tcPr>
                <w:p>
                  <w:pPr>
                    <w:adjustRightInd w:val="0"/>
                    <w:snapToGrid w:val="0"/>
                    <w:jc w:val="center"/>
                    <w:rPr>
                      <w:bCs/>
                      <w:color w:val="auto"/>
                      <w:sz w:val="18"/>
                      <w:szCs w:val="18"/>
                    </w:rPr>
                  </w:pPr>
                  <w:r>
                    <w:rPr>
                      <w:rFonts w:hint="eastAsia"/>
                      <w:bCs/>
                      <w:color w:val="auto"/>
                      <w:sz w:val="18"/>
                      <w:szCs w:val="18"/>
                    </w:rPr>
                    <w:t>本项目严格执行园区各项制度要求</w:t>
                  </w:r>
                </w:p>
              </w:tc>
              <w:tc>
                <w:tcPr>
                  <w:tcW w:w="832" w:type="dxa"/>
                  <w:vAlign w:val="center"/>
                </w:tcPr>
                <w:p>
                  <w:pPr>
                    <w:adjustRightInd w:val="0"/>
                    <w:snapToGrid w:val="0"/>
                    <w:jc w:val="center"/>
                    <w:rPr>
                      <w:bCs/>
                      <w:color w:val="auto"/>
                      <w:sz w:val="18"/>
                      <w:szCs w:val="18"/>
                    </w:rPr>
                  </w:pPr>
                  <w:r>
                    <w:rPr>
                      <w:rFonts w:hint="eastAsia"/>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44" w:type="dxa"/>
                  <w:vAlign w:val="center"/>
                </w:tcPr>
                <w:p>
                  <w:pPr>
                    <w:adjustRightInd w:val="0"/>
                    <w:snapToGrid w:val="0"/>
                    <w:jc w:val="center"/>
                    <w:rPr>
                      <w:bCs/>
                      <w:color w:val="auto"/>
                      <w:sz w:val="18"/>
                      <w:szCs w:val="18"/>
                    </w:rPr>
                  </w:pPr>
                  <w:r>
                    <w:rPr>
                      <w:rFonts w:hint="eastAsia"/>
                      <w:bCs/>
                      <w:color w:val="auto"/>
                      <w:sz w:val="18"/>
                      <w:szCs w:val="18"/>
                    </w:rPr>
                    <w:t>7</w:t>
                  </w:r>
                </w:p>
              </w:tc>
              <w:tc>
                <w:tcPr>
                  <w:tcW w:w="4536" w:type="dxa"/>
                  <w:vAlign w:val="center"/>
                </w:tcPr>
                <w:p>
                  <w:pPr>
                    <w:rPr>
                      <w:bCs/>
                      <w:color w:val="auto"/>
                      <w:sz w:val="18"/>
                      <w:szCs w:val="18"/>
                    </w:rPr>
                  </w:pPr>
                  <w:r>
                    <w:rPr>
                      <w:rFonts w:hint="eastAsia"/>
                      <w:color w:val="auto"/>
                      <w:sz w:val="18"/>
                      <w:szCs w:val="18"/>
                    </w:rPr>
                    <w:t>应按照《报告书》要求，建立开发区环境风险管理体系。注重开发区环境风险源管理，严格控制新增环境风险源。建立开发区环境风险监测与监控体系，完善开发区突发环境事件应急预案，形成应急联动机制。</w:t>
                  </w:r>
                </w:p>
              </w:tc>
              <w:tc>
                <w:tcPr>
                  <w:tcW w:w="1843" w:type="dxa"/>
                  <w:vAlign w:val="center"/>
                </w:tcPr>
                <w:p>
                  <w:pPr>
                    <w:adjustRightInd w:val="0"/>
                    <w:snapToGrid w:val="0"/>
                    <w:jc w:val="center"/>
                    <w:rPr>
                      <w:bCs/>
                      <w:color w:val="auto"/>
                      <w:sz w:val="18"/>
                      <w:szCs w:val="18"/>
                    </w:rPr>
                  </w:pPr>
                  <w:r>
                    <w:rPr>
                      <w:rFonts w:hint="eastAsia"/>
                      <w:bCs/>
                      <w:color w:val="auto"/>
                      <w:sz w:val="18"/>
                      <w:szCs w:val="18"/>
                    </w:rPr>
                    <w:t>日常生产过程中加强风险物质的管理，同时加强环保设施的维护与保养</w:t>
                  </w:r>
                </w:p>
              </w:tc>
              <w:tc>
                <w:tcPr>
                  <w:tcW w:w="832" w:type="dxa"/>
                  <w:vAlign w:val="center"/>
                </w:tcPr>
                <w:p>
                  <w:pPr>
                    <w:adjustRightInd w:val="0"/>
                    <w:snapToGrid w:val="0"/>
                    <w:jc w:val="center"/>
                    <w:rPr>
                      <w:bCs/>
                      <w:color w:val="auto"/>
                      <w:sz w:val="18"/>
                      <w:szCs w:val="18"/>
                    </w:rPr>
                  </w:pPr>
                  <w:r>
                    <w:rPr>
                      <w:rFonts w:hint="eastAsia"/>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44" w:type="dxa"/>
                  <w:vAlign w:val="center"/>
                </w:tcPr>
                <w:p>
                  <w:pPr>
                    <w:adjustRightInd w:val="0"/>
                    <w:snapToGrid w:val="0"/>
                    <w:jc w:val="center"/>
                    <w:rPr>
                      <w:bCs/>
                      <w:color w:val="auto"/>
                      <w:sz w:val="18"/>
                      <w:szCs w:val="18"/>
                    </w:rPr>
                  </w:pPr>
                  <w:r>
                    <w:rPr>
                      <w:rFonts w:hint="eastAsia"/>
                      <w:bCs/>
                      <w:color w:val="auto"/>
                      <w:sz w:val="18"/>
                      <w:szCs w:val="18"/>
                    </w:rPr>
                    <w:t>8</w:t>
                  </w:r>
                </w:p>
              </w:tc>
              <w:tc>
                <w:tcPr>
                  <w:tcW w:w="4536" w:type="dxa"/>
                  <w:vAlign w:val="center"/>
                </w:tcPr>
                <w:p>
                  <w:pPr>
                    <w:rPr>
                      <w:bCs/>
                      <w:color w:val="auto"/>
                      <w:sz w:val="18"/>
                      <w:szCs w:val="18"/>
                    </w:rPr>
                  </w:pPr>
                  <w:r>
                    <w:rPr>
                      <w:rFonts w:hint="eastAsia"/>
                      <w:color w:val="auto"/>
                      <w:sz w:val="18"/>
                      <w:szCs w:val="18"/>
                    </w:rPr>
                    <w:t>切实加强环境监管。健全开发区环境管理机构，统筹考虑区内污染物排放与监管、区域环境综合整治、环境管理等事宜。严格监控工业区异味气体排放，定期开展开发区及周边环境质量评价。建立有效的环境监测体系，落实园区日常环境监测计划。</w:t>
                  </w:r>
                </w:p>
              </w:tc>
              <w:tc>
                <w:tcPr>
                  <w:tcW w:w="1843" w:type="dxa"/>
                  <w:vAlign w:val="center"/>
                </w:tcPr>
                <w:p>
                  <w:pPr>
                    <w:adjustRightInd w:val="0"/>
                    <w:snapToGrid w:val="0"/>
                    <w:jc w:val="center"/>
                    <w:rPr>
                      <w:bCs/>
                      <w:color w:val="auto"/>
                      <w:sz w:val="18"/>
                      <w:szCs w:val="18"/>
                    </w:rPr>
                  </w:pPr>
                  <w:r>
                    <w:rPr>
                      <w:rFonts w:hint="eastAsia"/>
                      <w:bCs/>
                      <w:color w:val="auto"/>
                      <w:sz w:val="18"/>
                      <w:szCs w:val="18"/>
                    </w:rPr>
                    <w:t>企业根据规范完善环境监测计划，开展日常环境监测。</w:t>
                  </w:r>
                </w:p>
              </w:tc>
              <w:tc>
                <w:tcPr>
                  <w:tcW w:w="832" w:type="dxa"/>
                  <w:vAlign w:val="center"/>
                </w:tcPr>
                <w:p>
                  <w:pPr>
                    <w:adjustRightInd w:val="0"/>
                    <w:snapToGrid w:val="0"/>
                    <w:jc w:val="center"/>
                    <w:rPr>
                      <w:bCs/>
                      <w:color w:val="auto"/>
                      <w:sz w:val="18"/>
                      <w:szCs w:val="18"/>
                    </w:rPr>
                  </w:pPr>
                  <w:r>
                    <w:rPr>
                      <w:rFonts w:hint="eastAsia"/>
                      <w:bCs/>
                      <w:color w:val="auto"/>
                      <w:sz w:val="18"/>
                      <w:szCs w:val="18"/>
                    </w:rPr>
                    <w:t>相符</w:t>
                  </w:r>
                </w:p>
              </w:tc>
            </w:tr>
          </w:tbl>
          <w:p>
            <w:pPr>
              <w:pStyle w:val="47"/>
              <w:rPr>
                <w:color w:val="auto"/>
              </w:rPr>
            </w:pPr>
          </w:p>
          <w:p>
            <w:pPr>
              <w:pStyle w:val="47"/>
              <w:rPr>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tcBorders>
              <w:top w:val="single" w:color="auto" w:sz="4" w:space="0"/>
              <w:left w:val="single" w:color="auto" w:sz="4" w:space="0"/>
              <w:right w:val="single" w:color="auto" w:sz="4" w:space="0"/>
            </w:tcBorders>
            <w:vAlign w:val="center"/>
          </w:tcPr>
          <w:p>
            <w:pPr>
              <w:autoSpaceDE w:val="0"/>
              <w:autoSpaceDN w:val="0"/>
              <w:adjustRightInd w:val="0"/>
              <w:snapToGrid w:val="0"/>
              <w:jc w:val="center"/>
              <w:rPr>
                <w:color w:val="auto"/>
                <w:kern w:val="0"/>
                <w:szCs w:val="21"/>
              </w:rPr>
            </w:pPr>
            <w:r>
              <w:rPr>
                <w:color w:val="auto"/>
                <w:kern w:val="0"/>
                <w:szCs w:val="21"/>
              </w:rPr>
              <w:t>其他符合性分析</w:t>
            </w:r>
          </w:p>
        </w:tc>
        <w:tc>
          <w:tcPr>
            <w:tcW w:w="8181" w:type="dxa"/>
            <w:gridSpan w:val="3"/>
            <w:tcBorders>
              <w:top w:val="single" w:color="auto" w:sz="4" w:space="0"/>
              <w:left w:val="single" w:color="auto" w:sz="4" w:space="0"/>
              <w:right w:val="single" w:color="auto" w:sz="4" w:space="0"/>
            </w:tcBorders>
            <w:vAlign w:val="center"/>
          </w:tcPr>
          <w:p>
            <w:pPr>
              <w:autoSpaceDE w:val="0"/>
              <w:autoSpaceDN w:val="0"/>
              <w:adjustRightInd w:val="0"/>
              <w:snapToGrid w:val="0"/>
              <w:spacing w:line="360" w:lineRule="auto"/>
              <w:ind w:firstLine="422" w:firstLineChars="200"/>
              <w:rPr>
                <w:b/>
                <w:color w:val="auto"/>
                <w:kern w:val="0"/>
                <w:szCs w:val="21"/>
              </w:rPr>
            </w:pPr>
            <w:r>
              <w:rPr>
                <w:b/>
                <w:color w:val="auto"/>
                <w:kern w:val="0"/>
                <w:szCs w:val="21"/>
              </w:rPr>
              <w:t>1、产业政策相符性分析</w:t>
            </w:r>
          </w:p>
          <w:p>
            <w:pPr>
              <w:autoSpaceDE w:val="0"/>
              <w:autoSpaceDN w:val="0"/>
              <w:adjustRightInd w:val="0"/>
              <w:snapToGrid w:val="0"/>
              <w:spacing w:line="360" w:lineRule="auto"/>
              <w:ind w:firstLine="420" w:firstLineChars="200"/>
              <w:rPr>
                <w:snapToGrid w:val="0"/>
                <w:color w:val="auto"/>
                <w:kern w:val="0"/>
              </w:rPr>
            </w:pPr>
            <w:r>
              <w:rPr>
                <w:color w:val="auto"/>
                <w:szCs w:val="21"/>
              </w:rPr>
              <w:t>本项目从事</w:t>
            </w:r>
            <w:r>
              <w:rPr>
                <w:rFonts w:hint="eastAsia"/>
                <w:color w:val="auto"/>
              </w:rPr>
              <w:t>橡胶、塑料零部件制造</w:t>
            </w:r>
            <w:r>
              <w:rPr>
                <w:color w:val="auto"/>
                <w:szCs w:val="21"/>
              </w:rPr>
              <w:t>，</w:t>
            </w:r>
            <w:r>
              <w:rPr>
                <w:snapToGrid w:val="0"/>
                <w:color w:val="auto"/>
                <w:kern w:val="0"/>
              </w:rPr>
              <w:t>与国家及地方现行产业政策相符性分析详见表1-3。</w:t>
            </w:r>
          </w:p>
          <w:p>
            <w:pPr>
              <w:overflowPunct w:val="0"/>
              <w:autoSpaceDE w:val="0"/>
              <w:autoSpaceDN w:val="0"/>
              <w:adjustRightInd w:val="0"/>
              <w:snapToGrid w:val="0"/>
              <w:jc w:val="center"/>
              <w:rPr>
                <w:b/>
                <w:bCs/>
                <w:snapToGrid w:val="0"/>
                <w:color w:val="auto"/>
                <w:kern w:val="0"/>
              </w:rPr>
            </w:pPr>
            <w:r>
              <w:rPr>
                <w:b/>
                <w:bCs/>
                <w:snapToGrid w:val="0"/>
                <w:color w:val="auto"/>
                <w:kern w:val="0"/>
              </w:rPr>
              <w:t>表1-3  项目与国家及地方现行产业政策相符性分析表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476"/>
              <w:gridCol w:w="3812"/>
              <w:gridCol w:w="370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8" w:type="pc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序号</w:t>
                  </w:r>
                </w:p>
              </w:tc>
              <w:tc>
                <w:tcPr>
                  <w:tcW w:w="2385" w:type="pc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产业政策相关文件</w:t>
                  </w:r>
                </w:p>
              </w:tc>
              <w:tc>
                <w:tcPr>
                  <w:tcW w:w="2317" w:type="pc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项目相符性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8" w:type="pct"/>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1</w:t>
                  </w:r>
                </w:p>
              </w:tc>
              <w:tc>
                <w:tcPr>
                  <w:tcW w:w="2385" w:type="pct"/>
                  <w:vAlign w:val="center"/>
                </w:tcPr>
                <w:p>
                  <w:pPr>
                    <w:overflowPunct w:val="0"/>
                    <w:autoSpaceDE w:val="0"/>
                    <w:autoSpaceDN w:val="0"/>
                    <w:adjustRightInd w:val="0"/>
                    <w:snapToGrid w:val="0"/>
                    <w:jc w:val="center"/>
                    <w:rPr>
                      <w:bCs/>
                      <w:snapToGrid w:val="0"/>
                      <w:color w:val="auto"/>
                      <w:kern w:val="0"/>
                      <w:sz w:val="18"/>
                      <w:szCs w:val="18"/>
                    </w:rPr>
                  </w:pPr>
                  <w:r>
                    <w:rPr>
                      <w:bCs/>
                      <w:snapToGrid w:val="0"/>
                      <w:color w:val="auto"/>
                      <w:kern w:val="0"/>
                      <w:sz w:val="18"/>
                      <w:szCs w:val="18"/>
                    </w:rPr>
                    <w:t>《产业结构调整指导目录（2019年本）》</w:t>
                  </w:r>
                </w:p>
                <w:p>
                  <w:pPr>
                    <w:overflowPunct w:val="0"/>
                    <w:autoSpaceDE w:val="0"/>
                    <w:autoSpaceDN w:val="0"/>
                    <w:adjustRightInd w:val="0"/>
                    <w:snapToGrid w:val="0"/>
                    <w:jc w:val="center"/>
                    <w:rPr>
                      <w:bCs/>
                      <w:snapToGrid w:val="0"/>
                      <w:color w:val="auto"/>
                      <w:kern w:val="0"/>
                      <w:sz w:val="18"/>
                      <w:szCs w:val="18"/>
                    </w:rPr>
                  </w:pPr>
                  <w:r>
                    <w:rPr>
                      <w:rFonts w:hint="eastAsia"/>
                      <w:bCs/>
                      <w:snapToGrid w:val="0"/>
                      <w:color w:val="auto"/>
                      <w:kern w:val="0"/>
                      <w:sz w:val="18"/>
                      <w:szCs w:val="18"/>
                    </w:rPr>
                    <w:t>（2</w:t>
                  </w:r>
                  <w:r>
                    <w:rPr>
                      <w:bCs/>
                      <w:snapToGrid w:val="0"/>
                      <w:color w:val="auto"/>
                      <w:kern w:val="0"/>
                      <w:sz w:val="18"/>
                      <w:szCs w:val="18"/>
                    </w:rPr>
                    <w:t>021</w:t>
                  </w:r>
                  <w:r>
                    <w:rPr>
                      <w:rFonts w:hint="eastAsia"/>
                      <w:bCs/>
                      <w:snapToGrid w:val="0"/>
                      <w:color w:val="auto"/>
                      <w:kern w:val="0"/>
                      <w:sz w:val="18"/>
                      <w:szCs w:val="18"/>
                    </w:rPr>
                    <w:t>年修订）</w:t>
                  </w:r>
                </w:p>
              </w:tc>
              <w:tc>
                <w:tcPr>
                  <w:tcW w:w="2317" w:type="pct"/>
                  <w:vAlign w:val="center"/>
                </w:tcPr>
                <w:p>
                  <w:pPr>
                    <w:overflowPunct w:val="0"/>
                    <w:autoSpaceDE w:val="0"/>
                    <w:autoSpaceDN w:val="0"/>
                    <w:adjustRightInd w:val="0"/>
                    <w:snapToGrid w:val="0"/>
                    <w:ind w:firstLine="360" w:firstLineChars="200"/>
                    <w:rPr>
                      <w:snapToGrid w:val="0"/>
                      <w:color w:val="auto"/>
                      <w:kern w:val="0"/>
                      <w:sz w:val="18"/>
                      <w:szCs w:val="18"/>
                    </w:rPr>
                  </w:pPr>
                  <w:r>
                    <w:rPr>
                      <w:snapToGrid w:val="0"/>
                      <w:color w:val="auto"/>
                      <w:kern w:val="0"/>
                      <w:sz w:val="18"/>
                      <w:szCs w:val="18"/>
                    </w:rPr>
                    <w:t>本项目</w:t>
                  </w:r>
                  <w:r>
                    <w:rPr>
                      <w:rFonts w:hint="eastAsia"/>
                      <w:snapToGrid w:val="0"/>
                      <w:color w:val="auto"/>
                      <w:kern w:val="0"/>
                      <w:sz w:val="18"/>
                      <w:szCs w:val="18"/>
                    </w:rPr>
                    <w:t>不属于鼓励及限制类项目，属于允许类项目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8" w:type="pct"/>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2</w:t>
                  </w:r>
                </w:p>
              </w:tc>
              <w:tc>
                <w:tcPr>
                  <w:tcW w:w="2385" w:type="pct"/>
                  <w:vAlign w:val="center"/>
                </w:tcPr>
                <w:p>
                  <w:pPr>
                    <w:overflowPunct w:val="0"/>
                    <w:autoSpaceDE w:val="0"/>
                    <w:autoSpaceDN w:val="0"/>
                    <w:adjustRightInd w:val="0"/>
                    <w:snapToGrid w:val="0"/>
                    <w:jc w:val="center"/>
                    <w:rPr>
                      <w:bCs/>
                      <w:snapToGrid w:val="0"/>
                      <w:color w:val="auto"/>
                      <w:kern w:val="0"/>
                      <w:sz w:val="18"/>
                      <w:szCs w:val="18"/>
                    </w:rPr>
                  </w:pPr>
                  <w:r>
                    <w:rPr>
                      <w:bCs/>
                      <w:snapToGrid w:val="0"/>
                      <w:color w:val="auto"/>
                      <w:kern w:val="0"/>
                      <w:sz w:val="18"/>
                      <w:szCs w:val="18"/>
                    </w:rPr>
                    <w:t>《市场准入负面清单（2022年版）》</w:t>
                  </w:r>
                </w:p>
              </w:tc>
              <w:tc>
                <w:tcPr>
                  <w:tcW w:w="2317" w:type="pct"/>
                  <w:vAlign w:val="center"/>
                </w:tcPr>
                <w:p>
                  <w:pPr>
                    <w:overflowPunct w:val="0"/>
                    <w:autoSpaceDE w:val="0"/>
                    <w:autoSpaceDN w:val="0"/>
                    <w:adjustRightInd w:val="0"/>
                    <w:snapToGrid w:val="0"/>
                    <w:ind w:firstLine="360" w:firstLineChars="200"/>
                    <w:rPr>
                      <w:snapToGrid w:val="0"/>
                      <w:color w:val="auto"/>
                      <w:kern w:val="0"/>
                      <w:sz w:val="18"/>
                      <w:szCs w:val="18"/>
                    </w:rPr>
                  </w:pPr>
                  <w:r>
                    <w:rPr>
                      <w:snapToGrid w:val="0"/>
                      <w:color w:val="auto"/>
                      <w:kern w:val="0"/>
                      <w:sz w:val="18"/>
                      <w:szCs w:val="18"/>
                    </w:rPr>
                    <w:t>本项目不属于其中禁止准入类项目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8" w:type="pct"/>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3</w:t>
                  </w:r>
                </w:p>
              </w:tc>
              <w:tc>
                <w:tcPr>
                  <w:tcW w:w="2385" w:type="pct"/>
                  <w:vAlign w:val="center"/>
                </w:tcPr>
                <w:p>
                  <w:pPr>
                    <w:overflowPunct w:val="0"/>
                    <w:autoSpaceDE w:val="0"/>
                    <w:autoSpaceDN w:val="0"/>
                    <w:adjustRightInd w:val="0"/>
                    <w:snapToGrid w:val="0"/>
                    <w:jc w:val="center"/>
                    <w:rPr>
                      <w:snapToGrid w:val="0"/>
                      <w:color w:val="auto"/>
                      <w:kern w:val="0"/>
                      <w:sz w:val="18"/>
                      <w:szCs w:val="18"/>
                    </w:rPr>
                  </w:pPr>
                  <w:r>
                    <w:rPr>
                      <w:bCs/>
                      <w:snapToGrid w:val="0"/>
                      <w:color w:val="auto"/>
                      <w:kern w:val="0"/>
                      <w:sz w:val="18"/>
                      <w:szCs w:val="18"/>
                    </w:rPr>
                    <w:t>《苏州市产业发展导向目录</w:t>
                  </w:r>
                  <w:r>
                    <w:rPr>
                      <w:rFonts w:hint="eastAsia"/>
                      <w:bCs/>
                      <w:snapToGrid w:val="0"/>
                      <w:color w:val="auto"/>
                      <w:kern w:val="0"/>
                      <w:sz w:val="18"/>
                      <w:szCs w:val="18"/>
                    </w:rPr>
                    <w:t>（2007年本））</w:t>
                  </w:r>
                  <w:r>
                    <w:rPr>
                      <w:bCs/>
                      <w:snapToGrid w:val="0"/>
                      <w:color w:val="auto"/>
                      <w:kern w:val="0"/>
                      <w:sz w:val="18"/>
                      <w:szCs w:val="18"/>
                    </w:rPr>
                    <w:t>》</w:t>
                  </w:r>
                </w:p>
              </w:tc>
              <w:tc>
                <w:tcPr>
                  <w:tcW w:w="2317" w:type="pct"/>
                  <w:vAlign w:val="center"/>
                </w:tcPr>
                <w:p>
                  <w:pPr>
                    <w:overflowPunct w:val="0"/>
                    <w:autoSpaceDE w:val="0"/>
                    <w:autoSpaceDN w:val="0"/>
                    <w:adjustRightInd w:val="0"/>
                    <w:snapToGrid w:val="0"/>
                    <w:ind w:firstLine="360" w:firstLineChars="200"/>
                    <w:rPr>
                      <w:snapToGrid w:val="0"/>
                      <w:color w:val="auto"/>
                      <w:kern w:val="0"/>
                      <w:sz w:val="18"/>
                      <w:szCs w:val="18"/>
                    </w:rPr>
                  </w:pPr>
                  <w:r>
                    <w:rPr>
                      <w:snapToGrid w:val="0"/>
                      <w:color w:val="auto"/>
                      <w:kern w:val="0"/>
                      <w:sz w:val="18"/>
                      <w:szCs w:val="18"/>
                    </w:rPr>
                    <w:t>本项目不属于限制、禁止和淘汰类项目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8" w:type="pct"/>
                  <w:vAlign w:val="center"/>
                </w:tcPr>
                <w:p>
                  <w:pPr>
                    <w:overflowPunct w:val="0"/>
                    <w:autoSpaceDE w:val="0"/>
                    <w:autoSpaceDN w:val="0"/>
                    <w:adjustRightInd w:val="0"/>
                    <w:snapToGrid w:val="0"/>
                    <w:jc w:val="center"/>
                    <w:rPr>
                      <w:snapToGrid w:val="0"/>
                      <w:color w:val="auto"/>
                      <w:kern w:val="0"/>
                      <w:sz w:val="18"/>
                      <w:szCs w:val="18"/>
                    </w:rPr>
                  </w:pPr>
                  <w:r>
                    <w:rPr>
                      <w:rFonts w:hint="eastAsia"/>
                      <w:snapToGrid w:val="0"/>
                      <w:color w:val="auto"/>
                      <w:kern w:val="0"/>
                      <w:sz w:val="18"/>
                      <w:szCs w:val="18"/>
                    </w:rPr>
                    <w:t>4</w:t>
                  </w:r>
                </w:p>
              </w:tc>
              <w:tc>
                <w:tcPr>
                  <w:tcW w:w="2385" w:type="pct"/>
                  <w:vAlign w:val="center"/>
                </w:tcPr>
                <w:p>
                  <w:pPr>
                    <w:overflowPunct w:val="0"/>
                    <w:autoSpaceDE w:val="0"/>
                    <w:autoSpaceDN w:val="0"/>
                    <w:adjustRightInd w:val="0"/>
                    <w:snapToGrid w:val="0"/>
                    <w:ind w:firstLine="360" w:firstLineChars="200"/>
                    <w:rPr>
                      <w:snapToGrid w:val="0"/>
                      <w:color w:val="auto"/>
                      <w:kern w:val="0"/>
                      <w:sz w:val="18"/>
                      <w:szCs w:val="18"/>
                    </w:rPr>
                  </w:pPr>
                  <w:r>
                    <w:rPr>
                      <w:snapToGrid w:val="0"/>
                      <w:color w:val="auto"/>
                      <w:kern w:val="0"/>
                      <w:sz w:val="18"/>
                      <w:szCs w:val="18"/>
                    </w:rPr>
                    <w:t>《禁止用地项目目录（2012年本）》</w:t>
                  </w:r>
                </w:p>
              </w:tc>
              <w:tc>
                <w:tcPr>
                  <w:tcW w:w="2317" w:type="pct"/>
                  <w:vAlign w:val="center"/>
                </w:tcPr>
                <w:p>
                  <w:pPr>
                    <w:overflowPunct w:val="0"/>
                    <w:autoSpaceDE w:val="0"/>
                    <w:autoSpaceDN w:val="0"/>
                    <w:adjustRightInd w:val="0"/>
                    <w:snapToGrid w:val="0"/>
                    <w:ind w:firstLine="360" w:firstLineChars="200"/>
                    <w:rPr>
                      <w:snapToGrid w:val="0"/>
                      <w:color w:val="auto"/>
                      <w:kern w:val="0"/>
                      <w:sz w:val="18"/>
                      <w:szCs w:val="18"/>
                    </w:rPr>
                  </w:pPr>
                  <w:r>
                    <w:rPr>
                      <w:snapToGrid w:val="0"/>
                      <w:color w:val="auto"/>
                      <w:kern w:val="0"/>
                      <w:sz w:val="18"/>
                      <w:szCs w:val="18"/>
                    </w:rPr>
                    <w:t>本项目不属于其中禁止用地项目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8" w:type="pct"/>
                  <w:vAlign w:val="center"/>
                </w:tcPr>
                <w:p>
                  <w:pPr>
                    <w:overflowPunct w:val="0"/>
                    <w:autoSpaceDE w:val="0"/>
                    <w:autoSpaceDN w:val="0"/>
                    <w:adjustRightInd w:val="0"/>
                    <w:snapToGrid w:val="0"/>
                    <w:jc w:val="center"/>
                    <w:rPr>
                      <w:snapToGrid w:val="0"/>
                      <w:color w:val="auto"/>
                      <w:kern w:val="0"/>
                      <w:sz w:val="18"/>
                      <w:szCs w:val="18"/>
                    </w:rPr>
                  </w:pPr>
                  <w:r>
                    <w:rPr>
                      <w:rFonts w:hint="eastAsia"/>
                      <w:snapToGrid w:val="0"/>
                      <w:color w:val="auto"/>
                      <w:kern w:val="0"/>
                      <w:sz w:val="18"/>
                      <w:szCs w:val="18"/>
                    </w:rPr>
                    <w:t>5</w:t>
                  </w:r>
                </w:p>
              </w:tc>
              <w:tc>
                <w:tcPr>
                  <w:tcW w:w="2385" w:type="pct"/>
                  <w:vAlign w:val="center"/>
                </w:tcPr>
                <w:p>
                  <w:pPr>
                    <w:overflowPunct w:val="0"/>
                    <w:autoSpaceDE w:val="0"/>
                    <w:autoSpaceDN w:val="0"/>
                    <w:adjustRightInd w:val="0"/>
                    <w:snapToGrid w:val="0"/>
                    <w:ind w:firstLine="360" w:firstLineChars="200"/>
                    <w:rPr>
                      <w:snapToGrid w:val="0"/>
                      <w:color w:val="auto"/>
                      <w:kern w:val="0"/>
                      <w:sz w:val="18"/>
                      <w:szCs w:val="18"/>
                    </w:rPr>
                  </w:pPr>
                  <w:r>
                    <w:rPr>
                      <w:snapToGrid w:val="0"/>
                      <w:color w:val="auto"/>
                      <w:kern w:val="0"/>
                      <w:sz w:val="18"/>
                      <w:szCs w:val="18"/>
                    </w:rPr>
                    <w:t>《限制用地项目目录（2012年本）》</w:t>
                  </w:r>
                </w:p>
              </w:tc>
              <w:tc>
                <w:tcPr>
                  <w:tcW w:w="2317" w:type="pct"/>
                  <w:vAlign w:val="center"/>
                </w:tcPr>
                <w:p>
                  <w:pPr>
                    <w:overflowPunct w:val="0"/>
                    <w:autoSpaceDE w:val="0"/>
                    <w:autoSpaceDN w:val="0"/>
                    <w:adjustRightInd w:val="0"/>
                    <w:snapToGrid w:val="0"/>
                    <w:ind w:firstLine="360" w:firstLineChars="200"/>
                    <w:rPr>
                      <w:snapToGrid w:val="0"/>
                      <w:color w:val="auto"/>
                      <w:kern w:val="0"/>
                      <w:sz w:val="18"/>
                      <w:szCs w:val="18"/>
                    </w:rPr>
                  </w:pPr>
                  <w:r>
                    <w:rPr>
                      <w:snapToGrid w:val="0"/>
                      <w:color w:val="auto"/>
                      <w:kern w:val="0"/>
                      <w:sz w:val="18"/>
                      <w:szCs w:val="18"/>
                    </w:rPr>
                    <w:t>本项目不属于其中限制用地项目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8" w:type="pct"/>
                  <w:vAlign w:val="center"/>
                </w:tcPr>
                <w:p>
                  <w:pPr>
                    <w:overflowPunct w:val="0"/>
                    <w:autoSpaceDE w:val="0"/>
                    <w:autoSpaceDN w:val="0"/>
                    <w:adjustRightInd w:val="0"/>
                    <w:snapToGrid w:val="0"/>
                    <w:jc w:val="center"/>
                    <w:rPr>
                      <w:snapToGrid w:val="0"/>
                      <w:color w:val="auto"/>
                      <w:kern w:val="0"/>
                      <w:sz w:val="18"/>
                      <w:szCs w:val="18"/>
                    </w:rPr>
                  </w:pPr>
                  <w:r>
                    <w:rPr>
                      <w:rFonts w:hint="eastAsia"/>
                      <w:snapToGrid w:val="0"/>
                      <w:color w:val="auto"/>
                      <w:kern w:val="0"/>
                      <w:sz w:val="18"/>
                      <w:szCs w:val="18"/>
                    </w:rPr>
                    <w:t>6</w:t>
                  </w:r>
                </w:p>
              </w:tc>
              <w:tc>
                <w:tcPr>
                  <w:tcW w:w="2385" w:type="pct"/>
                  <w:vAlign w:val="center"/>
                </w:tcPr>
                <w:p>
                  <w:pPr>
                    <w:overflowPunct w:val="0"/>
                    <w:autoSpaceDE w:val="0"/>
                    <w:autoSpaceDN w:val="0"/>
                    <w:adjustRightInd w:val="0"/>
                    <w:snapToGrid w:val="0"/>
                    <w:ind w:firstLine="360" w:firstLineChars="200"/>
                    <w:rPr>
                      <w:snapToGrid w:val="0"/>
                      <w:color w:val="auto"/>
                      <w:kern w:val="0"/>
                      <w:sz w:val="18"/>
                      <w:szCs w:val="18"/>
                    </w:rPr>
                  </w:pPr>
                  <w:r>
                    <w:rPr>
                      <w:snapToGrid w:val="0"/>
                      <w:color w:val="auto"/>
                      <w:kern w:val="0"/>
                      <w:sz w:val="18"/>
                      <w:szCs w:val="18"/>
                    </w:rPr>
                    <w:t>《江苏省禁止用地项目目录》（2013年本）</w:t>
                  </w:r>
                </w:p>
              </w:tc>
              <w:tc>
                <w:tcPr>
                  <w:tcW w:w="2317" w:type="pct"/>
                  <w:vAlign w:val="center"/>
                </w:tcPr>
                <w:p>
                  <w:pPr>
                    <w:overflowPunct w:val="0"/>
                    <w:autoSpaceDE w:val="0"/>
                    <w:autoSpaceDN w:val="0"/>
                    <w:adjustRightInd w:val="0"/>
                    <w:snapToGrid w:val="0"/>
                    <w:ind w:firstLine="360" w:firstLineChars="200"/>
                    <w:rPr>
                      <w:snapToGrid w:val="0"/>
                      <w:color w:val="auto"/>
                      <w:kern w:val="0"/>
                      <w:sz w:val="18"/>
                      <w:szCs w:val="18"/>
                    </w:rPr>
                  </w:pPr>
                  <w:r>
                    <w:rPr>
                      <w:snapToGrid w:val="0"/>
                      <w:color w:val="auto"/>
                      <w:kern w:val="0"/>
                      <w:sz w:val="18"/>
                      <w:szCs w:val="18"/>
                    </w:rPr>
                    <w:t>本项目不属于其中禁止用地项目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8" w:type="pct"/>
                  <w:vAlign w:val="center"/>
                </w:tcPr>
                <w:p>
                  <w:pPr>
                    <w:overflowPunct w:val="0"/>
                    <w:autoSpaceDE w:val="0"/>
                    <w:autoSpaceDN w:val="0"/>
                    <w:adjustRightInd w:val="0"/>
                    <w:snapToGrid w:val="0"/>
                    <w:jc w:val="center"/>
                    <w:rPr>
                      <w:snapToGrid w:val="0"/>
                      <w:color w:val="auto"/>
                      <w:kern w:val="0"/>
                      <w:sz w:val="18"/>
                      <w:szCs w:val="18"/>
                    </w:rPr>
                  </w:pPr>
                  <w:r>
                    <w:rPr>
                      <w:rFonts w:hint="eastAsia"/>
                      <w:snapToGrid w:val="0"/>
                      <w:color w:val="auto"/>
                      <w:kern w:val="0"/>
                      <w:sz w:val="18"/>
                      <w:szCs w:val="18"/>
                    </w:rPr>
                    <w:t>7</w:t>
                  </w:r>
                </w:p>
              </w:tc>
              <w:tc>
                <w:tcPr>
                  <w:tcW w:w="2385" w:type="pct"/>
                  <w:vAlign w:val="center"/>
                </w:tcPr>
                <w:p>
                  <w:pPr>
                    <w:overflowPunct w:val="0"/>
                    <w:autoSpaceDE w:val="0"/>
                    <w:autoSpaceDN w:val="0"/>
                    <w:adjustRightInd w:val="0"/>
                    <w:snapToGrid w:val="0"/>
                    <w:ind w:firstLine="360" w:firstLineChars="200"/>
                    <w:rPr>
                      <w:snapToGrid w:val="0"/>
                      <w:color w:val="auto"/>
                      <w:kern w:val="0"/>
                      <w:sz w:val="18"/>
                      <w:szCs w:val="18"/>
                    </w:rPr>
                  </w:pPr>
                  <w:r>
                    <w:rPr>
                      <w:snapToGrid w:val="0"/>
                      <w:color w:val="auto"/>
                      <w:kern w:val="0"/>
                      <w:sz w:val="18"/>
                      <w:szCs w:val="18"/>
                    </w:rPr>
                    <w:t>《江苏省限制用地项目目录》（2013年本）</w:t>
                  </w:r>
                </w:p>
              </w:tc>
              <w:tc>
                <w:tcPr>
                  <w:tcW w:w="2317" w:type="pct"/>
                  <w:vAlign w:val="center"/>
                </w:tcPr>
                <w:p>
                  <w:pPr>
                    <w:overflowPunct w:val="0"/>
                    <w:autoSpaceDE w:val="0"/>
                    <w:autoSpaceDN w:val="0"/>
                    <w:adjustRightInd w:val="0"/>
                    <w:snapToGrid w:val="0"/>
                    <w:ind w:firstLine="360" w:firstLineChars="200"/>
                    <w:rPr>
                      <w:snapToGrid w:val="0"/>
                      <w:color w:val="auto"/>
                      <w:kern w:val="0"/>
                      <w:sz w:val="18"/>
                      <w:szCs w:val="18"/>
                    </w:rPr>
                  </w:pPr>
                  <w:r>
                    <w:rPr>
                      <w:snapToGrid w:val="0"/>
                      <w:color w:val="auto"/>
                      <w:kern w:val="0"/>
                      <w:sz w:val="18"/>
                      <w:szCs w:val="18"/>
                    </w:rPr>
                    <w:t>本项目不属于其中限制用地项目</w:t>
                  </w:r>
                </w:p>
              </w:tc>
            </w:tr>
          </w:tbl>
          <w:p>
            <w:pPr>
              <w:autoSpaceDE w:val="0"/>
              <w:autoSpaceDN w:val="0"/>
              <w:adjustRightInd w:val="0"/>
              <w:snapToGrid w:val="0"/>
              <w:spacing w:before="120" w:beforeLines="50" w:line="360" w:lineRule="auto"/>
              <w:ind w:firstLine="420" w:firstLineChars="200"/>
              <w:rPr>
                <w:color w:val="auto"/>
                <w:szCs w:val="21"/>
              </w:rPr>
            </w:pPr>
            <w:r>
              <w:rPr>
                <w:color w:val="auto"/>
                <w:szCs w:val="21"/>
              </w:rPr>
              <w:t>综上，本项目符合国家和地方产业政策。</w:t>
            </w:r>
          </w:p>
          <w:p>
            <w:pPr>
              <w:autoSpaceDE w:val="0"/>
              <w:autoSpaceDN w:val="0"/>
              <w:adjustRightInd w:val="0"/>
              <w:snapToGrid w:val="0"/>
              <w:spacing w:line="360" w:lineRule="auto"/>
              <w:ind w:firstLine="422" w:firstLineChars="200"/>
              <w:rPr>
                <w:b/>
                <w:color w:val="auto"/>
                <w:kern w:val="0"/>
                <w:szCs w:val="21"/>
              </w:rPr>
            </w:pPr>
            <w:r>
              <w:rPr>
                <w:b/>
                <w:color w:val="auto"/>
                <w:kern w:val="0"/>
                <w:szCs w:val="21"/>
              </w:rPr>
              <w:t>2、“三线一单”相符性分析</w:t>
            </w:r>
          </w:p>
          <w:p>
            <w:pPr>
              <w:autoSpaceDE w:val="0"/>
              <w:autoSpaceDN w:val="0"/>
              <w:adjustRightInd w:val="0"/>
              <w:snapToGrid w:val="0"/>
              <w:spacing w:line="360" w:lineRule="auto"/>
              <w:ind w:firstLine="420" w:firstLineChars="200"/>
              <w:rPr>
                <w:color w:val="auto"/>
                <w:kern w:val="0"/>
                <w:szCs w:val="21"/>
              </w:rPr>
            </w:pPr>
            <w:r>
              <w:rPr>
                <w:color w:val="auto"/>
                <w:kern w:val="0"/>
                <w:szCs w:val="21"/>
              </w:rPr>
              <w:t>（1）生态保护红线</w:t>
            </w:r>
          </w:p>
          <w:p>
            <w:pPr>
              <w:autoSpaceDE w:val="0"/>
              <w:autoSpaceDN w:val="0"/>
              <w:adjustRightInd w:val="0"/>
              <w:snapToGrid w:val="0"/>
              <w:spacing w:line="360" w:lineRule="auto"/>
              <w:ind w:firstLine="420" w:firstLineChars="200"/>
              <w:rPr>
                <w:color w:val="auto"/>
                <w:kern w:val="0"/>
                <w:szCs w:val="21"/>
              </w:rPr>
            </w:pPr>
            <w:r>
              <w:rPr>
                <w:color w:val="auto"/>
                <w:kern w:val="0"/>
                <w:szCs w:val="21"/>
              </w:rPr>
              <w:t>根据《省政府关于印发江苏省国家级生态保护红线规划的通知》（苏政发[2018]74号），</w:t>
            </w:r>
            <w:r>
              <w:rPr>
                <w:bCs/>
                <w:color w:val="auto"/>
                <w:szCs w:val="21"/>
              </w:rPr>
              <w:t>距离本项目最近的</w:t>
            </w:r>
            <w:r>
              <w:rPr>
                <w:b/>
                <w:color w:val="auto"/>
                <w:szCs w:val="21"/>
              </w:rPr>
              <w:t>国家级生态红线保护区</w:t>
            </w:r>
            <w:r>
              <w:rPr>
                <w:bCs/>
                <w:color w:val="auto"/>
                <w:szCs w:val="21"/>
              </w:rPr>
              <w:t>为位于本项目</w:t>
            </w:r>
            <w:r>
              <w:rPr>
                <w:rFonts w:hint="eastAsia"/>
                <w:bCs/>
                <w:color w:val="auto"/>
                <w:szCs w:val="21"/>
              </w:rPr>
              <w:t>西</w:t>
            </w:r>
            <w:r>
              <w:rPr>
                <w:bCs/>
                <w:color w:val="auto"/>
                <w:szCs w:val="21"/>
              </w:rPr>
              <w:t>北侧约1.5km处</w:t>
            </w:r>
            <w:r>
              <w:rPr>
                <w:rFonts w:hint="eastAsia"/>
                <w:bCs/>
                <w:color w:val="auto"/>
                <w:szCs w:val="21"/>
              </w:rPr>
              <w:t>的</w:t>
            </w:r>
            <w:r>
              <w:rPr>
                <w:bCs/>
                <w:color w:val="auto"/>
                <w:szCs w:val="21"/>
              </w:rPr>
              <w:t>“太仓金仓湖省级湿地公园（包括湿地保育区和恢复重建区等）”</w:t>
            </w:r>
            <w:r>
              <w:rPr>
                <w:rFonts w:hint="eastAsia"/>
                <w:color w:val="auto"/>
                <w:szCs w:val="21"/>
              </w:rPr>
              <w:t>，</w:t>
            </w:r>
            <w:r>
              <w:rPr>
                <w:rFonts w:hint="eastAsia"/>
                <w:color w:val="auto"/>
                <w:szCs w:val="21"/>
                <w:lang w:val="en-US" w:eastAsia="zh-CN"/>
              </w:rPr>
              <w:t>因此</w:t>
            </w:r>
            <w:r>
              <w:rPr>
                <w:color w:val="auto"/>
                <w:kern w:val="0"/>
                <w:szCs w:val="21"/>
              </w:rPr>
              <w:t>在项目评价范围内不涉及国家级生态保护红线保护区域，不会导致太仓市辖区内国家级生态保护红线生态服务功能下降</w:t>
            </w:r>
            <w:r>
              <w:rPr>
                <w:rFonts w:hint="eastAsia"/>
                <w:color w:val="auto"/>
                <w:kern w:val="0"/>
                <w:szCs w:val="21"/>
              </w:rPr>
              <w:t>。</w:t>
            </w:r>
          </w:p>
          <w:p>
            <w:pPr>
              <w:autoSpaceDE w:val="0"/>
              <w:autoSpaceDN w:val="0"/>
              <w:adjustRightInd w:val="0"/>
              <w:snapToGrid w:val="0"/>
              <w:spacing w:line="360" w:lineRule="auto"/>
              <w:ind w:firstLine="420" w:firstLineChars="200"/>
              <w:rPr>
                <w:bCs/>
                <w:color w:val="auto"/>
              </w:rPr>
            </w:pPr>
            <w:r>
              <w:rPr>
                <w:color w:val="auto"/>
                <w:kern w:val="0"/>
                <w:szCs w:val="21"/>
              </w:rPr>
              <w:t>根据《江苏省人民政府关于印发江苏省生态空间管控区域规划的通知》（苏政发[2020]1号）</w:t>
            </w:r>
            <w:r>
              <w:rPr>
                <w:color w:val="auto"/>
              </w:rPr>
              <w:t>及《太仓市2021年度生态空间管控区域优化调整方案》</w:t>
            </w:r>
            <w:r>
              <w:rPr>
                <w:color w:val="auto"/>
                <w:kern w:val="0"/>
                <w:szCs w:val="21"/>
              </w:rPr>
              <w:t>，距离本项目最近的江苏省</w:t>
            </w:r>
            <w:r>
              <w:rPr>
                <w:b/>
                <w:bCs/>
                <w:color w:val="auto"/>
                <w:kern w:val="0"/>
                <w:szCs w:val="21"/>
              </w:rPr>
              <w:t>生态空间管控区</w:t>
            </w:r>
            <w:r>
              <w:rPr>
                <w:color w:val="auto"/>
                <w:kern w:val="0"/>
                <w:szCs w:val="21"/>
              </w:rPr>
              <w:t>为</w:t>
            </w:r>
            <w:r>
              <w:rPr>
                <w:rFonts w:hint="eastAsia"/>
                <w:color w:val="auto"/>
                <w:kern w:val="0"/>
                <w:szCs w:val="21"/>
              </w:rPr>
              <w:t>西</w:t>
            </w:r>
            <w:r>
              <w:rPr>
                <w:bCs/>
                <w:color w:val="auto"/>
              </w:rPr>
              <w:t>北侧约1.5km</w:t>
            </w:r>
            <w:r>
              <w:rPr>
                <w:color w:val="auto"/>
                <w:kern w:val="0"/>
                <w:szCs w:val="21"/>
              </w:rPr>
              <w:t>处的</w:t>
            </w:r>
            <w:r>
              <w:rPr>
                <w:bCs/>
                <w:color w:val="auto"/>
              </w:rPr>
              <w:t>“太仓金仓湖省级湿地公园（不包括湿地保育区和恢复重建区等）”</w:t>
            </w:r>
            <w:r>
              <w:rPr>
                <w:color w:val="auto"/>
                <w:kern w:val="0"/>
                <w:szCs w:val="21"/>
              </w:rPr>
              <w:t>。在项目评价范围内不涉及生态空间管控区，不会导致太仓市辖区内生态空间管控区生态服务功能下降；对照《太仓市2021年度生态空间管控区域优化调整方案》，</w:t>
            </w:r>
            <w:r>
              <w:rPr>
                <w:bCs/>
                <w:color w:val="auto"/>
              </w:rPr>
              <w:t>太仓金仓湖省级湿地公园不在调整范围内。</w:t>
            </w:r>
          </w:p>
          <w:p>
            <w:pPr>
              <w:autoSpaceDE w:val="0"/>
              <w:autoSpaceDN w:val="0"/>
              <w:adjustRightInd w:val="0"/>
              <w:snapToGrid w:val="0"/>
              <w:spacing w:line="360" w:lineRule="auto"/>
              <w:ind w:firstLine="420" w:firstLineChars="200"/>
              <w:rPr>
                <w:color w:val="auto"/>
                <w:kern w:val="0"/>
                <w:szCs w:val="21"/>
              </w:rPr>
            </w:pPr>
            <w:r>
              <w:rPr>
                <w:color w:val="auto"/>
                <w:kern w:val="0"/>
                <w:szCs w:val="21"/>
              </w:rPr>
              <w:t>综上，</w:t>
            </w:r>
            <w:r>
              <w:rPr>
                <w:bCs/>
                <w:color w:val="auto"/>
              </w:rPr>
              <w:t>本</w:t>
            </w:r>
            <w:r>
              <w:rPr>
                <w:color w:val="auto"/>
                <w:kern w:val="0"/>
                <w:szCs w:val="21"/>
              </w:rPr>
              <w:t>项目与《省政府关于印发江苏省国家级生态保护红线规划的通知》（苏政发[2018]74号）、《江苏省人民政府关于印发江苏省生态空间管控区域规划的通知》（苏政发[2020]1号）及《太仓市2021年度生态空间管控区域优化调整方案》是相符的。</w:t>
            </w:r>
          </w:p>
          <w:p>
            <w:pPr>
              <w:autoSpaceDE w:val="0"/>
              <w:autoSpaceDN w:val="0"/>
              <w:adjustRightInd w:val="0"/>
              <w:snapToGrid w:val="0"/>
              <w:spacing w:line="360" w:lineRule="auto"/>
              <w:ind w:firstLine="420" w:firstLineChars="200"/>
              <w:rPr>
                <w:color w:val="auto"/>
                <w:kern w:val="0"/>
                <w:szCs w:val="21"/>
              </w:rPr>
            </w:pPr>
            <w:r>
              <w:rPr>
                <w:color w:val="auto"/>
                <w:kern w:val="0"/>
                <w:szCs w:val="21"/>
              </w:rPr>
              <w:t>（2）环境质量底线</w:t>
            </w:r>
          </w:p>
          <w:p>
            <w:pPr>
              <w:widowControl/>
              <w:adjustRightInd w:val="0"/>
              <w:snapToGrid w:val="0"/>
              <w:spacing w:line="360" w:lineRule="auto"/>
              <w:ind w:firstLine="420" w:firstLineChars="200"/>
              <w:rPr>
                <w:rStyle w:val="45"/>
                <w:color w:val="auto"/>
                <w:kern w:val="0"/>
                <w:szCs w:val="20"/>
              </w:rPr>
            </w:pPr>
            <w:r>
              <w:rPr>
                <w:color w:val="auto"/>
                <w:kern w:val="0"/>
                <w:szCs w:val="21"/>
              </w:rPr>
              <w:t>环境质量底线是国家和地方设置的大气、水和土壤环境质量目标，也是改善环境质量的基准线。</w:t>
            </w:r>
            <w:r>
              <w:rPr>
                <w:snapToGrid w:val="0"/>
                <w:color w:val="auto"/>
                <w:szCs w:val="21"/>
              </w:rPr>
              <w:t>根据苏州市太仓生态环境局公开发布的《202</w:t>
            </w:r>
            <w:r>
              <w:rPr>
                <w:rFonts w:hint="eastAsia"/>
                <w:snapToGrid w:val="0"/>
                <w:color w:val="auto"/>
                <w:szCs w:val="21"/>
              </w:rPr>
              <w:t>2</w:t>
            </w:r>
            <w:r>
              <w:rPr>
                <w:snapToGrid w:val="0"/>
                <w:color w:val="auto"/>
                <w:szCs w:val="21"/>
              </w:rPr>
              <w:t>年太仓市环境状况公报》中的结论，202</w:t>
            </w:r>
            <w:r>
              <w:rPr>
                <w:rFonts w:hint="eastAsia"/>
                <w:snapToGrid w:val="0"/>
                <w:color w:val="auto"/>
                <w:szCs w:val="21"/>
              </w:rPr>
              <w:t>2</w:t>
            </w:r>
            <w:r>
              <w:rPr>
                <w:snapToGrid w:val="0"/>
                <w:color w:val="auto"/>
                <w:szCs w:val="21"/>
              </w:rPr>
              <w:t>年太仓市环境空气</w:t>
            </w:r>
            <w:r>
              <w:rPr>
                <w:rFonts w:hint="eastAsia"/>
                <w:snapToGrid w:val="0"/>
                <w:color w:val="auto"/>
                <w:szCs w:val="21"/>
              </w:rPr>
              <w:t>中</w:t>
            </w:r>
            <w:r>
              <w:rPr>
                <w:color w:val="auto"/>
              </w:rPr>
              <w:t>SO</w:t>
            </w:r>
            <w:r>
              <w:rPr>
                <w:color w:val="auto"/>
                <w:vertAlign w:val="subscript"/>
              </w:rPr>
              <w:t>2</w:t>
            </w:r>
            <w:r>
              <w:rPr>
                <w:color w:val="auto"/>
              </w:rPr>
              <w:t>、NO</w:t>
            </w:r>
            <w:r>
              <w:rPr>
                <w:color w:val="auto"/>
                <w:vertAlign w:val="subscript"/>
              </w:rPr>
              <w:t>2</w:t>
            </w:r>
            <w:r>
              <w:rPr>
                <w:color w:val="auto"/>
              </w:rPr>
              <w:t>、PM</w:t>
            </w:r>
            <w:r>
              <w:rPr>
                <w:color w:val="auto"/>
                <w:vertAlign w:val="subscript"/>
              </w:rPr>
              <w:t>10</w:t>
            </w:r>
            <w:r>
              <w:rPr>
                <w:color w:val="auto"/>
              </w:rPr>
              <w:t>、PM</w:t>
            </w:r>
            <w:r>
              <w:rPr>
                <w:color w:val="auto"/>
                <w:vertAlign w:val="subscript"/>
              </w:rPr>
              <w:t>2.5</w:t>
            </w:r>
            <w:r>
              <w:rPr>
                <w:color w:val="auto"/>
              </w:rPr>
              <w:t>年均浓度以及24小时平均第95百分位数浓度、CO 日平均第95百分位数浓度均达到《环境空气质量标准》(GB3095-2012）二级标准，O</w:t>
            </w:r>
            <w:r>
              <w:rPr>
                <w:color w:val="auto"/>
                <w:vertAlign w:val="subscript"/>
              </w:rPr>
              <w:t>3</w:t>
            </w:r>
            <w:r>
              <w:rPr>
                <w:color w:val="auto"/>
              </w:rPr>
              <w:t>日最大8小时平均百分位数浓度超标。项目所在区域 O</w:t>
            </w:r>
            <w:r>
              <w:rPr>
                <w:color w:val="auto"/>
                <w:vertAlign w:val="subscript"/>
              </w:rPr>
              <w:t>3</w:t>
            </w:r>
            <w:r>
              <w:rPr>
                <w:color w:val="auto"/>
              </w:rPr>
              <w:t>超标，因此判定为环境空气质量不达标区</w:t>
            </w:r>
            <w:r>
              <w:rPr>
                <w:rStyle w:val="45"/>
                <w:rFonts w:hint="eastAsia"/>
                <w:color w:val="auto"/>
                <w:kern w:val="0"/>
                <w:szCs w:val="20"/>
              </w:rPr>
              <w:t>。</w:t>
            </w:r>
          </w:p>
          <w:p>
            <w:pPr>
              <w:widowControl/>
              <w:adjustRightInd w:val="0"/>
              <w:snapToGrid w:val="0"/>
              <w:spacing w:line="360" w:lineRule="auto"/>
              <w:ind w:firstLine="420" w:firstLineChars="200"/>
              <w:rPr>
                <w:color w:val="auto"/>
                <w:szCs w:val="21"/>
              </w:rPr>
            </w:pPr>
            <w:r>
              <w:rPr>
                <w:color w:val="auto"/>
              </w:rPr>
              <w:t>根据引用</w:t>
            </w:r>
            <w:r>
              <w:rPr>
                <w:snapToGrid w:val="0"/>
                <w:color w:val="auto"/>
                <w:kern w:val="0"/>
                <w:szCs w:val="21"/>
              </w:rPr>
              <w:t>《欧皮特传动系统（太仓）有限公司扩建橡胶传动皮带包布带项目》环境检测报告[检测报告编号：（2020）国泰监测太（验）字第（08276）；检测单位：江苏国泰环境监测有限公司中G1项目所在地的大气环境现状监测数据，</w:t>
            </w:r>
            <w:r>
              <w:rPr>
                <w:color w:val="auto"/>
                <w:szCs w:val="21"/>
              </w:rPr>
              <w:t>项目所在区域环境空气中非甲烷总烃浓度满足《大气污染物综合排放标准详解》中</w:t>
            </w:r>
            <w:r>
              <w:rPr>
                <w:snapToGrid w:val="0"/>
                <w:color w:val="auto"/>
                <w:kern w:val="0"/>
                <w:szCs w:val="21"/>
              </w:rPr>
              <w:t>推荐的2mg/m</w:t>
            </w:r>
            <w:r>
              <w:rPr>
                <w:snapToGrid w:val="0"/>
                <w:color w:val="auto"/>
                <w:kern w:val="0"/>
                <w:szCs w:val="21"/>
                <w:vertAlign w:val="superscript"/>
              </w:rPr>
              <w:t>3</w:t>
            </w:r>
            <w:r>
              <w:rPr>
                <w:snapToGrid w:val="0"/>
                <w:color w:val="auto"/>
                <w:kern w:val="0"/>
                <w:szCs w:val="21"/>
              </w:rPr>
              <w:t>标准</w:t>
            </w:r>
            <w:r>
              <w:rPr>
                <w:rFonts w:hint="eastAsia"/>
                <w:snapToGrid w:val="0"/>
                <w:color w:val="auto"/>
                <w:kern w:val="0"/>
                <w:szCs w:val="21"/>
              </w:rPr>
              <w:t>，硫化氢小时浓度满足《环境影响评价技术导则 大气环境》（HJ2.2-2018）附录 D 质量浓度参考限值</w:t>
            </w:r>
            <w:r>
              <w:rPr>
                <w:color w:val="auto"/>
                <w:szCs w:val="21"/>
              </w:rPr>
              <w:t>。</w:t>
            </w:r>
          </w:p>
          <w:p>
            <w:pPr>
              <w:spacing w:line="360" w:lineRule="auto"/>
              <w:ind w:firstLine="420" w:firstLineChars="200"/>
              <w:rPr>
                <w:color w:val="auto"/>
              </w:rPr>
            </w:pPr>
            <w:r>
              <w:rPr>
                <w:color w:val="auto"/>
              </w:rPr>
              <w:t>根据《苏州市空气质量改善达标规划（2019~2024 年）》，到 2024 年全面优化产业布局，大幅提升清洁能源使用比例，构建清洁低碳高效能源体系，深挖电力、钢铁行业减排潜力，进一步推进热电整合，完成重点行业低 VOCs 含量原辅料替代目标。升级工艺技术，优化工艺流程，提高各行业清洁化生产水平。优化调整用地结构，全面推进面源污染治理；优化运输结构，完成高排放车辆与船舶淘汰，大幅提升新能源汽车比例，强化车船排放监管。建立健全监测监控体系。不断完善城市空气质量联合会商、联动执法和跨行政区域联防联控机制，推进 PM</w:t>
            </w:r>
            <w:r>
              <w:rPr>
                <w:color w:val="auto"/>
                <w:vertAlign w:val="subscript"/>
              </w:rPr>
              <w:t xml:space="preserve">2.5 </w:t>
            </w:r>
            <w:r>
              <w:rPr>
                <w:color w:val="auto"/>
              </w:rPr>
              <w:t>和臭氧协同控制，实现除臭氧以外的主要大气污染物全面达标，臭氧浓度不再上升的总体目标，大气环境质量状况可以得到进一步改善。</w:t>
            </w:r>
          </w:p>
          <w:p>
            <w:pPr>
              <w:widowControl/>
              <w:adjustRightInd w:val="0"/>
              <w:snapToGrid w:val="0"/>
              <w:spacing w:line="360" w:lineRule="auto"/>
              <w:ind w:firstLine="420" w:firstLineChars="200"/>
              <w:rPr>
                <w:snapToGrid w:val="0"/>
                <w:color w:val="auto"/>
                <w:kern w:val="0"/>
                <w:szCs w:val="21"/>
              </w:rPr>
            </w:pPr>
            <w:r>
              <w:rPr>
                <w:rFonts w:hint="eastAsia"/>
                <w:snapToGrid w:val="0"/>
                <w:color w:val="auto"/>
                <w:kern w:val="0"/>
                <w:szCs w:val="21"/>
              </w:rPr>
              <w:t>根据《2022 年太仓市环境质量状况公报》，2022 年太仓三水厂饮用水水源地水质达到了相应标准，达标率 100%。2022 年我市共有国省考断面 12 个，浏河（右岸）、荡茜河桥、新泾闸、鹿鸣泾桥、滨江大道桥、新塘河闸、浪港闸、钱泾闸 8 个断面平均水质达到Ⅱ类水标准；浏河闸、仪桥、振东渡口、新丰桥镇 4 个断面平均水质达到Ⅲ类水标准。2022 年我市国省考断面水质优Ⅲ比例为 100%，水质达标率 100%。</w:t>
            </w:r>
          </w:p>
          <w:p>
            <w:pPr>
              <w:widowControl/>
              <w:adjustRightInd w:val="0"/>
              <w:snapToGrid w:val="0"/>
              <w:spacing w:line="360" w:lineRule="auto"/>
              <w:ind w:firstLine="420" w:firstLineChars="200"/>
              <w:rPr>
                <w:color w:val="auto"/>
                <w:kern w:val="0"/>
                <w:szCs w:val="21"/>
              </w:rPr>
            </w:pPr>
            <w:r>
              <w:rPr>
                <w:snapToGrid w:val="0"/>
                <w:color w:val="auto"/>
                <w:kern w:val="0"/>
                <w:szCs w:val="21"/>
              </w:rPr>
              <w:t>根据《太仓德瑞健康产业有限公司新建太仓市娄江新城医院（上海交通大学医院附属瑞金医院太仓分院）项目》中</w:t>
            </w:r>
            <w:r>
              <w:rPr>
                <w:color w:val="auto"/>
                <w:szCs w:val="21"/>
              </w:rPr>
              <w:t>苏州环优检测有限公司</w:t>
            </w:r>
            <w:r>
              <w:rPr>
                <w:snapToGrid w:val="0"/>
                <w:color w:val="auto"/>
                <w:kern w:val="0"/>
                <w:szCs w:val="21"/>
              </w:rPr>
              <w:t>出具的检测报告</w:t>
            </w:r>
            <w:r>
              <w:rPr>
                <w:color w:val="auto"/>
                <w:szCs w:val="21"/>
              </w:rPr>
              <w:t>，</w:t>
            </w:r>
            <w:r>
              <w:rPr>
                <w:color w:val="auto"/>
                <w:kern w:val="0"/>
                <w:szCs w:val="21"/>
              </w:rPr>
              <w:t>地表水新浏河监测断面pH、COD、氨氮、总磷、总氮等各项监测指标均可满足《地表水环境质量标准》（GB3838-2002）中的</w:t>
            </w:r>
            <w:r>
              <w:rPr>
                <w:bCs/>
                <w:color w:val="auto"/>
                <w:szCs w:val="21"/>
              </w:rPr>
              <w:t>Ⅳ</w:t>
            </w:r>
            <w:r>
              <w:rPr>
                <w:color w:val="auto"/>
                <w:kern w:val="0"/>
                <w:szCs w:val="21"/>
              </w:rPr>
              <w:t>类水质标准要求，水环境质量现状良好。</w:t>
            </w:r>
          </w:p>
          <w:p>
            <w:pPr>
              <w:autoSpaceDE w:val="0"/>
              <w:autoSpaceDN w:val="0"/>
              <w:adjustRightInd w:val="0"/>
              <w:snapToGrid w:val="0"/>
              <w:spacing w:line="360" w:lineRule="auto"/>
              <w:ind w:firstLine="420" w:firstLineChars="200"/>
              <w:rPr>
                <w:color w:val="auto"/>
              </w:rPr>
            </w:pPr>
            <w:r>
              <w:rPr>
                <w:rFonts w:hint="eastAsia"/>
                <w:color w:val="auto"/>
              </w:rPr>
              <w:t>根据《2022 年太仓市环境质量状况公报》，2022 太仓市共有区域环境噪声点位 112个，昼间平均等效声级为 54.0 分贝，等级划分为二级“较好”。道路交通噪声点位共 41个，昼间平均等效声级为 63.4 分贝，评价等级为一级“好”。功能区噪声点位共 8 个，1-4 类功能区昼、夜间等效声级均达到相应标准</w:t>
            </w:r>
            <w:r>
              <w:rPr>
                <w:color w:val="auto"/>
              </w:rPr>
              <w:t>。</w:t>
            </w:r>
          </w:p>
          <w:p>
            <w:pPr>
              <w:autoSpaceDE w:val="0"/>
              <w:autoSpaceDN w:val="0"/>
              <w:adjustRightInd w:val="0"/>
              <w:snapToGrid w:val="0"/>
              <w:spacing w:line="360" w:lineRule="auto"/>
              <w:ind w:firstLine="420" w:firstLineChars="200"/>
              <w:rPr>
                <w:color w:val="auto"/>
                <w:kern w:val="0"/>
                <w:szCs w:val="21"/>
              </w:rPr>
            </w:pPr>
            <w:r>
              <w:rPr>
                <w:color w:val="auto"/>
                <w:kern w:val="0"/>
                <w:szCs w:val="21"/>
              </w:rPr>
              <w:t>综上，</w:t>
            </w:r>
            <w:r>
              <w:rPr>
                <w:bCs/>
                <w:color w:val="auto"/>
              </w:rPr>
              <w:t>本</w:t>
            </w:r>
            <w:r>
              <w:rPr>
                <w:color w:val="auto"/>
                <w:kern w:val="0"/>
                <w:szCs w:val="21"/>
              </w:rPr>
              <w:t>项目的建设对区域环境质量影响较小，符合环境质量底线的相关规定要求。</w:t>
            </w:r>
          </w:p>
          <w:p>
            <w:pPr>
              <w:autoSpaceDE w:val="0"/>
              <w:autoSpaceDN w:val="0"/>
              <w:adjustRightInd w:val="0"/>
              <w:snapToGrid w:val="0"/>
              <w:spacing w:line="360" w:lineRule="auto"/>
              <w:ind w:firstLine="420" w:firstLineChars="200"/>
              <w:rPr>
                <w:color w:val="auto"/>
                <w:kern w:val="0"/>
                <w:szCs w:val="21"/>
              </w:rPr>
            </w:pPr>
            <w:r>
              <w:rPr>
                <w:color w:val="auto"/>
                <w:kern w:val="0"/>
                <w:szCs w:val="21"/>
              </w:rPr>
              <w:t>（3）资源利用上线</w:t>
            </w:r>
          </w:p>
          <w:p>
            <w:pPr>
              <w:autoSpaceDE w:val="0"/>
              <w:autoSpaceDN w:val="0"/>
              <w:adjustRightInd w:val="0"/>
              <w:snapToGrid w:val="0"/>
              <w:spacing w:line="360" w:lineRule="auto"/>
              <w:ind w:firstLine="420" w:firstLineChars="200"/>
              <w:rPr>
                <w:color w:val="auto"/>
                <w:kern w:val="0"/>
                <w:szCs w:val="21"/>
              </w:rPr>
            </w:pPr>
            <w:r>
              <w:rPr>
                <w:color w:val="auto"/>
                <w:kern w:val="0"/>
                <w:szCs w:val="21"/>
              </w:rPr>
              <w:t>本项目使用自来水</w:t>
            </w:r>
            <w:r>
              <w:rPr>
                <w:rFonts w:hint="eastAsia"/>
                <w:color w:val="auto"/>
                <w:kern w:val="0"/>
                <w:szCs w:val="21"/>
              </w:rPr>
              <w:t>2550</w:t>
            </w:r>
            <w:r>
              <w:rPr>
                <w:color w:val="auto"/>
                <w:kern w:val="0"/>
                <w:szCs w:val="21"/>
              </w:rPr>
              <w:t>t/a，用电量50万度/a。当地自来水厂可满足项目新鲜水使用要求，区域电网可满足项目用电要求，本项目对当地资源利用基本无影响。</w:t>
            </w:r>
          </w:p>
          <w:p>
            <w:pPr>
              <w:autoSpaceDE w:val="0"/>
              <w:autoSpaceDN w:val="0"/>
              <w:adjustRightInd w:val="0"/>
              <w:snapToGrid w:val="0"/>
              <w:spacing w:line="360" w:lineRule="auto"/>
              <w:ind w:firstLine="420" w:firstLineChars="200"/>
              <w:rPr>
                <w:color w:val="auto"/>
                <w:kern w:val="0"/>
                <w:szCs w:val="21"/>
              </w:rPr>
            </w:pPr>
            <w:r>
              <w:rPr>
                <w:color w:val="auto"/>
                <w:kern w:val="0"/>
                <w:szCs w:val="21"/>
              </w:rPr>
              <w:t>（4）环境准入负面清单</w:t>
            </w:r>
          </w:p>
          <w:p>
            <w:pPr>
              <w:adjustRightInd w:val="0"/>
              <w:snapToGrid w:val="0"/>
              <w:spacing w:line="360" w:lineRule="auto"/>
              <w:ind w:firstLine="420" w:firstLineChars="200"/>
              <w:rPr>
                <w:color w:val="auto"/>
                <w:kern w:val="0"/>
                <w:szCs w:val="21"/>
              </w:rPr>
            </w:pPr>
            <w:r>
              <w:rPr>
                <w:color w:val="auto"/>
                <w:szCs w:val="21"/>
              </w:rPr>
              <w:t>本项目从事</w:t>
            </w:r>
            <w:r>
              <w:rPr>
                <w:rFonts w:hint="eastAsia"/>
                <w:color w:val="auto"/>
              </w:rPr>
              <w:t>橡胶、塑料零部件制造</w:t>
            </w:r>
            <w:r>
              <w:rPr>
                <w:color w:val="auto"/>
                <w:kern w:val="0"/>
                <w:szCs w:val="21"/>
              </w:rPr>
              <w:t>，对照</w:t>
            </w:r>
            <w:r>
              <w:rPr>
                <w:color w:val="auto"/>
                <w:szCs w:val="21"/>
              </w:rPr>
              <w:t>《市场准入负面清单（2022年版）》，</w:t>
            </w:r>
            <w:r>
              <w:rPr>
                <w:bCs/>
                <w:color w:val="auto"/>
              </w:rPr>
              <w:t>本</w:t>
            </w:r>
            <w:r>
              <w:rPr>
                <w:color w:val="auto"/>
                <w:kern w:val="0"/>
                <w:szCs w:val="21"/>
              </w:rPr>
              <w:t>项目不属于负面清单中项目；对照</w:t>
            </w:r>
            <w:r>
              <w:rPr>
                <w:rFonts w:hint="eastAsia"/>
                <w:snapToGrid w:val="0"/>
                <w:color w:val="auto"/>
                <w:kern w:val="0"/>
              </w:rPr>
              <w:t>《江苏省太仓高新技术产业开发区开发建设规划环境影响报告书》</w:t>
            </w:r>
            <w:r>
              <w:rPr>
                <w:color w:val="auto"/>
                <w:kern w:val="0"/>
                <w:szCs w:val="21"/>
              </w:rPr>
              <w:t>中“生态环境准入清单”，</w:t>
            </w:r>
            <w:r>
              <w:rPr>
                <w:bCs/>
                <w:color w:val="auto"/>
              </w:rPr>
              <w:t>本</w:t>
            </w:r>
            <w:r>
              <w:rPr>
                <w:color w:val="auto"/>
                <w:kern w:val="0"/>
                <w:szCs w:val="21"/>
              </w:rPr>
              <w:t>项目不在禁入项目清单之列。</w:t>
            </w:r>
          </w:p>
          <w:p>
            <w:pPr>
              <w:pStyle w:val="355"/>
              <w:spacing w:line="240" w:lineRule="auto"/>
              <w:ind w:firstLine="0" w:firstLineChars="0"/>
              <w:jc w:val="center"/>
              <w:rPr>
                <w:b/>
                <w:bCs/>
                <w:color w:val="auto"/>
              </w:rPr>
            </w:pPr>
            <w:r>
              <w:rPr>
                <w:rFonts w:hint="eastAsia"/>
                <w:b/>
                <w:bCs/>
                <w:color w:val="auto"/>
              </w:rPr>
              <w:t>表1-4</w:t>
            </w:r>
            <w:r>
              <w:rPr>
                <w:b/>
                <w:bCs/>
                <w:color w:val="auto"/>
              </w:rPr>
              <w:t xml:space="preserve"> </w:t>
            </w:r>
            <w:r>
              <w:rPr>
                <w:rFonts w:hint="eastAsia"/>
                <w:b/>
                <w:bCs/>
                <w:color w:val="auto"/>
              </w:rPr>
              <w:t>《</w:t>
            </w:r>
            <w:r>
              <w:rPr>
                <w:rFonts w:hint="eastAsia"/>
                <w:b/>
                <w:bCs/>
                <w:color w:val="auto"/>
                <w:szCs w:val="18"/>
              </w:rPr>
              <w:t>&lt;长江经济带发展负面清单指南&gt;江苏省实施细则管控条款（试行）</w:t>
            </w:r>
            <w:r>
              <w:rPr>
                <w:rFonts w:hint="eastAsia"/>
                <w:b/>
                <w:bCs/>
                <w:color w:val="auto"/>
              </w:rPr>
              <w:t>》</w:t>
            </w:r>
          </w:p>
          <w:p>
            <w:pPr>
              <w:pStyle w:val="355"/>
              <w:spacing w:line="240" w:lineRule="auto"/>
              <w:ind w:firstLine="0" w:firstLineChars="0"/>
              <w:jc w:val="center"/>
              <w:rPr>
                <w:b/>
                <w:bCs/>
                <w:color w:val="auto"/>
              </w:rPr>
            </w:pPr>
            <w:r>
              <w:rPr>
                <w:rFonts w:hint="eastAsia"/>
                <w:b/>
                <w:bCs/>
                <w:color w:val="auto"/>
              </w:rPr>
              <w:t>相符性分析</w:t>
            </w:r>
          </w:p>
          <w:tbl>
            <w:tblPr>
              <w:tblStyle w:val="3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18"/>
              <w:gridCol w:w="4320"/>
              <w:gridCol w:w="285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Align w:val="center"/>
                </w:tcPr>
                <w:p>
                  <w:pPr>
                    <w:pStyle w:val="355"/>
                    <w:spacing w:line="240" w:lineRule="auto"/>
                    <w:ind w:firstLine="0" w:firstLineChars="0"/>
                    <w:jc w:val="center"/>
                    <w:rPr>
                      <w:b/>
                      <w:bCs/>
                      <w:color w:val="auto"/>
                      <w:sz w:val="18"/>
                      <w:szCs w:val="18"/>
                    </w:rPr>
                  </w:pPr>
                  <w:r>
                    <w:rPr>
                      <w:rFonts w:hint="eastAsia"/>
                      <w:b/>
                      <w:bCs/>
                      <w:color w:val="auto"/>
                      <w:sz w:val="18"/>
                      <w:szCs w:val="18"/>
                    </w:rPr>
                    <w:t>类别</w:t>
                  </w:r>
                </w:p>
              </w:tc>
              <w:tc>
                <w:tcPr>
                  <w:tcW w:w="4610" w:type="dxa"/>
                  <w:vAlign w:val="center"/>
                </w:tcPr>
                <w:p>
                  <w:pPr>
                    <w:pStyle w:val="355"/>
                    <w:spacing w:line="240" w:lineRule="auto"/>
                    <w:ind w:firstLine="0" w:firstLineChars="0"/>
                    <w:jc w:val="center"/>
                    <w:rPr>
                      <w:b/>
                      <w:bCs/>
                      <w:color w:val="auto"/>
                      <w:sz w:val="18"/>
                      <w:szCs w:val="18"/>
                    </w:rPr>
                  </w:pPr>
                  <w:r>
                    <w:rPr>
                      <w:rFonts w:hint="eastAsia"/>
                      <w:b/>
                      <w:bCs/>
                      <w:color w:val="auto"/>
                      <w:sz w:val="18"/>
                      <w:szCs w:val="18"/>
                    </w:rPr>
                    <w:t>管控条款</w:t>
                  </w:r>
                </w:p>
              </w:tc>
              <w:tc>
                <w:tcPr>
                  <w:tcW w:w="3042" w:type="dxa"/>
                  <w:vAlign w:val="center"/>
                </w:tcPr>
                <w:p>
                  <w:pPr>
                    <w:pStyle w:val="355"/>
                    <w:spacing w:line="240" w:lineRule="auto"/>
                    <w:ind w:firstLine="0" w:firstLineChars="0"/>
                    <w:jc w:val="center"/>
                    <w:rPr>
                      <w:b/>
                      <w:bCs/>
                      <w:color w:val="auto"/>
                      <w:sz w:val="18"/>
                      <w:szCs w:val="18"/>
                    </w:rPr>
                  </w:pPr>
                  <w:r>
                    <w:rPr>
                      <w:rFonts w:hint="eastAsia"/>
                      <w:b/>
                      <w:bCs/>
                      <w:color w:val="auto"/>
                      <w:sz w:val="18"/>
                      <w:szCs w:val="18"/>
                    </w:rPr>
                    <w:t>相符性分析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restart"/>
                  <w:vAlign w:val="center"/>
                </w:tcPr>
                <w:p>
                  <w:pPr>
                    <w:pStyle w:val="355"/>
                    <w:spacing w:line="240" w:lineRule="auto"/>
                    <w:ind w:firstLine="0" w:firstLineChars="0"/>
                    <w:jc w:val="center"/>
                    <w:rPr>
                      <w:color w:val="auto"/>
                      <w:sz w:val="18"/>
                      <w:szCs w:val="18"/>
                    </w:rPr>
                  </w:pPr>
                  <w:r>
                    <w:rPr>
                      <w:rFonts w:hint="eastAsia"/>
                      <w:color w:val="auto"/>
                      <w:sz w:val="18"/>
                      <w:szCs w:val="18"/>
                    </w:rPr>
                    <w:t>河段利用与岸线开发</w:t>
                  </w:r>
                </w:p>
              </w:tc>
              <w:tc>
                <w:tcPr>
                  <w:tcW w:w="4610" w:type="dxa"/>
                  <w:vAlign w:val="center"/>
                </w:tcPr>
                <w:p>
                  <w:pPr>
                    <w:pStyle w:val="355"/>
                    <w:spacing w:line="240" w:lineRule="auto"/>
                    <w:ind w:firstLine="360"/>
                    <w:rPr>
                      <w:color w:val="auto"/>
                      <w:sz w:val="18"/>
                      <w:szCs w:val="18"/>
                    </w:rPr>
                  </w:pPr>
                  <w:r>
                    <w:rPr>
                      <w:rFonts w:hint="eastAsia"/>
                      <w:color w:val="auto"/>
                      <w:sz w:val="18"/>
                      <w:szCs w:val="18"/>
                    </w:rPr>
                    <w:t>禁止建设不符合国家港口布局规划和《江苏省沿江沿海港口布局规划( 2015-2030年）》《江苏省内河港口布局规划( 2017-2035年）》以及我省有关港口总体规划的码头项目，禁止建设未纳入《长江干线过江通道布局规划》的过长江通道项目。</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项目不属于码头项目，不属于过长江通道项目，符合要求。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严格执行《中华人民共和国自然保护区条例》，禁止在自然保护区核心区﹑缓冲区的岸线和河段范围内投资建设旅游和生产经营项目。严格执行《风景名胜区条例》《江苏省风景名胜区管理条例》,禁止在国家级和省级风景名胜区核心景区的岸线和河段范围内投资建设与风景名胜资源保护无关的项目。自然保护区、风景名胜区由省林业局会同有关方面界定并落实管控责任。</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项目所在地为工业用地，不属于风景名胜区核心景区、自然保护区核心区、缓冲区的岸线和河段范围内，符合要求。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严格执行《中华人民共和国水污染防治法》《江苏省人民代表大会常务委员会关于加强饮用水源地保护的决定》《江苏省水污染防治条例》，禁止在饮用水水源一级保护区的岸线和河段范围内新建、改建、扩建与供水设施和保护水源无关的项目，以及网箱养殖、畜禽养殖、旅游等可能污染饮用水水体的投资建设项目;禁止在饮用水水源二级保护区的岸线和河段范围内新建、改建、扩建排放污染物的投资建设项目;禁止在饮用水水源准保护区的岸线和河段范围内新建﹑扩建对水体污染严重的投资建设项目，改建项目应当消减排污量。饮用水水源一级保护区、二级保护区、准保护区由省生态环境厅会同水利等有关方面界定并落实管控责任。</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项目不在饮用水水源一级保护区的岸线和河段范围内，不在饮用水水源二级保护区的岸线和河段范围内，符合要求。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严格执行《水产种质资源保护区管理暂行办法》，禁止在国家级和省级水产种质资源保护区的岸线和河段范围内新建围湖造田、围海造地或围填海等投资建设项目。严格执行《中华人民共和国湿地保护法》《江苏省湿地保护条例》，禁止在国家湿地公园的岸线和河段范围内挖沙、采矿，以及任何不符合主体功能定位的投资建设项目。水产种质资源保护区、国家湿地公园分别由省农业农村厅、省林业局会同有关方面界定并落实管控责任。</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项目不在水产种质资源保护区的岸线和河段范围内，不在国家湿地公园的岸线和河段范围内，符合要求。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禁止违法利用、占用长江流域河湖岸线。禁止在《长江岸线保护和开发利用总体规划》划定的岸线保护区和保留区内投资建设除事关公共安全及公众利益的防洪护岸、河道治理、供水、生态环境保护、航道整治、国家重要基础设施以外的项目。长江千支流基础设施项目应按照《长江岸线保护和开发利用总体规划》和生态环境保护、岸线保护等要求，按规定开展项目前期论证并办理相关手续。禁止在《全国重要江河湖泊水功能区划》划定的河段及湖泊保护区、保留区内投资建设不利于水资源及自然生态保护的项目；</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项目不在《长江岸线保护和开发利用总体规划》划定的岸线保护区内，不在《全国重要江河湖泊水功能区划》划定的河段保护区、保留区内，符合要求。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restart"/>
                  <w:vAlign w:val="center"/>
                </w:tcPr>
                <w:p>
                  <w:pPr>
                    <w:pStyle w:val="355"/>
                    <w:spacing w:line="240" w:lineRule="auto"/>
                    <w:ind w:firstLine="0" w:firstLineChars="0"/>
                    <w:jc w:val="center"/>
                    <w:rPr>
                      <w:color w:val="auto"/>
                      <w:sz w:val="18"/>
                      <w:szCs w:val="18"/>
                    </w:rPr>
                  </w:pPr>
                  <w:r>
                    <w:rPr>
                      <w:rFonts w:hint="eastAsia"/>
                      <w:color w:val="auto"/>
                      <w:sz w:val="18"/>
                      <w:szCs w:val="18"/>
                    </w:rPr>
                    <w:t>区域活动</w:t>
                  </w:r>
                </w:p>
              </w:tc>
              <w:tc>
                <w:tcPr>
                  <w:tcW w:w="4610" w:type="dxa"/>
                  <w:vAlign w:val="center"/>
                </w:tcPr>
                <w:p>
                  <w:pPr>
                    <w:pStyle w:val="355"/>
                    <w:spacing w:line="240" w:lineRule="auto"/>
                    <w:ind w:firstLine="360"/>
                    <w:rPr>
                      <w:color w:val="auto"/>
                      <w:sz w:val="18"/>
                      <w:szCs w:val="18"/>
                    </w:rPr>
                  </w:pPr>
                  <w:r>
                    <w:rPr>
                      <w:rFonts w:hint="eastAsia"/>
                      <w:color w:val="auto"/>
                      <w:sz w:val="18"/>
                      <w:szCs w:val="18"/>
                    </w:rPr>
                    <w:t>禁止长江干流、长江口、34个列入《率先全面禁捕的长江流域水生生物保护区名录》的水生生物保护区以及省规定的其它禁渔水域开展生产性捕捞。</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项目不涉及生产性捕捞</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禁止在距离长江干支流岸线一公里范围内新建、扩建化工园区和化工项目。长江干支流一公里按照长江干支流岸线边界(即水利部门河道管理范围边界）向陆域纵深一公里执行。</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项目不在长江干支流1公里范围内，符合要求。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禁止在长江干流岸线三公里范围内新建、改建、扩建尾矿库、冶炼渣库和磷石膏库,以提升安全、生态环境保护水平为目的的改建除外。</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项目不属于尾矿库等项目，符合要求。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.禁止在太湖流域一、二、三级保护区内开展《江苏省太湖水污染防治条例》禁止的投资建设活动。</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项目不属于《江苏省太湖水污染防治条例》禁止的投资建设活动。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color w:val="auto"/>
                      <w:sz w:val="18"/>
                      <w:szCs w:val="18"/>
                    </w:rPr>
                    <w:t>禁止在沿江地区新建、扩建未纳入国家和省布局规划的燃煤发电项目。</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项目不属于燃煤发电项目，符合要求。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color w:val="auto"/>
                      <w:sz w:val="18"/>
                      <w:szCs w:val="18"/>
                    </w:rPr>
                    <w:t>禁止在合规园区外新建、扩建钢铁、石化、化工、焦化、建材、有色、制浆造纸等高污染项目。合规园区名录按照《〈长江经济带发展负面清单指南(试行，2022年版)〉江苏省实施细则合规园区名录》执行。</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项目不属于化工、石化、焦化等项目，符合要求。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color w:val="auto"/>
                      <w:sz w:val="18"/>
                      <w:szCs w:val="18"/>
                    </w:rPr>
                    <w:t>禁止在取消化工定位的园区(集中区)内新建化工项目。</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项目不属于化工集中区，符合要求。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color w:val="auto"/>
                      <w:sz w:val="18"/>
                      <w:szCs w:val="18"/>
                    </w:rPr>
                    <w:t>禁止在化工企业周边建设不符合安全距离规定的劳动密集型的非化工项目和其他人员密集的公共设施项目。</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项目不属于劳动密集型的非化工项目和其他人员密集的公共设施项目，符合要求。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restart"/>
                  <w:vAlign w:val="center"/>
                </w:tcPr>
                <w:p>
                  <w:pPr>
                    <w:pStyle w:val="355"/>
                    <w:spacing w:line="240" w:lineRule="auto"/>
                    <w:ind w:firstLine="0" w:firstLineChars="0"/>
                    <w:jc w:val="center"/>
                    <w:rPr>
                      <w:color w:val="auto"/>
                      <w:sz w:val="18"/>
                      <w:szCs w:val="18"/>
                    </w:rPr>
                  </w:pPr>
                  <w:r>
                    <w:rPr>
                      <w:rFonts w:hint="eastAsia"/>
                      <w:color w:val="auto"/>
                      <w:sz w:val="18"/>
                      <w:szCs w:val="18"/>
                    </w:rPr>
                    <w:t>产业发展</w:t>
                  </w:r>
                </w:p>
              </w:tc>
              <w:tc>
                <w:tcPr>
                  <w:tcW w:w="4610" w:type="dxa"/>
                  <w:vAlign w:val="center"/>
                </w:tcPr>
                <w:p>
                  <w:pPr>
                    <w:pStyle w:val="355"/>
                    <w:spacing w:line="240" w:lineRule="auto"/>
                    <w:ind w:firstLine="360"/>
                    <w:rPr>
                      <w:color w:val="auto"/>
                      <w:sz w:val="18"/>
                      <w:szCs w:val="18"/>
                    </w:rPr>
                  </w:pPr>
                  <w:r>
                    <w:rPr>
                      <w:rFonts w:hint="eastAsia"/>
                      <w:color w:val="auto"/>
                      <w:sz w:val="18"/>
                      <w:szCs w:val="18"/>
                    </w:rPr>
                    <w:t>禁止新建、扩建不符合国家和省产业政策的尿素、磷铵、电石、烧碱、聚氯乙烯、纯碱等行业新增产能项目。</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项目不属于尿素、磷铵、电石、烧碱、聚氯乙烯、纯碱项目，符合要求。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禁止新建、改建、扩建高毒、高残留以及对环境影响大的农药原药（化学合成类）项目，禁止新建、扩建不符合国家和省产业政策的农药、医药和染料中间体化工项目。</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项目不属于农药、医药和染料中间体化工项目，符合要求。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禁止新建、扩建不符合国家石化、现代煤化工等产业布局规划的项目，禁止新建独立焦化项目。</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项目不属于不符合国家石化、现代煤化工等产业布局规划的项目，符合要求。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禁止新建、扩建国家《产业结构调整指导目录》《江苏省产业结构调整限制﹑淘汰和禁止目录》明确的限制类﹑淘汰类、禁止类项目,法律法规和相关政策明令禁止的落后产能项目，以及明令淘汰的安全生产落后工艺及装备项目。</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项目不属于明确的限制类﹑淘汰类、禁止类项目,法律法规和相关政策明令禁止的落后产能项目，以及明令淘汰的安全生产落后工艺及装备项目，符合要求。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禁止新建、扩建不符合国家产能置换要求的严重过剩产能行业的项目。禁止新建﹑扩建不符合要求的高耗能高排放项目。</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项目不属于不符合国家产能置换要求的严重过剩产能行业的项目，符合要求。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3" w:type="dxa"/>
                  <w:vMerge w:val="continue"/>
                  <w:vAlign w:val="center"/>
                </w:tcPr>
                <w:p>
                  <w:pPr>
                    <w:pStyle w:val="355"/>
                    <w:spacing w:line="240" w:lineRule="auto"/>
                    <w:ind w:firstLine="0" w:firstLineChars="0"/>
                    <w:jc w:val="center"/>
                    <w:rPr>
                      <w:color w:val="auto"/>
                      <w:sz w:val="18"/>
                      <w:szCs w:val="18"/>
                    </w:rPr>
                  </w:pPr>
                </w:p>
              </w:tc>
              <w:tc>
                <w:tcPr>
                  <w:tcW w:w="4610" w:type="dxa"/>
                  <w:vAlign w:val="center"/>
                </w:tcPr>
                <w:p>
                  <w:pPr>
                    <w:pStyle w:val="355"/>
                    <w:spacing w:line="240" w:lineRule="auto"/>
                    <w:ind w:firstLine="360"/>
                    <w:rPr>
                      <w:color w:val="auto"/>
                      <w:sz w:val="18"/>
                      <w:szCs w:val="18"/>
                    </w:rPr>
                  </w:pPr>
                  <w:r>
                    <w:rPr>
                      <w:rFonts w:hint="eastAsia"/>
                      <w:color w:val="auto"/>
                      <w:sz w:val="18"/>
                      <w:szCs w:val="18"/>
                    </w:rPr>
                    <w:t>法律法规及相关政策文件有更加严格规定的从其规定。</w:t>
                  </w:r>
                </w:p>
              </w:tc>
              <w:tc>
                <w:tcPr>
                  <w:tcW w:w="3042" w:type="dxa"/>
                  <w:vAlign w:val="center"/>
                </w:tcPr>
                <w:p>
                  <w:pPr>
                    <w:pStyle w:val="355"/>
                    <w:spacing w:line="240" w:lineRule="auto"/>
                    <w:ind w:firstLine="0" w:firstLineChars="0"/>
                    <w:jc w:val="center"/>
                    <w:rPr>
                      <w:color w:val="auto"/>
                      <w:sz w:val="18"/>
                      <w:szCs w:val="18"/>
                    </w:rPr>
                  </w:pPr>
                  <w:r>
                    <w:rPr>
                      <w:rFonts w:hint="eastAsia"/>
                      <w:color w:val="auto"/>
                      <w:sz w:val="18"/>
                      <w:szCs w:val="18"/>
                    </w:rPr>
                    <w:t>项目符合法律法规及相关政策文件要求。</w:t>
                  </w:r>
                </w:p>
              </w:tc>
            </w:tr>
          </w:tbl>
          <w:p>
            <w:pPr>
              <w:pStyle w:val="2"/>
              <w:adjustRightInd w:val="0"/>
              <w:snapToGrid w:val="0"/>
              <w:spacing w:before="0" w:after="0" w:line="240" w:lineRule="auto"/>
              <w:jc w:val="center"/>
              <w:rPr>
                <w:b w:val="0"/>
                <w:bCs w:val="0"/>
                <w:color w:val="auto"/>
                <w:sz w:val="21"/>
                <w:szCs w:val="21"/>
              </w:rPr>
            </w:pPr>
          </w:p>
          <w:p>
            <w:pPr>
              <w:pStyle w:val="2"/>
              <w:adjustRightInd w:val="0"/>
              <w:snapToGrid w:val="0"/>
              <w:spacing w:before="0" w:after="0" w:line="240" w:lineRule="auto"/>
              <w:jc w:val="center"/>
              <w:rPr>
                <w:color w:val="auto"/>
                <w:sz w:val="21"/>
                <w:szCs w:val="21"/>
              </w:rPr>
            </w:pPr>
            <w:r>
              <w:rPr>
                <w:color w:val="auto"/>
                <w:sz w:val="21"/>
                <w:szCs w:val="21"/>
              </w:rPr>
              <w:t>表1-</w:t>
            </w:r>
            <w:r>
              <w:rPr>
                <w:rFonts w:hint="eastAsia"/>
                <w:color w:val="auto"/>
                <w:sz w:val="21"/>
                <w:szCs w:val="21"/>
              </w:rPr>
              <w:t>5</w:t>
            </w:r>
            <w:r>
              <w:rPr>
                <w:color w:val="auto"/>
                <w:sz w:val="21"/>
                <w:szCs w:val="21"/>
              </w:rPr>
              <w:t xml:space="preserve">  与《市场准入负面清单（2022年版）》相符性分析</w:t>
            </w:r>
          </w:p>
          <w:tbl>
            <w:tblPr>
              <w:tblStyle w:val="3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015"/>
              <w:gridCol w:w="397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12" w:type="pct"/>
                  <w:shd w:val="clear" w:color="auto" w:fill="auto"/>
                  <w:vAlign w:val="center"/>
                </w:tcPr>
                <w:p>
                  <w:pPr>
                    <w:adjustRightInd w:val="0"/>
                    <w:snapToGrid w:val="0"/>
                    <w:ind w:right="105"/>
                    <w:jc w:val="center"/>
                    <w:rPr>
                      <w:b/>
                      <w:color w:val="auto"/>
                      <w:sz w:val="18"/>
                      <w:szCs w:val="18"/>
                      <w:lang w:val="zh-CN"/>
                    </w:rPr>
                  </w:pPr>
                  <w:r>
                    <w:rPr>
                      <w:b/>
                      <w:color w:val="auto"/>
                      <w:sz w:val="18"/>
                      <w:szCs w:val="18"/>
                      <w:lang w:val="zh-CN"/>
                    </w:rPr>
                    <w:t>文件要求</w:t>
                  </w:r>
                </w:p>
              </w:tc>
              <w:tc>
                <w:tcPr>
                  <w:tcW w:w="2488" w:type="pct"/>
                  <w:shd w:val="clear" w:color="auto" w:fill="auto"/>
                  <w:vAlign w:val="center"/>
                </w:tcPr>
                <w:p>
                  <w:pPr>
                    <w:adjustRightInd w:val="0"/>
                    <w:snapToGrid w:val="0"/>
                    <w:ind w:right="105"/>
                    <w:jc w:val="center"/>
                    <w:rPr>
                      <w:b/>
                      <w:color w:val="auto"/>
                      <w:sz w:val="18"/>
                      <w:szCs w:val="18"/>
                      <w:lang w:val="zh-CN"/>
                    </w:rPr>
                  </w:pPr>
                  <w:r>
                    <w:rPr>
                      <w:b/>
                      <w:color w:val="auto"/>
                      <w:sz w:val="18"/>
                      <w:szCs w:val="18"/>
                      <w:lang w:val="zh-CN"/>
                    </w:rPr>
                    <w:t>本项目情况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12" w:type="pct"/>
                  <w:shd w:val="clear" w:color="auto" w:fill="auto"/>
                  <w:vAlign w:val="center"/>
                </w:tcPr>
                <w:p>
                  <w:pPr>
                    <w:adjustRightInd w:val="0"/>
                    <w:snapToGrid w:val="0"/>
                    <w:ind w:right="105"/>
                    <w:rPr>
                      <w:color w:val="auto"/>
                      <w:sz w:val="18"/>
                      <w:szCs w:val="18"/>
                      <w:lang w:val="zh-CN"/>
                    </w:rPr>
                  </w:pPr>
                  <w:r>
                    <w:rPr>
                      <w:color w:val="auto"/>
                      <w:sz w:val="18"/>
                      <w:szCs w:val="18"/>
                      <w:lang w:val="zh-CN"/>
                    </w:rPr>
                    <w:t>一、《市场准入负面清单（2022年版）》包含禁止和许可两类事项。对禁止准入事项，市场主体不得进入，行政机关不予审批、核准，不得办理有关手续；对许可准入事项，包括有关资格的要求和程序、技术标准和许可要求等，由市场主体提出申请，行政机关依法依规作出是否予以准入的决定，或由市场主体依照政府规定的准入条件和准入方式合规进入；对市场准入负面清单以外的行业、领域、业务等，各类市场主体皆可依法平等进入。</w:t>
                  </w:r>
                </w:p>
              </w:tc>
              <w:tc>
                <w:tcPr>
                  <w:tcW w:w="2488" w:type="pct"/>
                  <w:shd w:val="clear" w:color="auto" w:fill="auto"/>
                  <w:vAlign w:val="center"/>
                </w:tcPr>
                <w:p>
                  <w:pPr>
                    <w:adjustRightInd w:val="0"/>
                    <w:snapToGrid w:val="0"/>
                    <w:ind w:right="105" w:firstLine="360" w:firstLineChars="200"/>
                    <w:rPr>
                      <w:color w:val="auto"/>
                      <w:sz w:val="18"/>
                      <w:szCs w:val="18"/>
                      <w:lang w:val="zh-CN"/>
                    </w:rPr>
                  </w:pPr>
                  <w:r>
                    <w:rPr>
                      <w:color w:val="auto"/>
                      <w:sz w:val="18"/>
                      <w:szCs w:val="18"/>
                      <w:lang w:val="zh-CN"/>
                    </w:rPr>
                    <w:t>本项目不属于其中限制类、淘汰类、禁止类项目，不属于法律法规和相关政策明令禁止的落后产能项目，以及明令淘汰的安全生产落后工艺及装备项目。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12" w:type="pct"/>
                  <w:shd w:val="clear" w:color="auto" w:fill="auto"/>
                  <w:vAlign w:val="center"/>
                </w:tcPr>
                <w:p>
                  <w:pPr>
                    <w:adjustRightInd w:val="0"/>
                    <w:snapToGrid w:val="0"/>
                    <w:ind w:right="105"/>
                    <w:rPr>
                      <w:color w:val="auto"/>
                      <w:sz w:val="18"/>
                      <w:szCs w:val="18"/>
                      <w:lang w:val="zh-CN"/>
                    </w:rPr>
                  </w:pPr>
                  <w:r>
                    <w:rPr>
                      <w:color w:val="auto"/>
                      <w:sz w:val="18"/>
                      <w:szCs w:val="18"/>
                      <w:lang w:val="zh-CN"/>
                    </w:rPr>
                    <w:t>四、按照党中央、国务院要求编制的涉及行业性、领域性、区域性等方面，需要用负面清单管理方式出台相关措施的，应纳入全国统一的市场准入负面清单。产业结构调整指导目录、政府核准的投资项目目录纳入市场准入负面清单，地方对两个目录有细化规定的，从其规定。地方国家重点生态功能区和农产品主产区产业准入负面清单（或禁止限制目录）及地方按照党中央、国务院要求制定的地方性产业结构禁止准入目录，统一纳入市场准入负面清单。</w:t>
                  </w:r>
                </w:p>
              </w:tc>
              <w:tc>
                <w:tcPr>
                  <w:tcW w:w="2488" w:type="pct"/>
                  <w:shd w:val="clear" w:color="auto" w:fill="auto"/>
                  <w:vAlign w:val="center"/>
                </w:tcPr>
                <w:p>
                  <w:pPr>
                    <w:adjustRightInd w:val="0"/>
                    <w:snapToGrid w:val="0"/>
                    <w:ind w:firstLine="360" w:firstLineChars="200"/>
                    <w:rPr>
                      <w:color w:val="auto"/>
                      <w:sz w:val="18"/>
                      <w:szCs w:val="18"/>
                    </w:rPr>
                  </w:pPr>
                  <w:r>
                    <w:rPr>
                      <w:color w:val="auto"/>
                      <w:sz w:val="18"/>
                      <w:szCs w:val="18"/>
                    </w:rPr>
                    <w:t>经查实，本项目不属于《产业结构调整指导目录（2019年本）》</w:t>
                  </w:r>
                  <w:r>
                    <w:rPr>
                      <w:rFonts w:hint="eastAsia"/>
                      <w:color w:val="auto"/>
                      <w:sz w:val="18"/>
                      <w:szCs w:val="18"/>
                    </w:rPr>
                    <w:t>（2</w:t>
                  </w:r>
                  <w:r>
                    <w:rPr>
                      <w:color w:val="auto"/>
                      <w:sz w:val="18"/>
                      <w:szCs w:val="18"/>
                    </w:rPr>
                    <w:t>021</w:t>
                  </w:r>
                  <w:r>
                    <w:rPr>
                      <w:rFonts w:hint="eastAsia"/>
                      <w:color w:val="auto"/>
                      <w:sz w:val="18"/>
                      <w:szCs w:val="18"/>
                    </w:rPr>
                    <w:t>年修订）</w:t>
                  </w:r>
                  <w:r>
                    <w:rPr>
                      <w:color w:val="auto"/>
                      <w:sz w:val="18"/>
                      <w:szCs w:val="18"/>
                    </w:rPr>
                    <w:t>中限制和淘汰类项目；本项目设备也不属于《部分工业行业淘汰落后生产工艺装备和产品指导目录（2010年本）》中限制类和淘汰类项目。</w:t>
                  </w:r>
                </w:p>
              </w:tc>
            </w:tr>
          </w:tbl>
          <w:p>
            <w:pPr>
              <w:pStyle w:val="15"/>
              <w:adjustRightInd w:val="0"/>
              <w:spacing w:before="0" w:after="0" w:line="240" w:lineRule="auto"/>
              <w:ind w:right="0"/>
              <w:jc w:val="center"/>
              <w:rPr>
                <w:color w:val="auto"/>
                <w:sz w:val="21"/>
                <w:szCs w:val="21"/>
              </w:rPr>
            </w:pPr>
            <w:r>
              <w:rPr>
                <w:b/>
                <w:color w:val="auto"/>
                <w:sz w:val="21"/>
                <w:szCs w:val="21"/>
              </w:rPr>
              <w:t>表1-</w:t>
            </w:r>
            <w:r>
              <w:rPr>
                <w:rFonts w:hint="eastAsia"/>
                <w:b/>
                <w:color w:val="auto"/>
                <w:sz w:val="21"/>
                <w:szCs w:val="21"/>
              </w:rPr>
              <w:t>6</w:t>
            </w:r>
            <w:r>
              <w:rPr>
                <w:b/>
                <w:color w:val="auto"/>
                <w:sz w:val="21"/>
                <w:szCs w:val="21"/>
              </w:rPr>
              <w:t xml:space="preserve"> 规划环评</w:t>
            </w:r>
            <w:r>
              <w:rPr>
                <w:rFonts w:hint="eastAsia"/>
                <w:b/>
                <w:color w:val="auto"/>
                <w:sz w:val="21"/>
                <w:szCs w:val="21"/>
              </w:rPr>
              <w:t>生态环境准入清单</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03"/>
              <w:gridCol w:w="4502"/>
              <w:gridCol w:w="278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0" w:type="pct"/>
                  <w:vAlign w:val="center"/>
                </w:tcPr>
                <w:p>
                  <w:pPr>
                    <w:adjustRightInd w:val="0"/>
                    <w:snapToGrid w:val="0"/>
                    <w:jc w:val="center"/>
                    <w:rPr>
                      <w:b/>
                      <w:snapToGrid w:val="0"/>
                      <w:color w:val="auto"/>
                      <w:sz w:val="18"/>
                      <w:szCs w:val="18"/>
                    </w:rPr>
                  </w:pPr>
                  <w:r>
                    <w:rPr>
                      <w:rFonts w:hint="eastAsia"/>
                      <w:b/>
                      <w:snapToGrid w:val="0"/>
                      <w:color w:val="auto"/>
                      <w:sz w:val="18"/>
                      <w:szCs w:val="18"/>
                    </w:rPr>
                    <w:t>清单类型</w:t>
                  </w:r>
                </w:p>
              </w:tc>
              <w:tc>
                <w:tcPr>
                  <w:tcW w:w="2816" w:type="pct"/>
                  <w:vAlign w:val="center"/>
                </w:tcPr>
                <w:p>
                  <w:pPr>
                    <w:adjustRightInd w:val="0"/>
                    <w:snapToGrid w:val="0"/>
                    <w:jc w:val="center"/>
                    <w:rPr>
                      <w:b/>
                      <w:snapToGrid w:val="0"/>
                      <w:color w:val="auto"/>
                      <w:sz w:val="18"/>
                      <w:szCs w:val="18"/>
                    </w:rPr>
                  </w:pPr>
                  <w:r>
                    <w:rPr>
                      <w:b/>
                      <w:snapToGrid w:val="0"/>
                      <w:color w:val="auto"/>
                      <w:sz w:val="18"/>
                      <w:szCs w:val="18"/>
                    </w:rPr>
                    <w:t>禁止发展内容</w:t>
                  </w:r>
                </w:p>
              </w:tc>
              <w:tc>
                <w:tcPr>
                  <w:tcW w:w="1742" w:type="pct"/>
                  <w:vAlign w:val="center"/>
                </w:tcPr>
                <w:p>
                  <w:pPr>
                    <w:adjustRightInd w:val="0"/>
                    <w:snapToGrid w:val="0"/>
                    <w:jc w:val="center"/>
                    <w:rPr>
                      <w:b/>
                      <w:snapToGrid w:val="0"/>
                      <w:color w:val="auto"/>
                      <w:sz w:val="18"/>
                      <w:szCs w:val="18"/>
                    </w:rPr>
                  </w:pPr>
                  <w:r>
                    <w:rPr>
                      <w:b/>
                      <w:snapToGrid w:val="0"/>
                      <w:color w:val="auto"/>
                      <w:sz w:val="18"/>
                      <w:szCs w:val="18"/>
                    </w:rPr>
                    <w:t>相符性分析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0" w:type="pct"/>
                  <w:vAlign w:val="center"/>
                </w:tcPr>
                <w:p>
                  <w:pPr>
                    <w:tabs>
                      <w:tab w:val="left" w:pos="862"/>
                      <w:tab w:val="left" w:pos="4152"/>
                      <w:tab w:val="center" w:pos="6979"/>
                    </w:tabs>
                    <w:adjustRightInd w:val="0"/>
                    <w:snapToGrid w:val="0"/>
                    <w:jc w:val="center"/>
                    <w:rPr>
                      <w:bCs/>
                      <w:color w:val="auto"/>
                      <w:sz w:val="18"/>
                      <w:szCs w:val="18"/>
                    </w:rPr>
                  </w:pPr>
                  <w:r>
                    <w:rPr>
                      <w:rFonts w:hint="eastAsia"/>
                      <w:bCs/>
                      <w:color w:val="auto"/>
                      <w:sz w:val="18"/>
                      <w:szCs w:val="18"/>
                    </w:rPr>
                    <w:t>空间布局约束</w:t>
                  </w:r>
                </w:p>
              </w:tc>
              <w:tc>
                <w:tcPr>
                  <w:tcW w:w="2816" w:type="pct"/>
                  <w:vAlign w:val="center"/>
                </w:tcPr>
                <w:p>
                  <w:pPr>
                    <w:tabs>
                      <w:tab w:val="left" w:pos="862"/>
                      <w:tab w:val="left" w:pos="4152"/>
                      <w:tab w:val="center" w:pos="6979"/>
                    </w:tabs>
                    <w:jc w:val="left"/>
                    <w:rPr>
                      <w:bCs/>
                      <w:color w:val="auto"/>
                      <w:sz w:val="18"/>
                      <w:szCs w:val="18"/>
                    </w:rPr>
                  </w:pPr>
                  <w:r>
                    <w:rPr>
                      <w:rFonts w:hint="eastAsia"/>
                      <w:bCs/>
                      <w:color w:val="auto"/>
                      <w:sz w:val="18"/>
                      <w:szCs w:val="18"/>
                    </w:rPr>
                    <w:t>（1）在涉及浏河（太仓市）清水通道维护区内，严格执行《南水北调工程供用水管理条例》《江苏省河道管理条例》《江苏省太湖水污染防治条例》和《江苏省通榆河水污染防治条例》等有关规定。至规划期末4家企业占用浏河两岸100米范围内的工业用地全部清退，退出后的地块用途需符合《江苏省生态空间管控区域调整管理办法》（苏政发[2021]3号）第十三条规定。</w:t>
                  </w:r>
                </w:p>
                <w:p>
                  <w:pPr>
                    <w:tabs>
                      <w:tab w:val="left" w:pos="862"/>
                      <w:tab w:val="left" w:pos="4152"/>
                      <w:tab w:val="center" w:pos="6979"/>
                    </w:tabs>
                    <w:jc w:val="left"/>
                    <w:rPr>
                      <w:color w:val="auto"/>
                      <w:sz w:val="18"/>
                      <w:szCs w:val="18"/>
                    </w:rPr>
                  </w:pPr>
                  <w:r>
                    <w:rPr>
                      <w:rFonts w:hint="eastAsia"/>
                      <w:bCs/>
                      <w:color w:val="auto"/>
                      <w:sz w:val="18"/>
                      <w:szCs w:val="18"/>
                    </w:rPr>
                    <w:t>（2）禁止在基本农田区域进行各项非农建设</w:t>
                  </w:r>
                  <w:r>
                    <w:rPr>
                      <w:rFonts w:hint="eastAsia"/>
                      <w:color w:val="auto"/>
                      <w:sz w:val="18"/>
                      <w:szCs w:val="18"/>
                    </w:rPr>
                    <w:t>。本次规划开发建设如占用少量基本农田，主要用作教育科研用地，但需在做好基本农田占补平衡下进行；</w:t>
                  </w:r>
                </w:p>
                <w:p>
                  <w:pPr>
                    <w:tabs>
                      <w:tab w:val="left" w:pos="862"/>
                      <w:tab w:val="left" w:pos="4152"/>
                      <w:tab w:val="center" w:pos="6979"/>
                    </w:tabs>
                    <w:jc w:val="left"/>
                    <w:rPr>
                      <w:color w:val="auto"/>
                      <w:sz w:val="18"/>
                      <w:szCs w:val="18"/>
                    </w:rPr>
                  </w:pPr>
                  <w:r>
                    <w:rPr>
                      <w:rFonts w:hint="eastAsia"/>
                      <w:color w:val="auto"/>
                      <w:sz w:val="18"/>
                      <w:szCs w:val="18"/>
                    </w:rPr>
                    <w:t>（3）</w:t>
                  </w:r>
                  <w:r>
                    <w:rPr>
                      <w:color w:val="auto"/>
                      <w:sz w:val="18"/>
                      <w:szCs w:val="18"/>
                    </w:rPr>
                    <w:t>禁止占用</w:t>
                  </w:r>
                  <w:r>
                    <w:rPr>
                      <w:rFonts w:hint="eastAsia"/>
                      <w:color w:val="auto"/>
                      <w:sz w:val="18"/>
                      <w:szCs w:val="18"/>
                    </w:rPr>
                    <w:t>水域</w:t>
                  </w:r>
                  <w:r>
                    <w:rPr>
                      <w:color w:val="auto"/>
                      <w:sz w:val="18"/>
                      <w:szCs w:val="18"/>
                    </w:rPr>
                    <w:t>，禁止破坏水域的建设活动</w:t>
                  </w:r>
                  <w:r>
                    <w:rPr>
                      <w:rFonts w:hint="eastAsia"/>
                      <w:color w:val="auto"/>
                      <w:sz w:val="18"/>
                      <w:szCs w:val="18"/>
                    </w:rPr>
                    <w:t>；</w:t>
                  </w:r>
                </w:p>
                <w:p>
                  <w:pPr>
                    <w:tabs>
                      <w:tab w:val="left" w:pos="862"/>
                      <w:tab w:val="left" w:pos="4152"/>
                      <w:tab w:val="center" w:pos="6979"/>
                    </w:tabs>
                    <w:jc w:val="left"/>
                    <w:rPr>
                      <w:snapToGrid w:val="0"/>
                      <w:color w:val="auto"/>
                      <w:sz w:val="18"/>
                      <w:szCs w:val="18"/>
                    </w:rPr>
                  </w:pPr>
                  <w:r>
                    <w:rPr>
                      <w:rFonts w:hint="eastAsia"/>
                      <w:color w:val="auto"/>
                      <w:sz w:val="18"/>
                      <w:szCs w:val="18"/>
                    </w:rPr>
                    <w:t>（4）</w:t>
                  </w:r>
                  <w:r>
                    <w:rPr>
                      <w:color w:val="auto"/>
                      <w:sz w:val="18"/>
                      <w:szCs w:val="18"/>
                    </w:rPr>
                    <w:t>以绿化和防护林建设为主，严格控制城镇和农村居民点建设</w:t>
                  </w:r>
                  <w:r>
                    <w:rPr>
                      <w:rFonts w:hint="eastAsia"/>
                      <w:color w:val="auto"/>
                      <w:sz w:val="18"/>
                      <w:szCs w:val="18"/>
                    </w:rPr>
                    <w:t>。</w:t>
                  </w:r>
                </w:p>
              </w:tc>
              <w:tc>
                <w:tcPr>
                  <w:tcW w:w="1742" w:type="pct"/>
                  <w:vAlign w:val="center"/>
                </w:tcPr>
                <w:p>
                  <w:pPr>
                    <w:adjustRightInd w:val="0"/>
                    <w:snapToGrid w:val="0"/>
                    <w:jc w:val="center"/>
                    <w:rPr>
                      <w:snapToGrid w:val="0"/>
                      <w:color w:val="auto"/>
                      <w:sz w:val="18"/>
                      <w:szCs w:val="18"/>
                    </w:rPr>
                  </w:pPr>
                  <w:r>
                    <w:rPr>
                      <w:rFonts w:hint="eastAsia"/>
                      <w:snapToGrid w:val="0"/>
                      <w:color w:val="auto"/>
                      <w:sz w:val="18"/>
                      <w:szCs w:val="18"/>
                    </w:rPr>
                    <w:t>本项目用地性质为工业用地，不</w:t>
                  </w:r>
                  <w:r>
                    <w:rPr>
                      <w:rFonts w:hint="eastAsia"/>
                      <w:bCs/>
                      <w:color w:val="auto"/>
                      <w:sz w:val="18"/>
                      <w:szCs w:val="18"/>
                    </w:rPr>
                    <w:t>涉及浏河（太仓市）清水通道维护区，不涉及基本农田区域，</w:t>
                  </w:r>
                  <w:r>
                    <w:rPr>
                      <w:rFonts w:hint="eastAsia"/>
                      <w:snapToGrid w:val="0"/>
                      <w:color w:val="auto"/>
                      <w:sz w:val="18"/>
                      <w:szCs w:val="18"/>
                    </w:rPr>
                    <w:t>不占用水域，不占用以绿化和防护林、市政基础设施建设为主的用地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0" w:type="pct"/>
                  <w:vAlign w:val="center"/>
                </w:tcPr>
                <w:p>
                  <w:pPr>
                    <w:tabs>
                      <w:tab w:val="left" w:pos="862"/>
                      <w:tab w:val="left" w:pos="4152"/>
                      <w:tab w:val="center" w:pos="6979"/>
                    </w:tabs>
                    <w:adjustRightInd w:val="0"/>
                    <w:snapToGrid w:val="0"/>
                    <w:jc w:val="center"/>
                    <w:rPr>
                      <w:bCs/>
                      <w:color w:val="auto"/>
                      <w:sz w:val="18"/>
                      <w:szCs w:val="18"/>
                    </w:rPr>
                  </w:pPr>
                  <w:r>
                    <w:rPr>
                      <w:rFonts w:hint="eastAsia"/>
                      <w:bCs/>
                      <w:color w:val="auto"/>
                      <w:sz w:val="18"/>
                      <w:szCs w:val="18"/>
                    </w:rPr>
                    <w:t>污染物排放管控</w:t>
                  </w:r>
                </w:p>
              </w:tc>
              <w:tc>
                <w:tcPr>
                  <w:tcW w:w="2816" w:type="pct"/>
                  <w:vAlign w:val="center"/>
                </w:tcPr>
                <w:p>
                  <w:pPr>
                    <w:tabs>
                      <w:tab w:val="left" w:pos="862"/>
                      <w:tab w:val="left" w:pos="4152"/>
                      <w:tab w:val="center" w:pos="6979"/>
                    </w:tabs>
                    <w:jc w:val="left"/>
                    <w:rPr>
                      <w:bCs/>
                      <w:color w:val="auto"/>
                      <w:sz w:val="18"/>
                      <w:szCs w:val="18"/>
                    </w:rPr>
                  </w:pPr>
                  <w:r>
                    <w:rPr>
                      <w:rFonts w:hint="eastAsia"/>
                      <w:bCs/>
                      <w:color w:val="auto"/>
                      <w:sz w:val="18"/>
                      <w:szCs w:val="18"/>
                    </w:rPr>
                    <w:t>（1）废水污染物：</w:t>
                  </w:r>
                  <w:r>
                    <w:rPr>
                      <w:bCs/>
                      <w:color w:val="auto"/>
                      <w:sz w:val="18"/>
                      <w:szCs w:val="18"/>
                    </w:rPr>
                    <w:t xml:space="preserve"> COD 1112.18吨/年；</w:t>
                  </w:r>
                  <w:r>
                    <w:rPr>
                      <w:rFonts w:hint="eastAsia"/>
                      <w:bCs/>
                      <w:color w:val="auto"/>
                      <w:sz w:val="18"/>
                      <w:szCs w:val="18"/>
                    </w:rPr>
                    <w:t>NH</w:t>
                  </w:r>
                  <w:r>
                    <w:rPr>
                      <w:bCs/>
                      <w:color w:val="auto"/>
                      <w:sz w:val="18"/>
                      <w:szCs w:val="18"/>
                      <w:vertAlign w:val="subscript"/>
                    </w:rPr>
                    <w:t>3</w:t>
                  </w:r>
                  <w:r>
                    <w:rPr>
                      <w:rFonts w:hint="eastAsia"/>
                      <w:bCs/>
                      <w:color w:val="auto"/>
                      <w:sz w:val="18"/>
                      <w:szCs w:val="18"/>
                    </w:rPr>
                    <w:t>-N</w:t>
                  </w:r>
                  <w:r>
                    <w:rPr>
                      <w:bCs/>
                      <w:color w:val="auto"/>
                      <w:sz w:val="18"/>
                      <w:szCs w:val="18"/>
                    </w:rPr>
                    <w:t xml:space="preserve"> 92.67吨/年</w:t>
                  </w:r>
                  <w:r>
                    <w:rPr>
                      <w:rFonts w:hint="eastAsia"/>
                      <w:bCs/>
                      <w:color w:val="auto"/>
                      <w:sz w:val="18"/>
                      <w:szCs w:val="18"/>
                    </w:rPr>
                    <w:t>、TP</w:t>
                  </w:r>
                  <w:r>
                    <w:rPr>
                      <w:bCs/>
                      <w:color w:val="auto"/>
                      <w:sz w:val="18"/>
                      <w:szCs w:val="18"/>
                    </w:rPr>
                    <w:t>11.12吨/年</w:t>
                  </w:r>
                  <w:r>
                    <w:rPr>
                      <w:rFonts w:hint="eastAsia"/>
                      <w:bCs/>
                      <w:color w:val="auto"/>
                      <w:sz w:val="18"/>
                      <w:szCs w:val="18"/>
                    </w:rPr>
                    <w:t>、TN</w:t>
                  </w:r>
                  <w:r>
                    <w:rPr>
                      <w:bCs/>
                      <w:color w:val="auto"/>
                      <w:sz w:val="18"/>
                      <w:szCs w:val="18"/>
                    </w:rPr>
                    <w:t>278吨/年</w:t>
                  </w:r>
                  <w:r>
                    <w:rPr>
                      <w:rFonts w:hint="eastAsia"/>
                      <w:bCs/>
                      <w:color w:val="auto"/>
                      <w:sz w:val="18"/>
                      <w:szCs w:val="18"/>
                    </w:rPr>
                    <w:t>；</w:t>
                  </w:r>
                </w:p>
                <w:p>
                  <w:pPr>
                    <w:tabs>
                      <w:tab w:val="left" w:pos="862"/>
                      <w:tab w:val="left" w:pos="4152"/>
                      <w:tab w:val="center" w:pos="6979"/>
                    </w:tabs>
                    <w:jc w:val="left"/>
                    <w:rPr>
                      <w:bCs/>
                      <w:color w:val="auto"/>
                      <w:sz w:val="18"/>
                      <w:szCs w:val="18"/>
                    </w:rPr>
                  </w:pPr>
                  <w:r>
                    <w:rPr>
                      <w:rFonts w:hint="eastAsia"/>
                      <w:bCs/>
                      <w:color w:val="auto"/>
                      <w:sz w:val="18"/>
                      <w:szCs w:val="18"/>
                    </w:rPr>
                    <w:t>（</w:t>
                  </w:r>
                  <w:r>
                    <w:rPr>
                      <w:bCs/>
                      <w:color w:val="auto"/>
                      <w:sz w:val="18"/>
                      <w:szCs w:val="18"/>
                    </w:rPr>
                    <w:t>2</w:t>
                  </w:r>
                  <w:r>
                    <w:rPr>
                      <w:rFonts w:hint="eastAsia"/>
                      <w:bCs/>
                      <w:color w:val="auto"/>
                      <w:sz w:val="18"/>
                      <w:szCs w:val="18"/>
                    </w:rPr>
                    <w:t>）大气污染物：SO</w:t>
                  </w:r>
                  <w:r>
                    <w:rPr>
                      <w:bCs/>
                      <w:color w:val="auto"/>
                      <w:sz w:val="18"/>
                      <w:szCs w:val="18"/>
                      <w:vertAlign w:val="subscript"/>
                    </w:rPr>
                    <w:t>2</w:t>
                  </w:r>
                  <w:r>
                    <w:rPr>
                      <w:bCs/>
                      <w:color w:val="auto"/>
                      <w:sz w:val="18"/>
                      <w:szCs w:val="18"/>
                    </w:rPr>
                    <w:t>114.89吨/年</w:t>
                  </w:r>
                  <w:r>
                    <w:rPr>
                      <w:rFonts w:hint="eastAsia"/>
                      <w:bCs/>
                      <w:color w:val="auto"/>
                      <w:sz w:val="18"/>
                      <w:szCs w:val="18"/>
                    </w:rPr>
                    <w:t>、NO</w:t>
                  </w:r>
                  <w:r>
                    <w:rPr>
                      <w:rFonts w:hint="eastAsia"/>
                      <w:bCs/>
                      <w:color w:val="auto"/>
                      <w:sz w:val="18"/>
                      <w:szCs w:val="18"/>
                      <w:vertAlign w:val="subscript"/>
                    </w:rPr>
                    <w:t>X</w:t>
                  </w:r>
                  <w:r>
                    <w:rPr>
                      <w:bCs/>
                      <w:color w:val="auto"/>
                      <w:sz w:val="18"/>
                      <w:szCs w:val="18"/>
                    </w:rPr>
                    <w:t>57.78吨/年</w:t>
                  </w:r>
                  <w:r>
                    <w:rPr>
                      <w:rFonts w:hint="eastAsia"/>
                      <w:bCs/>
                      <w:color w:val="auto"/>
                      <w:sz w:val="18"/>
                      <w:szCs w:val="18"/>
                    </w:rPr>
                    <w:t>、颗粒物</w:t>
                  </w:r>
                  <w:r>
                    <w:rPr>
                      <w:bCs/>
                      <w:color w:val="auto"/>
                      <w:sz w:val="18"/>
                      <w:szCs w:val="18"/>
                    </w:rPr>
                    <w:t>69.36吨/</w:t>
                  </w:r>
                  <w:r>
                    <w:rPr>
                      <w:rFonts w:hint="eastAsia"/>
                      <w:bCs/>
                      <w:color w:val="auto"/>
                      <w:sz w:val="18"/>
                      <w:szCs w:val="18"/>
                    </w:rPr>
                    <w:t>、盐酸</w:t>
                  </w:r>
                  <w:r>
                    <w:rPr>
                      <w:bCs/>
                      <w:color w:val="auto"/>
                      <w:sz w:val="18"/>
                      <w:szCs w:val="18"/>
                    </w:rPr>
                    <w:t>4.47吨/年</w:t>
                  </w:r>
                  <w:r>
                    <w:rPr>
                      <w:rFonts w:hint="eastAsia"/>
                      <w:bCs/>
                      <w:color w:val="auto"/>
                      <w:sz w:val="18"/>
                      <w:szCs w:val="18"/>
                    </w:rPr>
                    <w:t>、硫酸雾2</w:t>
                  </w:r>
                  <w:r>
                    <w:rPr>
                      <w:bCs/>
                      <w:color w:val="auto"/>
                      <w:sz w:val="18"/>
                      <w:szCs w:val="18"/>
                    </w:rPr>
                    <w:t>.14吨/年</w:t>
                  </w:r>
                  <w:r>
                    <w:rPr>
                      <w:rFonts w:hint="eastAsia"/>
                      <w:bCs/>
                      <w:color w:val="auto"/>
                      <w:sz w:val="18"/>
                      <w:szCs w:val="18"/>
                    </w:rPr>
                    <w:t>、</w:t>
                  </w:r>
                  <w:r>
                    <w:rPr>
                      <w:bCs/>
                      <w:color w:val="auto"/>
                      <w:sz w:val="18"/>
                      <w:szCs w:val="18"/>
                    </w:rPr>
                    <w:t xml:space="preserve">VOCs </w:t>
                  </w:r>
                  <w:r>
                    <w:rPr>
                      <w:color w:val="auto"/>
                      <w:sz w:val="18"/>
                      <w:szCs w:val="18"/>
                    </w:rPr>
                    <w:t>255.14</w:t>
                  </w:r>
                  <w:r>
                    <w:rPr>
                      <w:bCs/>
                      <w:color w:val="auto"/>
                      <w:sz w:val="18"/>
                      <w:szCs w:val="18"/>
                    </w:rPr>
                    <w:t>吨/年；</w:t>
                  </w:r>
                </w:p>
                <w:p>
                  <w:pPr>
                    <w:tabs>
                      <w:tab w:val="left" w:pos="862"/>
                      <w:tab w:val="left" w:pos="4152"/>
                      <w:tab w:val="center" w:pos="6979"/>
                    </w:tabs>
                    <w:jc w:val="left"/>
                    <w:rPr>
                      <w:snapToGrid w:val="0"/>
                      <w:color w:val="auto"/>
                      <w:sz w:val="18"/>
                      <w:szCs w:val="18"/>
                    </w:rPr>
                  </w:pPr>
                  <w:r>
                    <w:rPr>
                      <w:rFonts w:hint="eastAsia"/>
                      <w:bCs/>
                      <w:color w:val="auto"/>
                      <w:sz w:val="18"/>
                      <w:szCs w:val="18"/>
                    </w:rPr>
                    <w:t>（3）危险废物：</w:t>
                  </w:r>
                  <w:r>
                    <w:rPr>
                      <w:rFonts w:hint="eastAsia"/>
                      <w:color w:val="auto"/>
                      <w:sz w:val="18"/>
                      <w:szCs w:val="18"/>
                    </w:rPr>
                    <w:t>1</w:t>
                  </w:r>
                  <w:r>
                    <w:rPr>
                      <w:color w:val="auto"/>
                      <w:sz w:val="18"/>
                      <w:szCs w:val="18"/>
                    </w:rPr>
                    <w:t>6994.76</w:t>
                  </w:r>
                  <w:r>
                    <w:rPr>
                      <w:rFonts w:hint="eastAsia"/>
                      <w:color w:val="auto"/>
                      <w:sz w:val="18"/>
                      <w:szCs w:val="18"/>
                    </w:rPr>
                    <w:t>吨/年。</w:t>
                  </w:r>
                </w:p>
              </w:tc>
              <w:tc>
                <w:tcPr>
                  <w:tcW w:w="1742" w:type="pct"/>
                  <w:vAlign w:val="center"/>
                </w:tcPr>
                <w:p>
                  <w:pPr>
                    <w:adjustRightInd w:val="0"/>
                    <w:snapToGrid w:val="0"/>
                    <w:jc w:val="center"/>
                    <w:rPr>
                      <w:snapToGrid w:val="0"/>
                      <w:color w:val="auto"/>
                      <w:sz w:val="18"/>
                      <w:szCs w:val="18"/>
                    </w:rPr>
                  </w:pPr>
                  <w:r>
                    <w:rPr>
                      <w:rFonts w:hint="eastAsia"/>
                      <w:snapToGrid w:val="0"/>
                      <w:color w:val="auto"/>
                      <w:sz w:val="18"/>
                      <w:szCs w:val="18"/>
                    </w:rPr>
                    <w:t>本项目</w:t>
                  </w:r>
                </w:p>
                <w:p>
                  <w:pPr>
                    <w:adjustRightInd w:val="0"/>
                    <w:snapToGrid w:val="0"/>
                    <w:jc w:val="center"/>
                    <w:rPr>
                      <w:snapToGrid w:val="0"/>
                      <w:color w:val="auto"/>
                      <w:sz w:val="18"/>
                      <w:szCs w:val="18"/>
                    </w:rPr>
                  </w:pPr>
                  <w:r>
                    <w:rPr>
                      <w:rFonts w:hint="eastAsia"/>
                      <w:snapToGrid w:val="0"/>
                      <w:color w:val="auto"/>
                      <w:sz w:val="18"/>
                      <w:szCs w:val="18"/>
                    </w:rPr>
                    <w:t>（1）废水污染物：C</w:t>
                  </w:r>
                  <w:r>
                    <w:rPr>
                      <w:snapToGrid w:val="0"/>
                      <w:color w:val="auto"/>
                      <w:sz w:val="18"/>
                      <w:szCs w:val="18"/>
                    </w:rPr>
                    <w:t>OD0.</w:t>
                  </w:r>
                  <w:r>
                    <w:rPr>
                      <w:rFonts w:hint="eastAsia"/>
                      <w:snapToGrid w:val="0"/>
                      <w:color w:val="auto"/>
                      <w:sz w:val="18"/>
                      <w:szCs w:val="18"/>
                    </w:rPr>
                    <w:t>160t</w:t>
                  </w:r>
                  <w:r>
                    <w:rPr>
                      <w:snapToGrid w:val="0"/>
                      <w:color w:val="auto"/>
                      <w:sz w:val="18"/>
                      <w:szCs w:val="18"/>
                    </w:rPr>
                    <w:t>/</w:t>
                  </w:r>
                  <w:r>
                    <w:rPr>
                      <w:rFonts w:hint="eastAsia"/>
                      <w:snapToGrid w:val="0"/>
                      <w:color w:val="auto"/>
                      <w:sz w:val="18"/>
                      <w:szCs w:val="18"/>
                    </w:rPr>
                    <w:t>a；NH</w:t>
                  </w:r>
                  <w:r>
                    <w:rPr>
                      <w:rFonts w:hint="eastAsia"/>
                      <w:snapToGrid w:val="0"/>
                      <w:color w:val="auto"/>
                      <w:sz w:val="18"/>
                      <w:szCs w:val="18"/>
                      <w:vertAlign w:val="subscript"/>
                    </w:rPr>
                    <w:t>3</w:t>
                  </w:r>
                  <w:r>
                    <w:rPr>
                      <w:rFonts w:hint="eastAsia"/>
                      <w:snapToGrid w:val="0"/>
                      <w:color w:val="auto"/>
                      <w:sz w:val="18"/>
                      <w:szCs w:val="18"/>
                    </w:rPr>
                    <w:t>-N</w:t>
                  </w:r>
                  <w:r>
                    <w:rPr>
                      <w:snapToGrid w:val="0"/>
                      <w:color w:val="auto"/>
                      <w:sz w:val="18"/>
                      <w:szCs w:val="18"/>
                    </w:rPr>
                    <w:t>0.0</w:t>
                  </w:r>
                  <w:r>
                    <w:rPr>
                      <w:rFonts w:hint="eastAsia"/>
                      <w:snapToGrid w:val="0"/>
                      <w:color w:val="auto"/>
                      <w:sz w:val="18"/>
                      <w:szCs w:val="18"/>
                    </w:rPr>
                    <w:t>108t</w:t>
                  </w:r>
                  <w:r>
                    <w:rPr>
                      <w:snapToGrid w:val="0"/>
                      <w:color w:val="auto"/>
                      <w:sz w:val="18"/>
                      <w:szCs w:val="18"/>
                    </w:rPr>
                    <w:t>/</w:t>
                  </w:r>
                  <w:r>
                    <w:rPr>
                      <w:rFonts w:hint="eastAsia"/>
                      <w:snapToGrid w:val="0"/>
                      <w:color w:val="auto"/>
                      <w:sz w:val="18"/>
                      <w:szCs w:val="18"/>
                    </w:rPr>
                    <w:t>a；总氮0</w:t>
                  </w:r>
                  <w:r>
                    <w:rPr>
                      <w:snapToGrid w:val="0"/>
                      <w:color w:val="auto"/>
                      <w:sz w:val="18"/>
                      <w:szCs w:val="18"/>
                    </w:rPr>
                    <w:t>.0</w:t>
                  </w:r>
                  <w:r>
                    <w:rPr>
                      <w:rFonts w:hint="eastAsia"/>
                      <w:snapToGrid w:val="0"/>
                      <w:color w:val="auto"/>
                      <w:sz w:val="18"/>
                      <w:szCs w:val="18"/>
                    </w:rPr>
                    <w:t>137t</w:t>
                  </w:r>
                  <w:r>
                    <w:rPr>
                      <w:snapToGrid w:val="0"/>
                      <w:color w:val="auto"/>
                      <w:sz w:val="18"/>
                      <w:szCs w:val="18"/>
                    </w:rPr>
                    <w:t>/</w:t>
                  </w:r>
                  <w:r>
                    <w:rPr>
                      <w:rFonts w:hint="eastAsia"/>
                      <w:snapToGrid w:val="0"/>
                      <w:color w:val="auto"/>
                      <w:sz w:val="18"/>
                      <w:szCs w:val="18"/>
                    </w:rPr>
                    <w:t>a；总磷：0</w:t>
                  </w:r>
                  <w:r>
                    <w:rPr>
                      <w:snapToGrid w:val="0"/>
                      <w:color w:val="auto"/>
                      <w:sz w:val="18"/>
                      <w:szCs w:val="18"/>
                    </w:rPr>
                    <w:t>.00</w:t>
                  </w:r>
                  <w:r>
                    <w:rPr>
                      <w:rFonts w:hint="eastAsia"/>
                      <w:snapToGrid w:val="0"/>
                      <w:color w:val="auto"/>
                      <w:sz w:val="18"/>
                      <w:szCs w:val="18"/>
                    </w:rPr>
                    <w:t>18t</w:t>
                  </w:r>
                  <w:r>
                    <w:rPr>
                      <w:snapToGrid w:val="0"/>
                      <w:color w:val="auto"/>
                      <w:sz w:val="18"/>
                      <w:szCs w:val="18"/>
                    </w:rPr>
                    <w:t>/</w:t>
                  </w:r>
                  <w:r>
                    <w:rPr>
                      <w:rFonts w:hint="eastAsia"/>
                      <w:snapToGrid w:val="0"/>
                      <w:color w:val="auto"/>
                      <w:sz w:val="18"/>
                      <w:szCs w:val="18"/>
                    </w:rPr>
                    <w:t>a；</w:t>
                  </w:r>
                </w:p>
                <w:p>
                  <w:pPr>
                    <w:adjustRightInd w:val="0"/>
                    <w:snapToGrid w:val="0"/>
                    <w:jc w:val="center"/>
                    <w:rPr>
                      <w:snapToGrid w:val="0"/>
                      <w:color w:val="auto"/>
                      <w:sz w:val="18"/>
                      <w:szCs w:val="18"/>
                    </w:rPr>
                  </w:pPr>
                  <w:r>
                    <w:rPr>
                      <w:rFonts w:hint="eastAsia"/>
                      <w:snapToGrid w:val="0"/>
                      <w:color w:val="auto"/>
                      <w:sz w:val="18"/>
                      <w:szCs w:val="18"/>
                    </w:rPr>
                    <w:t>（2）大气污染物：有组织大气污染物排放量为：非甲烷总烃0.0017t/a、颗粒物0.0008t/a、CS20.00003t/a、硫化氢0.0003t/a；无组织大气污染物排放量为：非甲烷总烃0.002t/a、颗粒物0.008t/a、CS20.00003t/a、硫化氢0.0003t/a ，仅作为考核量；；</w:t>
                  </w:r>
                </w:p>
                <w:p>
                  <w:pPr>
                    <w:adjustRightInd w:val="0"/>
                    <w:snapToGrid w:val="0"/>
                    <w:jc w:val="center"/>
                    <w:rPr>
                      <w:snapToGrid w:val="0"/>
                      <w:color w:val="auto"/>
                      <w:sz w:val="18"/>
                      <w:szCs w:val="18"/>
                    </w:rPr>
                  </w:pPr>
                  <w:r>
                    <w:rPr>
                      <w:rFonts w:hint="eastAsia"/>
                      <w:snapToGrid w:val="0"/>
                      <w:color w:val="auto"/>
                      <w:sz w:val="18"/>
                      <w:szCs w:val="18"/>
                    </w:rPr>
                    <w:t>（3）危险废物：1.6496t</w:t>
                  </w:r>
                  <w:r>
                    <w:rPr>
                      <w:snapToGrid w:val="0"/>
                      <w:color w:val="auto"/>
                      <w:sz w:val="18"/>
                      <w:szCs w:val="18"/>
                    </w:rPr>
                    <w:t>/</w:t>
                  </w:r>
                  <w:r>
                    <w:rPr>
                      <w:rFonts w:hint="eastAsia"/>
                      <w:snapToGrid w:val="0"/>
                      <w:color w:val="auto"/>
                      <w:sz w:val="18"/>
                      <w:szCs w:val="18"/>
                    </w:rPr>
                    <w: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440" w:type="pct"/>
                  <w:vMerge w:val="restart"/>
                  <w:vAlign w:val="center"/>
                </w:tcPr>
                <w:p>
                  <w:pPr>
                    <w:tabs>
                      <w:tab w:val="left" w:pos="862"/>
                      <w:tab w:val="left" w:pos="4152"/>
                      <w:tab w:val="center" w:pos="6979"/>
                    </w:tabs>
                    <w:adjustRightInd w:val="0"/>
                    <w:snapToGrid w:val="0"/>
                    <w:jc w:val="center"/>
                    <w:rPr>
                      <w:bCs/>
                      <w:color w:val="auto"/>
                      <w:sz w:val="18"/>
                      <w:szCs w:val="18"/>
                    </w:rPr>
                  </w:pPr>
                  <w:r>
                    <w:rPr>
                      <w:rFonts w:hint="eastAsia"/>
                      <w:bCs/>
                      <w:color w:val="auto"/>
                      <w:sz w:val="18"/>
                      <w:szCs w:val="18"/>
                    </w:rPr>
                    <w:t>产业开发准入</w:t>
                  </w:r>
                </w:p>
              </w:tc>
              <w:tc>
                <w:tcPr>
                  <w:tcW w:w="2816" w:type="pct"/>
                  <w:vAlign w:val="center"/>
                </w:tcPr>
                <w:p>
                  <w:pPr>
                    <w:tabs>
                      <w:tab w:val="left" w:pos="862"/>
                      <w:tab w:val="left" w:pos="4152"/>
                      <w:tab w:val="center" w:pos="6979"/>
                    </w:tabs>
                    <w:jc w:val="left"/>
                    <w:rPr>
                      <w:b/>
                      <w:color w:val="auto"/>
                      <w:sz w:val="18"/>
                      <w:szCs w:val="18"/>
                    </w:rPr>
                  </w:pPr>
                  <w:r>
                    <w:rPr>
                      <w:rFonts w:hint="eastAsia"/>
                      <w:b/>
                      <w:color w:val="auto"/>
                      <w:sz w:val="18"/>
                      <w:szCs w:val="18"/>
                    </w:rPr>
                    <w:t>优先引入：</w:t>
                  </w:r>
                </w:p>
                <w:p>
                  <w:pPr>
                    <w:tabs>
                      <w:tab w:val="left" w:pos="862"/>
                      <w:tab w:val="left" w:pos="4152"/>
                      <w:tab w:val="center" w:pos="6979"/>
                    </w:tabs>
                    <w:jc w:val="left"/>
                    <w:rPr>
                      <w:bCs/>
                      <w:color w:val="auto"/>
                      <w:sz w:val="18"/>
                      <w:szCs w:val="18"/>
                    </w:rPr>
                  </w:pPr>
                  <w:r>
                    <w:rPr>
                      <w:rFonts w:hint="eastAsia"/>
                      <w:bCs/>
                      <w:color w:val="auto"/>
                      <w:sz w:val="18"/>
                      <w:szCs w:val="18"/>
                    </w:rPr>
                    <w:t>（1）高端制造产业：精密机械、汽车零部件（含研发）、医疗器械、新型纺织机械、模具、航空航天装备、高档数控机床和机器人；</w:t>
                  </w:r>
                </w:p>
                <w:p>
                  <w:pPr>
                    <w:tabs>
                      <w:tab w:val="left" w:pos="862"/>
                      <w:tab w:val="left" w:pos="4152"/>
                      <w:tab w:val="center" w:pos="6979"/>
                    </w:tabs>
                    <w:jc w:val="left"/>
                    <w:rPr>
                      <w:bCs/>
                      <w:color w:val="auto"/>
                      <w:sz w:val="18"/>
                      <w:szCs w:val="18"/>
                    </w:rPr>
                  </w:pPr>
                  <w:r>
                    <w:rPr>
                      <w:rFonts w:hint="eastAsia"/>
                      <w:bCs/>
                      <w:color w:val="auto"/>
                      <w:sz w:val="18"/>
                      <w:szCs w:val="18"/>
                    </w:rPr>
                    <w:t>（2）电子信息产业：高端电子设备制造业、汽车电子制造、电子元件制造、软件与信息技术服务业；</w:t>
                  </w:r>
                </w:p>
                <w:p>
                  <w:pPr>
                    <w:tabs>
                      <w:tab w:val="left" w:pos="862"/>
                      <w:tab w:val="left" w:pos="4152"/>
                      <w:tab w:val="center" w:pos="6979"/>
                    </w:tabs>
                    <w:jc w:val="left"/>
                    <w:rPr>
                      <w:bCs/>
                      <w:color w:val="auto"/>
                      <w:sz w:val="18"/>
                      <w:szCs w:val="18"/>
                    </w:rPr>
                  </w:pPr>
                  <w:r>
                    <w:rPr>
                      <w:rFonts w:hint="eastAsia"/>
                      <w:bCs/>
                      <w:color w:val="auto"/>
                      <w:sz w:val="18"/>
                      <w:szCs w:val="18"/>
                    </w:rPr>
                    <w:t>（3）新材料产业：高性能膜材料、航空新材料、电子新材料；</w:t>
                  </w:r>
                </w:p>
                <w:p>
                  <w:pPr>
                    <w:tabs>
                      <w:tab w:val="left" w:pos="862"/>
                      <w:tab w:val="left" w:pos="4152"/>
                      <w:tab w:val="center" w:pos="6979"/>
                    </w:tabs>
                    <w:jc w:val="left"/>
                    <w:rPr>
                      <w:bCs/>
                      <w:color w:val="auto"/>
                      <w:sz w:val="18"/>
                      <w:szCs w:val="18"/>
                    </w:rPr>
                  </w:pPr>
                  <w:r>
                    <w:rPr>
                      <w:rFonts w:hint="eastAsia"/>
                      <w:bCs/>
                      <w:color w:val="auto"/>
                      <w:sz w:val="18"/>
                      <w:szCs w:val="18"/>
                    </w:rPr>
                    <w:t>（4）生物医药产业：生物药品制造（不含原药生产）、生物医药研发、健康食品制造；</w:t>
                  </w:r>
                </w:p>
                <w:p>
                  <w:pPr>
                    <w:tabs>
                      <w:tab w:val="left" w:pos="862"/>
                      <w:tab w:val="left" w:pos="4152"/>
                      <w:tab w:val="center" w:pos="6979"/>
                    </w:tabs>
                    <w:jc w:val="left"/>
                    <w:rPr>
                      <w:snapToGrid w:val="0"/>
                      <w:color w:val="auto"/>
                      <w:sz w:val="18"/>
                      <w:szCs w:val="18"/>
                    </w:rPr>
                  </w:pPr>
                  <w:r>
                    <w:rPr>
                      <w:rFonts w:hint="eastAsia"/>
                      <w:bCs/>
                      <w:color w:val="auto"/>
                      <w:sz w:val="18"/>
                      <w:szCs w:val="18"/>
                    </w:rPr>
                    <w:t>（</w:t>
                  </w:r>
                  <w:r>
                    <w:rPr>
                      <w:bCs/>
                      <w:color w:val="auto"/>
                      <w:sz w:val="18"/>
                      <w:szCs w:val="18"/>
                    </w:rPr>
                    <w:t>5</w:t>
                  </w:r>
                  <w:r>
                    <w:rPr>
                      <w:rFonts w:hint="eastAsia"/>
                      <w:bCs/>
                      <w:color w:val="auto"/>
                      <w:sz w:val="18"/>
                      <w:szCs w:val="18"/>
                    </w:rPr>
                    <w:t>）现代服务业：职业教育、文化创意、现代物流、科技服务。</w:t>
                  </w:r>
                </w:p>
              </w:tc>
              <w:tc>
                <w:tcPr>
                  <w:tcW w:w="1742" w:type="pct"/>
                  <w:vAlign w:val="center"/>
                </w:tcPr>
                <w:p>
                  <w:pPr>
                    <w:adjustRightInd w:val="0"/>
                    <w:snapToGrid w:val="0"/>
                    <w:jc w:val="center"/>
                    <w:rPr>
                      <w:snapToGrid w:val="0"/>
                      <w:color w:val="auto"/>
                      <w:sz w:val="18"/>
                      <w:szCs w:val="18"/>
                    </w:rPr>
                  </w:pPr>
                  <w:r>
                    <w:rPr>
                      <w:rFonts w:hint="eastAsia"/>
                      <w:snapToGrid w:val="0"/>
                      <w:color w:val="auto"/>
                      <w:sz w:val="18"/>
                      <w:szCs w:val="18"/>
                    </w:rPr>
                    <w:t>本项目生产的橡胶件、塑料件均为汽车零部件，属于优先引入类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440" w:type="pct"/>
                  <w:vMerge w:val="continue"/>
                  <w:vAlign w:val="center"/>
                </w:tcPr>
                <w:p>
                  <w:pPr>
                    <w:tabs>
                      <w:tab w:val="left" w:pos="862"/>
                      <w:tab w:val="left" w:pos="4152"/>
                      <w:tab w:val="center" w:pos="6979"/>
                    </w:tabs>
                    <w:adjustRightInd w:val="0"/>
                    <w:snapToGrid w:val="0"/>
                    <w:jc w:val="center"/>
                    <w:rPr>
                      <w:bCs/>
                      <w:color w:val="auto"/>
                      <w:sz w:val="18"/>
                      <w:szCs w:val="18"/>
                    </w:rPr>
                  </w:pPr>
                </w:p>
              </w:tc>
              <w:tc>
                <w:tcPr>
                  <w:tcW w:w="2816" w:type="pct"/>
                  <w:vAlign w:val="center"/>
                </w:tcPr>
                <w:p>
                  <w:pPr>
                    <w:tabs>
                      <w:tab w:val="left" w:pos="862"/>
                      <w:tab w:val="left" w:pos="4152"/>
                      <w:tab w:val="center" w:pos="6979"/>
                    </w:tabs>
                    <w:jc w:val="left"/>
                    <w:rPr>
                      <w:b/>
                      <w:color w:val="auto"/>
                      <w:sz w:val="18"/>
                      <w:szCs w:val="18"/>
                    </w:rPr>
                  </w:pPr>
                  <w:r>
                    <w:rPr>
                      <w:rFonts w:hint="eastAsia"/>
                      <w:b/>
                      <w:color w:val="auto"/>
                      <w:sz w:val="18"/>
                      <w:szCs w:val="18"/>
                    </w:rPr>
                    <w:t>禁止引入：</w:t>
                  </w:r>
                </w:p>
                <w:p>
                  <w:pPr>
                    <w:tabs>
                      <w:tab w:val="left" w:pos="862"/>
                      <w:tab w:val="left" w:pos="4152"/>
                      <w:tab w:val="center" w:pos="6979"/>
                    </w:tabs>
                    <w:jc w:val="left"/>
                    <w:rPr>
                      <w:bCs/>
                      <w:color w:val="auto"/>
                      <w:sz w:val="18"/>
                      <w:szCs w:val="18"/>
                    </w:rPr>
                  </w:pPr>
                  <w:r>
                    <w:rPr>
                      <w:rFonts w:hint="eastAsia"/>
                      <w:bCs/>
                      <w:color w:val="auto"/>
                      <w:sz w:val="18"/>
                      <w:szCs w:val="18"/>
                    </w:rPr>
                    <w:t>（</w:t>
                  </w:r>
                  <w:r>
                    <w:rPr>
                      <w:bCs/>
                      <w:color w:val="auto"/>
                      <w:sz w:val="18"/>
                      <w:szCs w:val="18"/>
                    </w:rPr>
                    <w:t>1</w:t>
                  </w:r>
                  <w:r>
                    <w:rPr>
                      <w:rFonts w:hint="eastAsia"/>
                      <w:bCs/>
                      <w:color w:val="auto"/>
                      <w:sz w:val="18"/>
                      <w:szCs w:val="18"/>
                    </w:rPr>
                    <w:t>）禁止新建纯电镀项目，禁止新引进含印染的项目。需要配套电镀工序的企业、拟保留的少量印染企业按照《江苏省太湖水污染防治条例》第四十三条和第四十六条的规定执行；</w:t>
                  </w:r>
                </w:p>
                <w:p>
                  <w:pPr>
                    <w:tabs>
                      <w:tab w:val="left" w:pos="862"/>
                      <w:tab w:val="left" w:pos="4152"/>
                      <w:tab w:val="center" w:pos="6979"/>
                    </w:tabs>
                    <w:jc w:val="left"/>
                    <w:rPr>
                      <w:bCs/>
                      <w:color w:val="auto"/>
                      <w:sz w:val="18"/>
                      <w:szCs w:val="18"/>
                    </w:rPr>
                  </w:pPr>
                  <w:r>
                    <w:rPr>
                      <w:rFonts w:hint="eastAsia"/>
                      <w:bCs/>
                      <w:color w:val="auto"/>
                      <w:sz w:val="18"/>
                      <w:szCs w:val="18"/>
                    </w:rPr>
                    <w:t>（2）新材料产业：含化学反应的合成材料生产项目，含湿法刻蚀等污染较重工艺的光电材料生产项目，含铸造、冶炼工艺的金属材料生产项目；</w:t>
                  </w:r>
                </w:p>
                <w:p>
                  <w:pPr>
                    <w:tabs>
                      <w:tab w:val="left" w:pos="862"/>
                      <w:tab w:val="left" w:pos="4152"/>
                      <w:tab w:val="center" w:pos="6979"/>
                    </w:tabs>
                    <w:jc w:val="left"/>
                    <w:rPr>
                      <w:bCs/>
                      <w:color w:val="auto"/>
                      <w:sz w:val="18"/>
                      <w:szCs w:val="18"/>
                    </w:rPr>
                  </w:pPr>
                  <w:r>
                    <w:rPr>
                      <w:rFonts w:hint="eastAsia"/>
                      <w:bCs/>
                      <w:color w:val="auto"/>
                      <w:sz w:val="18"/>
                      <w:szCs w:val="18"/>
                    </w:rPr>
                    <w:t>（</w:t>
                  </w:r>
                  <w:r>
                    <w:rPr>
                      <w:bCs/>
                      <w:color w:val="auto"/>
                      <w:sz w:val="18"/>
                      <w:szCs w:val="18"/>
                    </w:rPr>
                    <w:t>3</w:t>
                  </w:r>
                  <w:r>
                    <w:rPr>
                      <w:rFonts w:hint="eastAsia"/>
                      <w:bCs/>
                      <w:color w:val="auto"/>
                      <w:sz w:val="18"/>
                      <w:szCs w:val="18"/>
                    </w:rPr>
                    <w:t>）电子信息产业：项多晶硅、单晶硅前道生产项目，综合电耗大于200千瓦时/千克的太阳能级多晶硅生产，硅片年产能低于5000万片的项目，晶硅电池年产能低于200MWp的项目，晶硅电池组件年产能低于200MWp的项目，线路板拆解目；</w:t>
                  </w:r>
                </w:p>
                <w:p>
                  <w:pPr>
                    <w:tabs>
                      <w:tab w:val="left" w:pos="862"/>
                      <w:tab w:val="left" w:pos="4152"/>
                      <w:tab w:val="center" w:pos="6979"/>
                    </w:tabs>
                    <w:jc w:val="left"/>
                    <w:rPr>
                      <w:bCs/>
                      <w:color w:val="auto"/>
                      <w:sz w:val="18"/>
                      <w:szCs w:val="18"/>
                    </w:rPr>
                  </w:pPr>
                  <w:r>
                    <w:rPr>
                      <w:rFonts w:hint="eastAsia"/>
                      <w:bCs/>
                      <w:color w:val="auto"/>
                      <w:sz w:val="18"/>
                      <w:szCs w:val="18"/>
                    </w:rPr>
                    <w:t>（</w:t>
                  </w:r>
                  <w:r>
                    <w:rPr>
                      <w:bCs/>
                      <w:color w:val="auto"/>
                      <w:sz w:val="18"/>
                      <w:szCs w:val="18"/>
                    </w:rPr>
                    <w:t>4</w:t>
                  </w:r>
                  <w:r>
                    <w:rPr>
                      <w:rFonts w:hint="eastAsia"/>
                      <w:bCs/>
                      <w:color w:val="auto"/>
                      <w:sz w:val="18"/>
                      <w:szCs w:val="18"/>
                    </w:rPr>
                    <w:t>）生物医药及生物医药研发产业：化学合成的原药生产的项目；</w:t>
                  </w:r>
                </w:p>
                <w:p>
                  <w:pPr>
                    <w:tabs>
                      <w:tab w:val="left" w:pos="862"/>
                      <w:tab w:val="left" w:pos="4152"/>
                      <w:tab w:val="center" w:pos="6979"/>
                    </w:tabs>
                    <w:jc w:val="left"/>
                    <w:rPr>
                      <w:snapToGrid w:val="0"/>
                      <w:color w:val="auto"/>
                      <w:sz w:val="18"/>
                      <w:szCs w:val="18"/>
                    </w:rPr>
                  </w:pPr>
                  <w:r>
                    <w:rPr>
                      <w:rFonts w:hint="eastAsia"/>
                      <w:bCs/>
                      <w:color w:val="auto"/>
                      <w:sz w:val="18"/>
                      <w:szCs w:val="18"/>
                    </w:rPr>
                    <w:t>（</w:t>
                  </w:r>
                  <w:r>
                    <w:rPr>
                      <w:bCs/>
                      <w:color w:val="auto"/>
                      <w:sz w:val="18"/>
                      <w:szCs w:val="18"/>
                    </w:rPr>
                    <w:t>5</w:t>
                  </w:r>
                  <w:r>
                    <w:rPr>
                      <w:rFonts w:hint="eastAsia"/>
                      <w:bCs/>
                      <w:color w:val="auto"/>
                      <w:sz w:val="18"/>
                      <w:szCs w:val="18"/>
                    </w:rPr>
                    <w:t>）其他：产能过剩项目；《环境保护综合名录（2017年版）》“高污染、高环境风险”产品；生产工艺或设备落后，不符合国家相关产业政策、达不到规模经济的项目；金属或非金属表面处理外加工产业（不包括电子、汽车及零部件、机械等产业生产工艺流程中必备的磷化、喷涂、电涌等工序）；化工、造纸、印染、钢铁、水泥等高耗能高污染项目；不符合园区定位或国家明令禁止、淘汰的企业。</w:t>
                  </w:r>
                </w:p>
              </w:tc>
              <w:tc>
                <w:tcPr>
                  <w:tcW w:w="1742" w:type="pct"/>
                  <w:vAlign w:val="center"/>
                </w:tcPr>
                <w:p>
                  <w:pPr>
                    <w:adjustRightInd w:val="0"/>
                    <w:snapToGrid w:val="0"/>
                    <w:jc w:val="center"/>
                    <w:rPr>
                      <w:snapToGrid w:val="0"/>
                      <w:color w:val="auto"/>
                      <w:sz w:val="18"/>
                      <w:szCs w:val="18"/>
                    </w:rPr>
                  </w:pPr>
                  <w:r>
                    <w:rPr>
                      <w:rFonts w:hint="eastAsia"/>
                      <w:snapToGrid w:val="0"/>
                      <w:color w:val="auto"/>
                      <w:sz w:val="18"/>
                      <w:szCs w:val="18"/>
                    </w:rPr>
                    <w:t>本项目不属于禁止引入类别</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0" w:type="pct"/>
                  <w:vAlign w:val="center"/>
                </w:tcPr>
                <w:p>
                  <w:pPr>
                    <w:tabs>
                      <w:tab w:val="left" w:pos="862"/>
                      <w:tab w:val="left" w:pos="4152"/>
                      <w:tab w:val="center" w:pos="6979"/>
                    </w:tabs>
                    <w:adjustRightInd w:val="0"/>
                    <w:snapToGrid w:val="0"/>
                    <w:jc w:val="center"/>
                    <w:rPr>
                      <w:bCs/>
                      <w:color w:val="auto"/>
                      <w:sz w:val="18"/>
                      <w:szCs w:val="18"/>
                    </w:rPr>
                  </w:pPr>
                  <w:r>
                    <w:rPr>
                      <w:rFonts w:hint="eastAsia"/>
                      <w:bCs/>
                      <w:color w:val="auto"/>
                      <w:sz w:val="18"/>
                      <w:szCs w:val="18"/>
                    </w:rPr>
                    <w:t>环境风险管控</w:t>
                  </w:r>
                </w:p>
              </w:tc>
              <w:tc>
                <w:tcPr>
                  <w:tcW w:w="2816" w:type="pct"/>
                  <w:vAlign w:val="center"/>
                </w:tcPr>
                <w:p>
                  <w:pPr>
                    <w:tabs>
                      <w:tab w:val="left" w:pos="862"/>
                      <w:tab w:val="left" w:pos="4152"/>
                      <w:tab w:val="center" w:pos="6979"/>
                    </w:tabs>
                    <w:jc w:val="left"/>
                    <w:rPr>
                      <w:snapToGrid w:val="0"/>
                      <w:color w:val="auto"/>
                      <w:sz w:val="18"/>
                      <w:szCs w:val="18"/>
                    </w:rPr>
                  </w:pPr>
                  <w:r>
                    <w:rPr>
                      <w:bCs/>
                      <w:color w:val="auto"/>
                      <w:sz w:val="18"/>
                      <w:szCs w:val="18"/>
                    </w:rPr>
                    <w:t>根据《关于进一步加强环境影响评价管理防范环境风险的通知》（环发〔2012〕77号）的相关内容，对存在较大环境风险的相关建设项目，应严格按照</w:t>
                  </w:r>
                  <w:r>
                    <w:rPr>
                      <w:rFonts w:hint="eastAsia"/>
                      <w:bCs/>
                      <w:color w:val="auto"/>
                      <w:sz w:val="18"/>
                      <w:szCs w:val="18"/>
                    </w:rPr>
                    <w:t>《环境影响评价公众参与办法》（2018年部令第4号）</w:t>
                  </w:r>
                  <w:r>
                    <w:rPr>
                      <w:bCs/>
                      <w:color w:val="auto"/>
                      <w:sz w:val="18"/>
                      <w:szCs w:val="18"/>
                    </w:rPr>
                    <w:t>做好环境影响评价公众参与工作。开发区企业应制定环境应急预案，明确环境风险防范措施，建设并完善日常和应急监测系统，配备大气、水环境特征污染物监控设备，编制日常和应急监测方案，建立完备的环境信息平台，接受公众监督。</w:t>
                  </w:r>
                </w:p>
              </w:tc>
              <w:tc>
                <w:tcPr>
                  <w:tcW w:w="1742" w:type="pct"/>
                  <w:vAlign w:val="center"/>
                </w:tcPr>
                <w:p>
                  <w:pPr>
                    <w:adjustRightInd w:val="0"/>
                    <w:snapToGrid w:val="0"/>
                    <w:jc w:val="center"/>
                    <w:rPr>
                      <w:snapToGrid w:val="0"/>
                      <w:color w:val="auto"/>
                      <w:sz w:val="18"/>
                      <w:szCs w:val="18"/>
                    </w:rPr>
                  </w:pPr>
                  <w:r>
                    <w:rPr>
                      <w:rFonts w:hint="eastAsia"/>
                      <w:bCs/>
                      <w:color w:val="auto"/>
                      <w:sz w:val="18"/>
                      <w:szCs w:val="21"/>
                    </w:rPr>
                    <w:t>日常生产过程中加强风险物质的管理，同时加强环保设施的维护与保养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0" w:type="pct"/>
                  <w:vAlign w:val="center"/>
                </w:tcPr>
                <w:p>
                  <w:pPr>
                    <w:tabs>
                      <w:tab w:val="left" w:pos="862"/>
                      <w:tab w:val="left" w:pos="4152"/>
                      <w:tab w:val="center" w:pos="6979"/>
                    </w:tabs>
                    <w:adjustRightInd w:val="0"/>
                    <w:snapToGrid w:val="0"/>
                    <w:jc w:val="center"/>
                    <w:rPr>
                      <w:bCs/>
                      <w:color w:val="auto"/>
                      <w:sz w:val="18"/>
                      <w:szCs w:val="18"/>
                    </w:rPr>
                  </w:pPr>
                  <w:r>
                    <w:rPr>
                      <w:rFonts w:hint="eastAsia"/>
                      <w:bCs/>
                      <w:color w:val="auto"/>
                      <w:sz w:val="18"/>
                      <w:szCs w:val="18"/>
                    </w:rPr>
                    <w:t>资源开发利用要求</w:t>
                  </w:r>
                </w:p>
              </w:tc>
              <w:tc>
                <w:tcPr>
                  <w:tcW w:w="2816" w:type="pct"/>
                  <w:vAlign w:val="center"/>
                </w:tcPr>
                <w:p>
                  <w:pPr>
                    <w:tabs>
                      <w:tab w:val="left" w:pos="862"/>
                      <w:tab w:val="left" w:pos="4152"/>
                      <w:tab w:val="center" w:pos="6979"/>
                    </w:tabs>
                    <w:jc w:val="left"/>
                    <w:rPr>
                      <w:bCs/>
                      <w:color w:val="auto"/>
                      <w:sz w:val="18"/>
                      <w:szCs w:val="18"/>
                    </w:rPr>
                  </w:pPr>
                  <w:r>
                    <w:rPr>
                      <w:bCs/>
                      <w:color w:val="auto"/>
                      <w:sz w:val="18"/>
                      <w:szCs w:val="18"/>
                    </w:rPr>
                    <w:t>（1）单位工业增加值新鲜水耗不高于8吨/万元；</w:t>
                  </w:r>
                </w:p>
                <w:p>
                  <w:pPr>
                    <w:tabs>
                      <w:tab w:val="left" w:pos="862"/>
                      <w:tab w:val="left" w:pos="4152"/>
                      <w:tab w:val="center" w:pos="6979"/>
                    </w:tabs>
                    <w:jc w:val="left"/>
                    <w:rPr>
                      <w:bCs/>
                      <w:color w:val="auto"/>
                      <w:sz w:val="18"/>
                      <w:szCs w:val="18"/>
                    </w:rPr>
                  </w:pPr>
                  <w:r>
                    <w:rPr>
                      <w:bCs/>
                      <w:color w:val="auto"/>
                      <w:sz w:val="18"/>
                      <w:szCs w:val="18"/>
                    </w:rPr>
                    <w:t>（2）土地资源总量上限不高于66.4062平方公里；</w:t>
                  </w:r>
                </w:p>
                <w:p>
                  <w:pPr>
                    <w:tabs>
                      <w:tab w:val="left" w:pos="862"/>
                      <w:tab w:val="left" w:pos="4152"/>
                      <w:tab w:val="center" w:pos="6979"/>
                    </w:tabs>
                    <w:jc w:val="left"/>
                    <w:rPr>
                      <w:bCs/>
                      <w:color w:val="auto"/>
                      <w:sz w:val="18"/>
                      <w:szCs w:val="18"/>
                    </w:rPr>
                  </w:pPr>
                  <w:r>
                    <w:rPr>
                      <w:bCs/>
                      <w:color w:val="auto"/>
                      <w:sz w:val="18"/>
                      <w:szCs w:val="18"/>
                    </w:rPr>
                    <w:t>（3）建设用地总量上限不高于38.32平方公里；</w:t>
                  </w:r>
                </w:p>
                <w:p>
                  <w:pPr>
                    <w:tabs>
                      <w:tab w:val="left" w:pos="862"/>
                      <w:tab w:val="left" w:pos="4152"/>
                      <w:tab w:val="center" w:pos="6979"/>
                    </w:tabs>
                    <w:jc w:val="left"/>
                    <w:rPr>
                      <w:bCs/>
                      <w:color w:val="auto"/>
                      <w:sz w:val="18"/>
                      <w:szCs w:val="18"/>
                    </w:rPr>
                  </w:pPr>
                  <w:r>
                    <w:rPr>
                      <w:bCs/>
                      <w:color w:val="auto"/>
                      <w:sz w:val="18"/>
                      <w:szCs w:val="18"/>
                    </w:rPr>
                    <w:t>（4）工业用地及仓储用地总量不高于10.86平方公里；</w:t>
                  </w:r>
                </w:p>
                <w:p>
                  <w:pPr>
                    <w:tabs>
                      <w:tab w:val="left" w:pos="862"/>
                      <w:tab w:val="left" w:pos="4152"/>
                      <w:tab w:val="center" w:pos="6979"/>
                    </w:tabs>
                    <w:jc w:val="left"/>
                    <w:rPr>
                      <w:snapToGrid w:val="0"/>
                      <w:color w:val="auto"/>
                      <w:sz w:val="18"/>
                      <w:szCs w:val="18"/>
                    </w:rPr>
                  </w:pPr>
                  <w:r>
                    <w:rPr>
                      <w:bCs/>
                      <w:color w:val="auto"/>
                      <w:sz w:val="18"/>
                      <w:szCs w:val="18"/>
                    </w:rPr>
                    <w:t>（5）单位工业增加值综合能耗不高于0.5吨标煤/万元。</w:t>
                  </w:r>
                </w:p>
              </w:tc>
              <w:tc>
                <w:tcPr>
                  <w:tcW w:w="1742" w:type="pct"/>
                  <w:vAlign w:val="center"/>
                </w:tcPr>
                <w:p>
                  <w:pPr>
                    <w:adjustRightInd w:val="0"/>
                    <w:snapToGrid w:val="0"/>
                    <w:jc w:val="center"/>
                    <w:rPr>
                      <w:snapToGrid w:val="0"/>
                      <w:color w:val="auto"/>
                      <w:sz w:val="18"/>
                      <w:szCs w:val="18"/>
                    </w:rPr>
                  </w:pPr>
                  <w:r>
                    <w:rPr>
                      <w:snapToGrid w:val="0"/>
                      <w:color w:val="auto"/>
                      <w:sz w:val="18"/>
                      <w:szCs w:val="18"/>
                    </w:rPr>
                    <w:t>项目</w:t>
                  </w:r>
                  <w:r>
                    <w:rPr>
                      <w:rFonts w:hint="eastAsia"/>
                      <w:snapToGrid w:val="0"/>
                      <w:color w:val="auto"/>
                      <w:sz w:val="18"/>
                      <w:szCs w:val="18"/>
                    </w:rPr>
                    <w:t>单位工业增加值新鲜水耗小于8t</w:t>
                  </w:r>
                  <w:r>
                    <w:rPr>
                      <w:snapToGrid w:val="0"/>
                      <w:color w:val="auto"/>
                      <w:sz w:val="18"/>
                      <w:szCs w:val="18"/>
                    </w:rPr>
                    <w:t>/</w:t>
                  </w:r>
                  <w:r>
                    <w:rPr>
                      <w:rFonts w:hint="eastAsia"/>
                      <w:snapToGrid w:val="0"/>
                      <w:color w:val="auto"/>
                      <w:sz w:val="18"/>
                      <w:szCs w:val="18"/>
                    </w:rPr>
                    <w:t>万元；利用租赁方现有厂房进行生产，不新增土地资源、建设用地、工业用地及仓储用地总量；单位工业增加值综合能耗为0.041吨标煤/万元。</w:t>
                  </w:r>
                </w:p>
              </w:tc>
            </w:tr>
          </w:tbl>
          <w:p>
            <w:pPr>
              <w:autoSpaceDE w:val="0"/>
              <w:autoSpaceDN w:val="0"/>
              <w:adjustRightInd w:val="0"/>
              <w:snapToGrid w:val="0"/>
              <w:spacing w:before="120" w:beforeLines="50" w:line="360" w:lineRule="auto"/>
              <w:ind w:firstLine="420" w:firstLineChars="200"/>
              <w:rPr>
                <w:color w:val="auto"/>
                <w:kern w:val="0"/>
                <w:szCs w:val="21"/>
              </w:rPr>
            </w:pPr>
            <w:r>
              <w:rPr>
                <w:color w:val="auto"/>
                <w:kern w:val="0"/>
                <w:szCs w:val="21"/>
              </w:rPr>
              <w:t>（5）与《省政府关于印发江苏省“三线一单”生态环境分区管控方案的通知》（苏政发[2020]49号）、《关于印发苏州市“三线一单”生态环境分区管控实施方案的通知》（苏环办字[2020]313号）相符</w:t>
            </w:r>
            <w:r>
              <w:rPr>
                <w:color w:val="auto"/>
                <w:kern w:val="0"/>
                <w:szCs w:val="21"/>
              </w:rPr>
              <w:t>性分析</w:t>
            </w:r>
          </w:p>
          <w:p>
            <w:pPr>
              <w:autoSpaceDE w:val="0"/>
              <w:autoSpaceDN w:val="0"/>
              <w:adjustRightInd w:val="0"/>
              <w:snapToGrid w:val="0"/>
              <w:spacing w:line="360" w:lineRule="auto"/>
              <w:ind w:firstLine="420" w:firstLineChars="200"/>
              <w:rPr>
                <w:color w:val="auto"/>
                <w:kern w:val="0"/>
                <w:szCs w:val="21"/>
              </w:rPr>
            </w:pPr>
            <w:r>
              <w:rPr>
                <w:color w:val="auto"/>
                <w:kern w:val="0"/>
                <w:szCs w:val="21"/>
              </w:rPr>
              <w:t>根据《省政府关于印发江苏省“三线一单”生态环境分区管控方案的通知》（苏政发[2020]49号）、《关于印发苏州市“三线一单”生态环境分区管控实施方案的通知》（苏环办字[2020]313号），</w:t>
            </w:r>
            <w:r>
              <w:rPr>
                <w:bCs/>
                <w:color w:val="auto"/>
              </w:rPr>
              <w:t>本</w:t>
            </w:r>
            <w:r>
              <w:rPr>
                <w:color w:val="auto"/>
                <w:kern w:val="0"/>
                <w:szCs w:val="21"/>
              </w:rPr>
              <w:t>项目位于</w:t>
            </w:r>
            <w:r>
              <w:rPr>
                <w:rFonts w:hint="eastAsia"/>
                <w:color w:val="auto"/>
                <w:szCs w:val="21"/>
              </w:rPr>
              <w:t>太仓市城厢镇东亭北路128号9幢</w:t>
            </w:r>
            <w:r>
              <w:rPr>
                <w:color w:val="auto"/>
                <w:kern w:val="0"/>
                <w:szCs w:val="21"/>
              </w:rPr>
              <w:t>，</w:t>
            </w:r>
            <w:r>
              <w:rPr>
                <w:rFonts w:hint="eastAsia"/>
                <w:color w:val="auto"/>
                <w:kern w:val="0"/>
                <w:szCs w:val="21"/>
              </w:rPr>
              <w:t>位于江苏省太仓高新技术产业开发区，</w:t>
            </w:r>
            <w:r>
              <w:rPr>
                <w:color w:val="auto"/>
                <w:kern w:val="0"/>
                <w:szCs w:val="21"/>
              </w:rPr>
              <w:t>属于重点管控单元，重点管控单元指涉及水、大气、土壤、自然资源等资源环境要素重点管控的区域，主要包括人口密集的中心城区和各级各类产业聚集的工业园区（工业集中区），全市划分重点管控单元240个。重点管控单元主要推进产业布局优化、转型升级，不断提高资源利用效率，加强污染物排放控制和环境风险防控，解决突出生态环境问题。生态环境准入清单见表1-</w:t>
            </w:r>
            <w:r>
              <w:rPr>
                <w:rFonts w:hint="eastAsia"/>
                <w:color w:val="auto"/>
                <w:kern w:val="0"/>
                <w:szCs w:val="21"/>
              </w:rPr>
              <w:t>7</w:t>
            </w:r>
            <w:r>
              <w:rPr>
                <w:color w:val="auto"/>
                <w:kern w:val="0"/>
                <w:szCs w:val="21"/>
              </w:rPr>
              <w:t>。</w:t>
            </w:r>
          </w:p>
          <w:p>
            <w:pPr>
              <w:pStyle w:val="15"/>
              <w:adjustRightInd w:val="0"/>
              <w:spacing w:before="0" w:after="0" w:line="240" w:lineRule="auto"/>
              <w:ind w:right="0"/>
              <w:jc w:val="center"/>
              <w:rPr>
                <w:color w:val="auto"/>
                <w:sz w:val="21"/>
                <w:szCs w:val="21"/>
              </w:rPr>
            </w:pPr>
            <w:r>
              <w:rPr>
                <w:b/>
                <w:color w:val="auto"/>
                <w:sz w:val="21"/>
                <w:szCs w:val="21"/>
              </w:rPr>
              <w:t>表1-</w:t>
            </w:r>
            <w:r>
              <w:rPr>
                <w:rFonts w:hint="eastAsia"/>
                <w:b/>
                <w:color w:val="auto"/>
                <w:sz w:val="21"/>
                <w:szCs w:val="21"/>
              </w:rPr>
              <w:t>7</w:t>
            </w:r>
            <w:r>
              <w:rPr>
                <w:b/>
                <w:color w:val="auto"/>
                <w:sz w:val="21"/>
                <w:szCs w:val="21"/>
              </w:rPr>
              <w:t xml:space="preserve">   生态环境准入清单</w:t>
            </w:r>
          </w:p>
          <w:tbl>
            <w:tblPr>
              <w:tblStyle w:val="37"/>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658"/>
              <w:gridCol w:w="658"/>
              <w:gridCol w:w="4692"/>
              <w:gridCol w:w="1983"/>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720" w:hRule="atLeast"/>
                <w:jc w:val="center"/>
              </w:trPr>
              <w:tc>
                <w:tcPr>
                  <w:tcW w:w="1312" w:type="dxa"/>
                  <w:gridSpan w:val="2"/>
                  <w:vAlign w:val="center"/>
                </w:tcPr>
                <w:p>
                  <w:pPr>
                    <w:autoSpaceDE w:val="0"/>
                    <w:autoSpaceDN w:val="0"/>
                    <w:adjustRightInd w:val="0"/>
                    <w:snapToGrid w:val="0"/>
                    <w:jc w:val="center"/>
                    <w:rPr>
                      <w:b/>
                      <w:color w:val="auto"/>
                      <w:kern w:val="0"/>
                      <w:sz w:val="18"/>
                      <w:szCs w:val="18"/>
                    </w:rPr>
                  </w:pPr>
                  <w:r>
                    <w:rPr>
                      <w:b/>
                      <w:color w:val="auto"/>
                      <w:kern w:val="0"/>
                      <w:sz w:val="18"/>
                      <w:szCs w:val="18"/>
                    </w:rPr>
                    <w:t>环境管控单元名称</w:t>
                  </w:r>
                </w:p>
              </w:tc>
              <w:tc>
                <w:tcPr>
                  <w:tcW w:w="4677" w:type="dxa"/>
                  <w:vAlign w:val="center"/>
                </w:tcPr>
                <w:p>
                  <w:pPr>
                    <w:autoSpaceDE w:val="0"/>
                    <w:autoSpaceDN w:val="0"/>
                    <w:adjustRightInd w:val="0"/>
                    <w:snapToGrid w:val="0"/>
                    <w:jc w:val="center"/>
                    <w:rPr>
                      <w:b/>
                      <w:color w:val="auto"/>
                      <w:kern w:val="0"/>
                      <w:sz w:val="18"/>
                      <w:szCs w:val="18"/>
                    </w:rPr>
                  </w:pPr>
                  <w:r>
                    <w:rPr>
                      <w:rFonts w:hint="eastAsia"/>
                      <w:b/>
                      <w:color w:val="auto"/>
                      <w:kern w:val="0"/>
                      <w:sz w:val="18"/>
                      <w:szCs w:val="18"/>
                    </w:rPr>
                    <w:t>江苏省太仓高新技术产业开发区</w:t>
                  </w:r>
                </w:p>
              </w:tc>
              <w:tc>
                <w:tcPr>
                  <w:tcW w:w="1976" w:type="dxa"/>
                  <w:vAlign w:val="center"/>
                </w:tcPr>
                <w:p>
                  <w:pPr>
                    <w:autoSpaceDE w:val="0"/>
                    <w:autoSpaceDN w:val="0"/>
                    <w:adjustRightInd w:val="0"/>
                    <w:snapToGrid w:val="0"/>
                    <w:jc w:val="center"/>
                    <w:rPr>
                      <w:b/>
                      <w:color w:val="auto"/>
                      <w:kern w:val="0"/>
                      <w:sz w:val="18"/>
                      <w:szCs w:val="18"/>
                    </w:rPr>
                  </w:pPr>
                  <w:r>
                    <w:rPr>
                      <w:rFonts w:hint="eastAsia"/>
                      <w:b/>
                      <w:color w:val="auto"/>
                      <w:kern w:val="0"/>
                      <w:sz w:val="18"/>
                      <w:szCs w:val="18"/>
                    </w:rPr>
                    <w:t>相符性</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656" w:type="dxa"/>
                  <w:vMerge w:val="restart"/>
                  <w:vAlign w:val="center"/>
                </w:tcPr>
                <w:p>
                  <w:pPr>
                    <w:autoSpaceDE w:val="0"/>
                    <w:autoSpaceDN w:val="0"/>
                    <w:adjustRightInd w:val="0"/>
                    <w:snapToGrid w:val="0"/>
                    <w:jc w:val="center"/>
                    <w:rPr>
                      <w:color w:val="auto"/>
                      <w:kern w:val="0"/>
                      <w:sz w:val="18"/>
                      <w:szCs w:val="18"/>
                    </w:rPr>
                  </w:pPr>
                  <w:r>
                    <w:rPr>
                      <w:b/>
                      <w:color w:val="auto"/>
                      <w:kern w:val="0"/>
                      <w:sz w:val="18"/>
                      <w:szCs w:val="18"/>
                    </w:rPr>
                    <w:t>生态环境准入清单</w:t>
                  </w:r>
                </w:p>
              </w:tc>
              <w:tc>
                <w:tcPr>
                  <w:tcW w:w="656" w:type="dxa"/>
                  <w:vAlign w:val="center"/>
                </w:tcPr>
                <w:p>
                  <w:pPr>
                    <w:autoSpaceDE w:val="0"/>
                    <w:autoSpaceDN w:val="0"/>
                    <w:adjustRightInd w:val="0"/>
                    <w:snapToGrid w:val="0"/>
                    <w:jc w:val="center"/>
                    <w:rPr>
                      <w:color w:val="auto"/>
                      <w:kern w:val="0"/>
                      <w:sz w:val="18"/>
                      <w:szCs w:val="18"/>
                    </w:rPr>
                  </w:pPr>
                  <w:r>
                    <w:rPr>
                      <w:b/>
                      <w:color w:val="auto"/>
                      <w:kern w:val="0"/>
                      <w:sz w:val="18"/>
                      <w:szCs w:val="18"/>
                    </w:rPr>
                    <w:t>空间布局约束</w:t>
                  </w:r>
                </w:p>
              </w:tc>
              <w:tc>
                <w:tcPr>
                  <w:tcW w:w="4677" w:type="dxa"/>
                  <w:vAlign w:val="center"/>
                </w:tcPr>
                <w:p>
                  <w:pPr>
                    <w:autoSpaceDE w:val="0"/>
                    <w:autoSpaceDN w:val="0"/>
                    <w:adjustRightInd w:val="0"/>
                    <w:snapToGrid w:val="0"/>
                    <w:rPr>
                      <w:color w:val="auto"/>
                      <w:kern w:val="0"/>
                      <w:sz w:val="18"/>
                      <w:szCs w:val="18"/>
                    </w:rPr>
                  </w:pPr>
                  <w:r>
                    <w:rPr>
                      <w:rFonts w:hint="eastAsia"/>
                      <w:color w:val="auto"/>
                      <w:kern w:val="0"/>
                      <w:sz w:val="18"/>
                      <w:szCs w:val="18"/>
                    </w:rPr>
                    <w:t>（1）禁止引进列入《产业结构调整指导目录》《江苏省工业和信息产业结构调整指导目录》《江苏省工业和信息产业结构调整、限制、淘汰目录及能耗限额》淘汰类的产业；禁止引进列入《外商投资产业指导目录》禁止类的产业。</w:t>
                  </w:r>
                </w:p>
                <w:p>
                  <w:pPr>
                    <w:autoSpaceDE w:val="0"/>
                    <w:autoSpaceDN w:val="0"/>
                    <w:adjustRightInd w:val="0"/>
                    <w:snapToGrid w:val="0"/>
                    <w:rPr>
                      <w:color w:val="auto"/>
                      <w:kern w:val="0"/>
                      <w:sz w:val="18"/>
                      <w:szCs w:val="18"/>
                    </w:rPr>
                  </w:pPr>
                  <w:r>
                    <w:rPr>
                      <w:rFonts w:hint="eastAsia"/>
                      <w:color w:val="auto"/>
                      <w:kern w:val="0"/>
                      <w:sz w:val="18"/>
                      <w:szCs w:val="18"/>
                    </w:rPr>
                    <w:t>（2）严格执行园区总体规划及规划环评中提出的空间布局和产业准入要求，禁止引进不符合园区产业定位的项目。</w:t>
                  </w:r>
                </w:p>
                <w:p>
                  <w:pPr>
                    <w:autoSpaceDE w:val="0"/>
                    <w:autoSpaceDN w:val="0"/>
                    <w:adjustRightInd w:val="0"/>
                    <w:snapToGrid w:val="0"/>
                    <w:rPr>
                      <w:color w:val="auto"/>
                      <w:kern w:val="0"/>
                      <w:sz w:val="18"/>
                      <w:szCs w:val="18"/>
                    </w:rPr>
                  </w:pPr>
                  <w:r>
                    <w:rPr>
                      <w:rFonts w:hint="eastAsia"/>
                      <w:color w:val="auto"/>
                      <w:kern w:val="0"/>
                      <w:sz w:val="18"/>
                      <w:szCs w:val="18"/>
                    </w:rPr>
                    <w:t>（3）严格执行《江苏省太湖水污染防治条例》的分级保护要求，禁止引进不符合《条例》要求的项目。</w:t>
                  </w:r>
                </w:p>
                <w:p>
                  <w:pPr>
                    <w:autoSpaceDE w:val="0"/>
                    <w:autoSpaceDN w:val="0"/>
                    <w:adjustRightInd w:val="0"/>
                    <w:snapToGrid w:val="0"/>
                    <w:rPr>
                      <w:color w:val="auto"/>
                      <w:kern w:val="0"/>
                      <w:sz w:val="18"/>
                      <w:szCs w:val="18"/>
                    </w:rPr>
                  </w:pPr>
                  <w:r>
                    <w:rPr>
                      <w:rFonts w:hint="eastAsia"/>
                      <w:color w:val="auto"/>
                      <w:kern w:val="0"/>
                      <w:sz w:val="18"/>
                      <w:szCs w:val="18"/>
                    </w:rPr>
                    <w:t>（4）严格执行《阳澄湖水源水质保护条例》相关管控要求。</w:t>
                  </w:r>
                </w:p>
                <w:p>
                  <w:pPr>
                    <w:autoSpaceDE w:val="0"/>
                    <w:autoSpaceDN w:val="0"/>
                    <w:adjustRightInd w:val="0"/>
                    <w:snapToGrid w:val="0"/>
                    <w:rPr>
                      <w:color w:val="auto"/>
                      <w:kern w:val="0"/>
                      <w:sz w:val="18"/>
                      <w:szCs w:val="18"/>
                    </w:rPr>
                  </w:pPr>
                  <w:r>
                    <w:rPr>
                      <w:rFonts w:hint="eastAsia"/>
                      <w:color w:val="auto"/>
                      <w:kern w:val="0"/>
                      <w:sz w:val="18"/>
                      <w:szCs w:val="18"/>
                    </w:rPr>
                    <w:t>（5）严格执行《中华人民共和国长江保护法》。</w:t>
                  </w:r>
                </w:p>
                <w:p>
                  <w:pPr>
                    <w:autoSpaceDE w:val="0"/>
                    <w:autoSpaceDN w:val="0"/>
                    <w:adjustRightInd w:val="0"/>
                    <w:snapToGrid w:val="0"/>
                    <w:rPr>
                      <w:color w:val="auto"/>
                      <w:kern w:val="0"/>
                      <w:sz w:val="18"/>
                      <w:szCs w:val="18"/>
                    </w:rPr>
                  </w:pPr>
                  <w:r>
                    <w:rPr>
                      <w:rFonts w:hint="eastAsia"/>
                      <w:color w:val="auto"/>
                      <w:kern w:val="0"/>
                      <w:sz w:val="18"/>
                      <w:szCs w:val="18"/>
                    </w:rPr>
                    <w:t xml:space="preserve">（6）禁止引进列入上级生态环境负面清单的项目。 </w:t>
                  </w:r>
                </w:p>
              </w:tc>
              <w:tc>
                <w:tcPr>
                  <w:tcW w:w="1976" w:type="dxa"/>
                  <w:vAlign w:val="center"/>
                </w:tcPr>
                <w:p>
                  <w:pPr>
                    <w:autoSpaceDE w:val="0"/>
                    <w:autoSpaceDN w:val="0"/>
                    <w:adjustRightInd w:val="0"/>
                    <w:snapToGrid w:val="0"/>
                    <w:rPr>
                      <w:color w:val="auto"/>
                      <w:kern w:val="0"/>
                      <w:sz w:val="18"/>
                      <w:szCs w:val="18"/>
                    </w:rPr>
                  </w:pPr>
                  <w:r>
                    <w:rPr>
                      <w:rFonts w:hint="eastAsia"/>
                      <w:color w:val="auto"/>
                      <w:kern w:val="0"/>
                      <w:sz w:val="18"/>
                      <w:szCs w:val="18"/>
                    </w:rPr>
                    <w:t>本项目从事橡塑产品制造，不属于禁止类或淘汰类产业，满足产业准入要求。</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656" w:type="dxa"/>
                  <w:vMerge w:val="continue"/>
                  <w:vAlign w:val="center"/>
                </w:tcPr>
                <w:p>
                  <w:pPr>
                    <w:autoSpaceDE w:val="0"/>
                    <w:autoSpaceDN w:val="0"/>
                    <w:adjustRightInd w:val="0"/>
                    <w:snapToGrid w:val="0"/>
                    <w:jc w:val="center"/>
                    <w:rPr>
                      <w:b/>
                      <w:color w:val="auto"/>
                      <w:kern w:val="0"/>
                      <w:sz w:val="18"/>
                      <w:szCs w:val="18"/>
                    </w:rPr>
                  </w:pPr>
                </w:p>
              </w:tc>
              <w:tc>
                <w:tcPr>
                  <w:tcW w:w="656" w:type="dxa"/>
                  <w:vAlign w:val="center"/>
                </w:tcPr>
                <w:p>
                  <w:pPr>
                    <w:autoSpaceDE w:val="0"/>
                    <w:autoSpaceDN w:val="0"/>
                    <w:adjustRightInd w:val="0"/>
                    <w:snapToGrid w:val="0"/>
                    <w:jc w:val="center"/>
                    <w:rPr>
                      <w:b/>
                      <w:color w:val="auto"/>
                      <w:kern w:val="0"/>
                      <w:sz w:val="18"/>
                      <w:szCs w:val="18"/>
                    </w:rPr>
                  </w:pPr>
                  <w:r>
                    <w:rPr>
                      <w:b/>
                      <w:color w:val="auto"/>
                      <w:kern w:val="0"/>
                      <w:sz w:val="18"/>
                      <w:szCs w:val="18"/>
                    </w:rPr>
                    <w:t>污染物排放管控</w:t>
                  </w:r>
                </w:p>
              </w:tc>
              <w:tc>
                <w:tcPr>
                  <w:tcW w:w="4677" w:type="dxa"/>
                  <w:vAlign w:val="center"/>
                </w:tcPr>
                <w:p>
                  <w:pPr>
                    <w:autoSpaceDE w:val="0"/>
                    <w:autoSpaceDN w:val="0"/>
                    <w:adjustRightInd w:val="0"/>
                    <w:snapToGrid w:val="0"/>
                    <w:rPr>
                      <w:color w:val="auto"/>
                      <w:kern w:val="0"/>
                      <w:sz w:val="18"/>
                      <w:szCs w:val="18"/>
                    </w:rPr>
                  </w:pPr>
                  <w:r>
                    <w:rPr>
                      <w:rFonts w:hint="eastAsia"/>
                      <w:color w:val="auto"/>
                      <w:kern w:val="0"/>
                      <w:sz w:val="18"/>
                      <w:szCs w:val="18"/>
                    </w:rPr>
                    <w:t>（1）园区内企业污染物排放应满足相关国家、地方污染物排放标准要求。</w:t>
                  </w:r>
                </w:p>
                <w:p>
                  <w:pPr>
                    <w:autoSpaceDE w:val="0"/>
                    <w:autoSpaceDN w:val="0"/>
                    <w:adjustRightInd w:val="0"/>
                    <w:snapToGrid w:val="0"/>
                    <w:rPr>
                      <w:color w:val="auto"/>
                      <w:kern w:val="0"/>
                      <w:sz w:val="18"/>
                      <w:szCs w:val="18"/>
                    </w:rPr>
                  </w:pPr>
                  <w:r>
                    <w:rPr>
                      <w:rFonts w:hint="eastAsia"/>
                      <w:color w:val="auto"/>
                      <w:kern w:val="0"/>
                      <w:sz w:val="18"/>
                      <w:szCs w:val="18"/>
                    </w:rPr>
                    <w:t>（2）园区污染物排放总量按照园区总体规划、规划环评及审查意见的要求进行管控。</w:t>
                  </w:r>
                </w:p>
                <w:p>
                  <w:pPr>
                    <w:autoSpaceDE w:val="0"/>
                    <w:autoSpaceDN w:val="0"/>
                    <w:adjustRightInd w:val="0"/>
                    <w:snapToGrid w:val="0"/>
                    <w:rPr>
                      <w:color w:val="auto"/>
                      <w:kern w:val="0"/>
                      <w:sz w:val="18"/>
                      <w:szCs w:val="18"/>
                    </w:rPr>
                  </w:pPr>
                  <w:r>
                    <w:rPr>
                      <w:rFonts w:hint="eastAsia"/>
                      <w:color w:val="auto"/>
                      <w:kern w:val="0"/>
                      <w:sz w:val="18"/>
                      <w:szCs w:val="18"/>
                    </w:rPr>
                    <w:t>（3）根据区域环境质量改善目标，采取有效措施减少主要污染物排放总量，确保区域环境质量持续改善。</w:t>
                  </w:r>
                </w:p>
              </w:tc>
              <w:tc>
                <w:tcPr>
                  <w:tcW w:w="1976" w:type="dxa"/>
                  <w:vAlign w:val="center"/>
                </w:tcPr>
                <w:p>
                  <w:pPr>
                    <w:autoSpaceDE w:val="0"/>
                    <w:autoSpaceDN w:val="0"/>
                    <w:adjustRightInd w:val="0"/>
                    <w:snapToGrid w:val="0"/>
                    <w:rPr>
                      <w:color w:val="auto"/>
                      <w:kern w:val="0"/>
                      <w:sz w:val="18"/>
                      <w:szCs w:val="18"/>
                    </w:rPr>
                  </w:pPr>
                  <w:r>
                    <w:rPr>
                      <w:rFonts w:hint="eastAsia"/>
                      <w:color w:val="auto"/>
                      <w:kern w:val="0"/>
                      <w:sz w:val="18"/>
                      <w:szCs w:val="18"/>
                    </w:rPr>
                    <w:t>本项目排放的各污染物满足相关标准要求；本项目新增总量，严格按照相关总量控制制度执行。</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656" w:type="dxa"/>
                  <w:vMerge w:val="continue"/>
                  <w:vAlign w:val="center"/>
                </w:tcPr>
                <w:p>
                  <w:pPr>
                    <w:autoSpaceDE w:val="0"/>
                    <w:autoSpaceDN w:val="0"/>
                    <w:adjustRightInd w:val="0"/>
                    <w:snapToGrid w:val="0"/>
                    <w:jc w:val="center"/>
                    <w:rPr>
                      <w:b/>
                      <w:color w:val="auto"/>
                      <w:kern w:val="0"/>
                      <w:sz w:val="18"/>
                      <w:szCs w:val="18"/>
                    </w:rPr>
                  </w:pPr>
                </w:p>
              </w:tc>
              <w:tc>
                <w:tcPr>
                  <w:tcW w:w="656" w:type="dxa"/>
                  <w:vAlign w:val="center"/>
                </w:tcPr>
                <w:p>
                  <w:pPr>
                    <w:autoSpaceDE w:val="0"/>
                    <w:autoSpaceDN w:val="0"/>
                    <w:adjustRightInd w:val="0"/>
                    <w:snapToGrid w:val="0"/>
                    <w:jc w:val="center"/>
                    <w:rPr>
                      <w:b/>
                      <w:color w:val="auto"/>
                      <w:kern w:val="0"/>
                      <w:sz w:val="18"/>
                      <w:szCs w:val="18"/>
                    </w:rPr>
                  </w:pPr>
                  <w:r>
                    <w:rPr>
                      <w:b/>
                      <w:color w:val="auto"/>
                      <w:kern w:val="0"/>
                      <w:sz w:val="18"/>
                      <w:szCs w:val="18"/>
                    </w:rPr>
                    <w:t>环境风险防控</w:t>
                  </w:r>
                </w:p>
              </w:tc>
              <w:tc>
                <w:tcPr>
                  <w:tcW w:w="4677" w:type="dxa"/>
                  <w:vAlign w:val="center"/>
                </w:tcPr>
                <w:p>
                  <w:pPr>
                    <w:autoSpaceDE w:val="0"/>
                    <w:autoSpaceDN w:val="0"/>
                    <w:adjustRightInd w:val="0"/>
                    <w:snapToGrid w:val="0"/>
                    <w:rPr>
                      <w:color w:val="auto"/>
                      <w:kern w:val="0"/>
                      <w:sz w:val="18"/>
                      <w:szCs w:val="18"/>
                    </w:rPr>
                  </w:pPr>
                  <w:r>
                    <w:rPr>
                      <w:rFonts w:hint="eastAsia"/>
                      <w:color w:val="auto"/>
                      <w:kern w:val="0"/>
                      <w:sz w:val="18"/>
                      <w:szCs w:val="18"/>
                    </w:rPr>
                    <w:t>（1）建立以园区突发环境事件应急处置机构为核心，与地方政府和企事业单位应急处置机构联动的应急响应体系，加强应急物资装备储备，编制突发环境事件应急预案，定期开展演练。</w:t>
                  </w:r>
                </w:p>
                <w:p>
                  <w:pPr>
                    <w:autoSpaceDE w:val="0"/>
                    <w:autoSpaceDN w:val="0"/>
                    <w:adjustRightInd w:val="0"/>
                    <w:snapToGrid w:val="0"/>
                    <w:rPr>
                      <w:color w:val="auto"/>
                      <w:kern w:val="0"/>
                      <w:sz w:val="18"/>
                      <w:szCs w:val="18"/>
                    </w:rPr>
                  </w:pPr>
                  <w:r>
                    <w:rPr>
                      <w:rFonts w:hint="eastAsia"/>
                      <w:color w:val="auto"/>
                      <w:kern w:val="0"/>
                      <w:sz w:val="18"/>
                      <w:szCs w:val="18"/>
                    </w:rPr>
                    <w:t>（2）生产、使用、储存危险化学品或其他存在环境风险的企事业单位，应当制定风险防范措施，编制突发环境事件应急预案，防止发生环境事故。</w:t>
                  </w:r>
                </w:p>
                <w:p>
                  <w:pPr>
                    <w:autoSpaceDE w:val="0"/>
                    <w:autoSpaceDN w:val="0"/>
                    <w:adjustRightInd w:val="0"/>
                    <w:snapToGrid w:val="0"/>
                    <w:rPr>
                      <w:color w:val="auto"/>
                      <w:kern w:val="0"/>
                      <w:sz w:val="18"/>
                      <w:szCs w:val="18"/>
                    </w:rPr>
                  </w:pPr>
                  <w:r>
                    <w:rPr>
                      <w:rFonts w:hint="eastAsia"/>
                      <w:color w:val="auto"/>
                      <w:kern w:val="0"/>
                      <w:sz w:val="18"/>
                      <w:szCs w:val="18"/>
                    </w:rPr>
                    <w:t>（3）加强环境影响跟踪监测，建立健全各环境要素监控体系，完善并落实园区日常环境监测与污染源监控计划。</w:t>
                  </w:r>
                </w:p>
              </w:tc>
              <w:tc>
                <w:tcPr>
                  <w:tcW w:w="1976" w:type="dxa"/>
                  <w:vAlign w:val="center"/>
                </w:tcPr>
                <w:p>
                  <w:pPr>
                    <w:autoSpaceDE w:val="0"/>
                    <w:autoSpaceDN w:val="0"/>
                    <w:adjustRightInd w:val="0"/>
                    <w:snapToGrid w:val="0"/>
                    <w:rPr>
                      <w:color w:val="auto"/>
                      <w:kern w:val="0"/>
                      <w:sz w:val="18"/>
                      <w:szCs w:val="18"/>
                    </w:rPr>
                  </w:pPr>
                  <w:r>
                    <w:rPr>
                      <w:rFonts w:hint="eastAsia"/>
                      <w:color w:val="auto"/>
                      <w:kern w:val="0"/>
                      <w:sz w:val="18"/>
                      <w:szCs w:val="18"/>
                    </w:rPr>
                    <w:t>企业在日常生产过程中加强风险物质的管理，同时加强环保设施的维护与保养。</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jc w:val="center"/>
              </w:trPr>
              <w:tc>
                <w:tcPr>
                  <w:tcW w:w="656" w:type="dxa"/>
                  <w:vMerge w:val="continue"/>
                  <w:vAlign w:val="center"/>
                </w:tcPr>
                <w:p>
                  <w:pPr>
                    <w:autoSpaceDE w:val="0"/>
                    <w:autoSpaceDN w:val="0"/>
                    <w:adjustRightInd w:val="0"/>
                    <w:snapToGrid w:val="0"/>
                    <w:jc w:val="center"/>
                    <w:rPr>
                      <w:b/>
                      <w:color w:val="auto"/>
                      <w:kern w:val="0"/>
                      <w:sz w:val="18"/>
                      <w:szCs w:val="18"/>
                    </w:rPr>
                  </w:pPr>
                </w:p>
              </w:tc>
              <w:tc>
                <w:tcPr>
                  <w:tcW w:w="656" w:type="dxa"/>
                  <w:vAlign w:val="center"/>
                </w:tcPr>
                <w:p>
                  <w:pPr>
                    <w:autoSpaceDE w:val="0"/>
                    <w:autoSpaceDN w:val="0"/>
                    <w:adjustRightInd w:val="0"/>
                    <w:snapToGrid w:val="0"/>
                    <w:jc w:val="center"/>
                    <w:rPr>
                      <w:b/>
                      <w:color w:val="auto"/>
                      <w:kern w:val="0"/>
                      <w:sz w:val="18"/>
                      <w:szCs w:val="18"/>
                    </w:rPr>
                  </w:pPr>
                  <w:r>
                    <w:rPr>
                      <w:b/>
                      <w:color w:val="auto"/>
                      <w:kern w:val="0"/>
                      <w:sz w:val="18"/>
                      <w:szCs w:val="18"/>
                    </w:rPr>
                    <w:t>资源开发效率要求</w:t>
                  </w:r>
                </w:p>
              </w:tc>
              <w:tc>
                <w:tcPr>
                  <w:tcW w:w="4677" w:type="dxa"/>
                  <w:vAlign w:val="center"/>
                </w:tcPr>
                <w:p>
                  <w:pPr>
                    <w:autoSpaceDE w:val="0"/>
                    <w:autoSpaceDN w:val="0"/>
                    <w:adjustRightInd w:val="0"/>
                    <w:snapToGrid w:val="0"/>
                    <w:rPr>
                      <w:color w:val="auto"/>
                      <w:kern w:val="0"/>
                      <w:sz w:val="18"/>
                      <w:szCs w:val="18"/>
                    </w:rPr>
                  </w:pPr>
                  <w:r>
                    <w:rPr>
                      <w:rFonts w:hint="eastAsia"/>
                      <w:color w:val="auto"/>
                      <w:kern w:val="0"/>
                      <w:sz w:val="18"/>
                      <w:szCs w:val="18"/>
                    </w:rPr>
                    <w:t>（1）园区内企业清洁生产水平、单位工业增加值新鲜水耗和综合能耗应满足园区总体规划、规划环评及审查意见要求。</w:t>
                  </w:r>
                </w:p>
                <w:p>
                  <w:pPr>
                    <w:autoSpaceDE w:val="0"/>
                    <w:autoSpaceDN w:val="0"/>
                    <w:adjustRightInd w:val="0"/>
                    <w:snapToGrid w:val="0"/>
                    <w:rPr>
                      <w:color w:val="auto"/>
                      <w:kern w:val="0"/>
                      <w:sz w:val="18"/>
                      <w:szCs w:val="18"/>
                    </w:rPr>
                  </w:pPr>
                  <w:r>
                    <w:rPr>
                      <w:rFonts w:hint="eastAsia"/>
                      <w:color w:val="auto"/>
                      <w:kern w:val="0"/>
                      <w:sz w:val="18"/>
                      <w:szCs w:val="18"/>
                    </w:rPr>
                    <w:t xml:space="preserve">（2）禁止销售使用燃料为“Ⅲ类”（严格），具体包括：1、煤炭及其制品（包括原煤、散煤、煤矸石、煤泥、煤粉、水煤浆、型煤、焦炭、兰炭等）；2、石油焦、油页岩、原油、重油、渣油、煤焦油；3、非专用锅炉或未配置高效除尘设施的专用锅炉燃用的生物质成型燃料；4、国家规定的其它高污染燃料。 </w:t>
                  </w:r>
                </w:p>
              </w:tc>
              <w:tc>
                <w:tcPr>
                  <w:tcW w:w="1976" w:type="dxa"/>
                  <w:vAlign w:val="center"/>
                </w:tcPr>
                <w:p>
                  <w:pPr>
                    <w:autoSpaceDE w:val="0"/>
                    <w:autoSpaceDN w:val="0"/>
                    <w:adjustRightInd w:val="0"/>
                    <w:snapToGrid w:val="0"/>
                    <w:rPr>
                      <w:color w:val="auto"/>
                      <w:kern w:val="0"/>
                      <w:sz w:val="18"/>
                      <w:szCs w:val="18"/>
                    </w:rPr>
                  </w:pPr>
                  <w:r>
                    <w:rPr>
                      <w:rFonts w:hint="eastAsia"/>
                      <w:color w:val="auto"/>
                      <w:kern w:val="0"/>
                      <w:sz w:val="18"/>
                      <w:szCs w:val="18"/>
                    </w:rPr>
                    <w:t>本项目符合园区总体规划、规划环评及审查意见要求，且本项目不使用高污染燃料</w:t>
                  </w:r>
                </w:p>
              </w:tc>
            </w:tr>
          </w:tbl>
          <w:p>
            <w:pPr>
              <w:autoSpaceDE w:val="0"/>
              <w:autoSpaceDN w:val="0"/>
              <w:adjustRightInd w:val="0"/>
              <w:snapToGrid w:val="0"/>
              <w:spacing w:line="360" w:lineRule="auto"/>
              <w:ind w:firstLine="420" w:firstLineChars="200"/>
              <w:rPr>
                <w:color w:val="auto"/>
              </w:rPr>
            </w:pPr>
            <w:r>
              <w:rPr>
                <w:color w:val="auto"/>
                <w:kern w:val="0"/>
                <w:szCs w:val="21"/>
              </w:rPr>
              <w:t>项目</w:t>
            </w:r>
            <w:r>
              <w:rPr>
                <w:color w:val="auto"/>
              </w:rPr>
              <w:t>生产过程中产生的</w:t>
            </w:r>
            <w:r>
              <w:rPr>
                <w:rFonts w:hint="eastAsia"/>
                <w:color w:val="auto"/>
              </w:rPr>
              <w:t>各类</w:t>
            </w:r>
            <w:r>
              <w:rPr>
                <w:color w:val="auto"/>
              </w:rPr>
              <w:t>废气经集气罩收集，通过</w:t>
            </w:r>
            <w:r>
              <w:rPr>
                <w:rFonts w:hint="eastAsia"/>
                <w:color w:val="auto"/>
              </w:rPr>
              <w:t>布袋除尘+</w:t>
            </w:r>
            <w:r>
              <w:rPr>
                <w:color w:val="auto"/>
              </w:rPr>
              <w:t>二级活性炭处理后</w:t>
            </w:r>
            <w:r>
              <w:rPr>
                <w:rFonts w:hint="eastAsia"/>
                <w:color w:val="auto"/>
              </w:rPr>
              <w:t>通过</w:t>
            </w:r>
            <w:r>
              <w:rPr>
                <w:rFonts w:hint="eastAsia"/>
                <w:color w:val="auto"/>
                <w:lang w:val="en-US" w:eastAsia="zh-CN"/>
              </w:rPr>
              <w:t>2</w:t>
            </w:r>
            <w:r>
              <w:rPr>
                <w:rFonts w:hint="eastAsia"/>
                <w:color w:val="auto"/>
              </w:rPr>
              <w:t>5米高排气筒排放</w:t>
            </w:r>
            <w:r>
              <w:rPr>
                <w:color w:val="auto"/>
              </w:rPr>
              <w:t>；</w:t>
            </w:r>
          </w:p>
          <w:p>
            <w:pPr>
              <w:autoSpaceDE w:val="0"/>
              <w:autoSpaceDN w:val="0"/>
              <w:adjustRightInd w:val="0"/>
              <w:snapToGrid w:val="0"/>
              <w:spacing w:line="360" w:lineRule="auto"/>
              <w:ind w:firstLine="420" w:firstLineChars="200"/>
              <w:rPr>
                <w:color w:val="auto"/>
              </w:rPr>
            </w:pPr>
            <w:r>
              <w:rPr>
                <w:rFonts w:hint="eastAsia"/>
                <w:color w:val="auto"/>
              </w:rPr>
              <w:t>项目生活污水</w:t>
            </w:r>
            <w:r>
              <w:rPr>
                <w:color w:val="auto"/>
              </w:rPr>
              <w:t>经厂区</w:t>
            </w:r>
            <w:r>
              <w:rPr>
                <w:rFonts w:hint="eastAsia"/>
                <w:color w:val="auto"/>
              </w:rPr>
              <w:t>化粪池</w:t>
            </w:r>
            <w:r>
              <w:rPr>
                <w:color w:val="auto"/>
              </w:rPr>
              <w:t>达标处理后由DW001接管城东污水处理厂。</w:t>
            </w:r>
          </w:p>
          <w:p>
            <w:pPr>
              <w:autoSpaceDE w:val="0"/>
              <w:autoSpaceDN w:val="0"/>
              <w:adjustRightInd w:val="0"/>
              <w:snapToGrid w:val="0"/>
              <w:spacing w:line="360" w:lineRule="auto"/>
              <w:ind w:firstLine="420" w:firstLineChars="200"/>
              <w:rPr>
                <w:color w:val="auto"/>
              </w:rPr>
            </w:pPr>
            <w:r>
              <w:rPr>
                <w:color w:val="auto"/>
              </w:rPr>
              <w:t>高噪声设备均通过减振、隔声、合理布局等手段，保证噪声达标排放；</w:t>
            </w:r>
          </w:p>
          <w:p>
            <w:pPr>
              <w:autoSpaceDE w:val="0"/>
              <w:autoSpaceDN w:val="0"/>
              <w:adjustRightInd w:val="0"/>
              <w:snapToGrid w:val="0"/>
              <w:spacing w:line="360" w:lineRule="auto"/>
              <w:ind w:firstLine="420" w:firstLineChars="200"/>
              <w:rPr>
                <w:color w:val="auto"/>
                <w:kern w:val="0"/>
                <w:szCs w:val="21"/>
              </w:rPr>
            </w:pPr>
            <w:r>
              <w:rPr>
                <w:color w:val="auto"/>
              </w:rPr>
              <w:t>固废均委托处置</w:t>
            </w:r>
            <w:r>
              <w:rPr>
                <w:color w:val="auto"/>
                <w:kern w:val="0"/>
                <w:szCs w:val="21"/>
              </w:rPr>
              <w:t>。</w:t>
            </w:r>
          </w:p>
          <w:p>
            <w:pPr>
              <w:autoSpaceDE w:val="0"/>
              <w:autoSpaceDN w:val="0"/>
              <w:adjustRightInd w:val="0"/>
              <w:snapToGrid w:val="0"/>
              <w:spacing w:line="360" w:lineRule="auto"/>
              <w:ind w:firstLine="420" w:firstLineChars="200"/>
              <w:rPr>
                <w:color w:val="auto"/>
                <w:kern w:val="0"/>
                <w:szCs w:val="21"/>
              </w:rPr>
            </w:pPr>
            <w:r>
              <w:rPr>
                <w:color w:val="auto"/>
                <w:kern w:val="0"/>
                <w:szCs w:val="21"/>
              </w:rPr>
              <w:t>运营期采取相应的污染防治措施后，各类污染物的排放不会改变区域环境功能区质量要求，能维持环境功能区质量现状。</w:t>
            </w:r>
          </w:p>
          <w:p>
            <w:pPr>
              <w:autoSpaceDE w:val="0"/>
              <w:autoSpaceDN w:val="0"/>
              <w:adjustRightInd w:val="0"/>
              <w:snapToGrid w:val="0"/>
              <w:spacing w:line="360" w:lineRule="auto"/>
              <w:ind w:firstLine="420" w:firstLineChars="200"/>
              <w:rPr>
                <w:color w:val="auto"/>
                <w:kern w:val="0"/>
                <w:szCs w:val="21"/>
              </w:rPr>
            </w:pPr>
            <w:r>
              <w:rPr>
                <w:color w:val="auto"/>
                <w:kern w:val="0"/>
                <w:szCs w:val="21"/>
              </w:rPr>
              <w:t>因此，本项目符合《省政府关于印发江苏省“三线一单”生态环境分区管控方案的通知》（苏政发[2020]49号）、《关于印发苏州市“三线一单”生态环境分区管控实施方案的通知》（苏环办字[2020]313号）要求。</w:t>
            </w:r>
          </w:p>
          <w:p>
            <w:pPr>
              <w:autoSpaceDE w:val="0"/>
              <w:autoSpaceDN w:val="0"/>
              <w:adjustRightInd w:val="0"/>
              <w:snapToGrid w:val="0"/>
              <w:spacing w:line="360" w:lineRule="auto"/>
              <w:ind w:firstLine="420" w:firstLineChars="200"/>
              <w:rPr>
                <w:color w:val="auto"/>
                <w:kern w:val="0"/>
                <w:szCs w:val="21"/>
              </w:rPr>
            </w:pPr>
            <w:r>
              <w:rPr>
                <w:color w:val="auto"/>
                <w:kern w:val="0"/>
                <w:szCs w:val="21"/>
              </w:rPr>
              <w:t>综上，本项目与“三线一单”的相关要求是相符的。</w:t>
            </w:r>
          </w:p>
          <w:p>
            <w:pPr>
              <w:pStyle w:val="2"/>
              <w:keepNext w:val="0"/>
              <w:keepLines w:val="0"/>
              <w:overflowPunct w:val="0"/>
              <w:autoSpaceDE w:val="0"/>
              <w:autoSpaceDN w:val="0"/>
              <w:adjustRightInd w:val="0"/>
              <w:snapToGrid w:val="0"/>
              <w:spacing w:before="0" w:after="0" w:line="360" w:lineRule="auto"/>
              <w:ind w:firstLine="422" w:firstLineChars="200"/>
              <w:rPr>
                <w:color w:val="auto"/>
                <w:sz w:val="21"/>
                <w:szCs w:val="21"/>
              </w:rPr>
            </w:pPr>
            <w:r>
              <w:rPr>
                <w:color w:val="auto"/>
                <w:sz w:val="21"/>
                <w:szCs w:val="21"/>
              </w:rPr>
              <w:t>5、与《苏州市“十四五”生态保护规划》</w:t>
            </w:r>
            <w:r>
              <w:rPr>
                <w:rFonts w:hint="eastAsia"/>
                <w:color w:val="auto"/>
                <w:sz w:val="21"/>
                <w:szCs w:val="21"/>
              </w:rPr>
              <w:t>、</w:t>
            </w:r>
            <w:r>
              <w:rPr>
                <w:color w:val="auto"/>
                <w:sz w:val="21"/>
                <w:szCs w:val="21"/>
              </w:rPr>
              <w:t>《太仓市“十四五”生态保护规划》相符性</w:t>
            </w:r>
          </w:p>
          <w:p>
            <w:pPr>
              <w:adjustRightInd w:val="0"/>
              <w:snapToGrid w:val="0"/>
              <w:spacing w:line="360" w:lineRule="auto"/>
              <w:ind w:firstLine="420" w:firstLineChars="200"/>
              <w:rPr>
                <w:color w:val="auto"/>
                <w:szCs w:val="32"/>
              </w:rPr>
            </w:pPr>
            <w:r>
              <w:rPr>
                <w:color w:val="auto"/>
              </w:rPr>
              <w:t>根据</w:t>
            </w:r>
            <w:r>
              <w:rPr>
                <w:color w:val="auto"/>
                <w:szCs w:val="21"/>
              </w:rPr>
              <w:t>《苏州市“十四五”生态保护规划》</w:t>
            </w:r>
            <w:r>
              <w:rPr>
                <w:rFonts w:hint="eastAsia"/>
                <w:color w:val="auto"/>
                <w:szCs w:val="21"/>
              </w:rPr>
              <w:t>、</w:t>
            </w:r>
            <w:r>
              <w:rPr>
                <w:color w:val="auto"/>
                <w:szCs w:val="21"/>
              </w:rPr>
              <w:t>《太仓市“十四五”生态保护规划》相关要求：</w:t>
            </w:r>
            <w:r>
              <w:rPr>
                <w:color w:val="auto"/>
                <w:szCs w:val="32"/>
              </w:rPr>
              <w:t>严格落实“三线一单”生态环境分区管控要求，将“三线一单”作为政策制定、环境准入、园区管理、执法监管的重要依据；</w:t>
            </w:r>
            <w:r>
              <w:rPr>
                <w:color w:val="auto"/>
                <w:szCs w:val="32"/>
                <w:lang w:val="zh-CN"/>
              </w:rPr>
              <w:t>严格落实能源消费“双控”任务。推进煤炭清洁高效利用和能源综合利用；以持续改善大气环境质</w:t>
            </w:r>
            <w:r>
              <w:rPr>
                <w:color w:val="auto"/>
                <w:szCs w:val="32"/>
                <w:lang w:val="zh-CN"/>
              </w:rPr>
              <w:t>量为导向，突出抓好重点时段细颗粒物（PM</w:t>
            </w:r>
            <w:r>
              <w:rPr>
                <w:color w:val="auto"/>
                <w:szCs w:val="32"/>
                <w:vertAlign w:val="subscript"/>
                <w:lang w:val="zh-CN"/>
              </w:rPr>
              <w:t>2.5</w:t>
            </w:r>
            <w:r>
              <w:rPr>
                <w:color w:val="auto"/>
                <w:szCs w:val="32"/>
                <w:lang w:val="zh-CN"/>
              </w:rPr>
              <w:t>）和臭氧（O</w:t>
            </w:r>
            <w:r>
              <w:rPr>
                <w:color w:val="auto"/>
                <w:szCs w:val="32"/>
                <w:vertAlign w:val="subscript"/>
                <w:lang w:val="zh-CN"/>
              </w:rPr>
              <w:t>3</w:t>
            </w:r>
            <w:r>
              <w:rPr>
                <w:color w:val="auto"/>
                <w:szCs w:val="32"/>
                <w:lang w:val="zh-CN"/>
              </w:rPr>
              <w:t>）协同控制；优化饮用水水源地和应急水源地的布局以及周边产业设置；纳入排污许可重点管理的企业事业单位和土壤污染重点监管单位，应做好拆除活动土壤污染防治；严格生态保护红线和生态空间管控区域保护，实施严格管理，确保具有重要生态功能的区域、重要生态系统以及主要物种得到有效保护；按照预防为主，预防与应急相结合的原则，常态化推</w:t>
            </w:r>
            <w:r>
              <w:rPr>
                <w:color w:val="auto"/>
                <w:szCs w:val="32"/>
                <w:lang w:val="zh-CN"/>
              </w:rPr>
              <w:t>进环境风险企业环境安全隐患排查；</w:t>
            </w:r>
            <w:r>
              <w:rPr>
                <w:color w:val="auto"/>
                <w:szCs w:val="32"/>
              </w:rPr>
              <w:t>推进固废污染源头减量和资源化利用；推进在联网排查范围内的排污单位安装和使用在线监测监控设备；依法实施排污许可证管理，推动排污许可与环境执法、环境监测、总量控制、排污权交易等环境管理制度有效衔接。</w:t>
            </w:r>
          </w:p>
          <w:p>
            <w:pPr>
              <w:adjustRightInd w:val="0"/>
              <w:snapToGrid w:val="0"/>
              <w:spacing w:line="360" w:lineRule="auto"/>
              <w:ind w:firstLine="420" w:firstLineChars="200"/>
              <w:rPr>
                <w:color w:val="auto"/>
                <w:szCs w:val="32"/>
              </w:rPr>
            </w:pPr>
            <w:r>
              <w:rPr>
                <w:color w:val="auto"/>
                <w:szCs w:val="32"/>
              </w:rPr>
              <w:t>本项目符合三线一单要求，使用电能等清洁能源，</w:t>
            </w:r>
            <w:r>
              <w:rPr>
                <w:rFonts w:hint="eastAsia"/>
                <w:color w:val="auto"/>
                <w:szCs w:val="32"/>
              </w:rPr>
              <w:t>项目生产过程中产生的各类废气经集气罩收集，通过布袋除尘+二级活性炭处理后通过</w:t>
            </w:r>
            <w:r>
              <w:rPr>
                <w:rFonts w:hint="eastAsia"/>
                <w:color w:val="auto"/>
                <w:szCs w:val="32"/>
                <w:lang w:val="en-US" w:eastAsia="zh-CN"/>
              </w:rPr>
              <w:t>25</w:t>
            </w:r>
            <w:r>
              <w:rPr>
                <w:rFonts w:hint="eastAsia"/>
                <w:color w:val="auto"/>
                <w:szCs w:val="32"/>
              </w:rPr>
              <w:t>米高排气筒排放</w:t>
            </w:r>
            <w:r>
              <w:rPr>
                <w:color w:val="auto"/>
                <w:szCs w:val="32"/>
              </w:rPr>
              <w:t>，处理效率可达9</w:t>
            </w:r>
            <w:r>
              <w:rPr>
                <w:rFonts w:hint="eastAsia"/>
                <w:color w:val="auto"/>
                <w:szCs w:val="32"/>
              </w:rPr>
              <w:t>0</w:t>
            </w:r>
            <w:r>
              <w:rPr>
                <w:color w:val="auto"/>
                <w:szCs w:val="32"/>
              </w:rPr>
              <w:t>%</w:t>
            </w:r>
            <w:r>
              <w:rPr>
                <w:rFonts w:hint="eastAsia"/>
                <w:color w:val="auto"/>
                <w:szCs w:val="32"/>
              </w:rPr>
              <w:t>；生活污水经厂区化粪池达标处理后由DW001接管城东污水处理厂</w:t>
            </w:r>
            <w:r>
              <w:rPr>
                <w:color w:val="auto"/>
                <w:szCs w:val="32"/>
              </w:rPr>
              <w:t>项目所在区域不涉及饮用水源保护区，不属于土壤重点监管单位，不占用生态红线，产生的危废均委托有资质单位处理，并依法</w:t>
            </w:r>
            <w:r>
              <w:rPr>
                <w:rFonts w:hint="eastAsia"/>
                <w:color w:val="auto"/>
                <w:szCs w:val="32"/>
              </w:rPr>
              <w:t>填报</w:t>
            </w:r>
            <w:r>
              <w:rPr>
                <w:color w:val="auto"/>
                <w:szCs w:val="32"/>
              </w:rPr>
              <w:t>排污许可证，履行排污许可制度，落实自行监测计划。</w:t>
            </w:r>
          </w:p>
          <w:p>
            <w:pPr>
              <w:adjustRightInd w:val="0"/>
              <w:snapToGrid w:val="0"/>
              <w:spacing w:line="360" w:lineRule="auto"/>
              <w:ind w:firstLine="420" w:firstLineChars="200"/>
              <w:rPr>
                <w:color w:val="auto"/>
              </w:rPr>
            </w:pPr>
            <w:r>
              <w:rPr>
                <w:color w:val="auto"/>
                <w:szCs w:val="32"/>
              </w:rPr>
              <w:t>综上，本项目符合</w:t>
            </w:r>
            <w:r>
              <w:rPr>
                <w:color w:val="auto"/>
                <w:szCs w:val="21"/>
              </w:rPr>
              <w:t>《苏州市“十四五”生态保护规划》</w:t>
            </w:r>
            <w:r>
              <w:rPr>
                <w:rFonts w:hint="eastAsia"/>
                <w:color w:val="auto"/>
                <w:szCs w:val="21"/>
              </w:rPr>
              <w:t>、</w:t>
            </w:r>
            <w:r>
              <w:rPr>
                <w:color w:val="auto"/>
                <w:szCs w:val="21"/>
              </w:rPr>
              <w:t>《太仓市“十四五”生态保护规划》相关要求。</w:t>
            </w:r>
          </w:p>
          <w:p>
            <w:pPr>
              <w:pStyle w:val="2"/>
              <w:keepNext w:val="0"/>
              <w:keepLines w:val="0"/>
              <w:overflowPunct w:val="0"/>
              <w:autoSpaceDE w:val="0"/>
              <w:autoSpaceDN w:val="0"/>
              <w:adjustRightInd w:val="0"/>
              <w:snapToGrid w:val="0"/>
              <w:spacing w:before="0" w:after="0" w:line="360" w:lineRule="auto"/>
              <w:ind w:firstLine="422" w:firstLineChars="200"/>
              <w:rPr>
                <w:bCs w:val="0"/>
                <w:snapToGrid w:val="0"/>
                <w:color w:val="auto"/>
                <w:kern w:val="0"/>
                <w:sz w:val="21"/>
                <w:szCs w:val="21"/>
              </w:rPr>
            </w:pPr>
            <w:r>
              <w:rPr>
                <w:color w:val="auto"/>
                <w:sz w:val="21"/>
                <w:szCs w:val="21"/>
              </w:rPr>
              <w:t>6、</w:t>
            </w:r>
            <w:r>
              <w:rPr>
                <w:bCs w:val="0"/>
                <w:snapToGrid w:val="0"/>
                <w:color w:val="auto"/>
                <w:kern w:val="0"/>
                <w:sz w:val="21"/>
                <w:szCs w:val="21"/>
              </w:rPr>
              <w:t>与《江苏省太湖水污染防治条例》（2021年9月29日修正）相符性</w:t>
            </w:r>
          </w:p>
          <w:p>
            <w:pPr>
              <w:autoSpaceDE w:val="0"/>
              <w:autoSpaceDN w:val="0"/>
              <w:adjustRightInd w:val="0"/>
              <w:snapToGrid w:val="0"/>
              <w:spacing w:line="360" w:lineRule="auto"/>
              <w:ind w:firstLine="420" w:firstLineChars="200"/>
              <w:jc w:val="left"/>
              <w:rPr>
                <w:color w:val="auto"/>
                <w:kern w:val="0"/>
                <w:szCs w:val="21"/>
              </w:rPr>
            </w:pPr>
            <w:r>
              <w:rPr>
                <w:rFonts w:hint="eastAsia"/>
                <w:color w:val="auto"/>
                <w:kern w:val="0"/>
                <w:szCs w:val="21"/>
              </w:rPr>
              <w:t>与《江苏省太湖水污染防治条例》相符性分析</w:t>
            </w:r>
          </w:p>
          <w:p>
            <w:pPr>
              <w:autoSpaceDE w:val="0"/>
              <w:autoSpaceDN w:val="0"/>
              <w:adjustRightInd w:val="0"/>
              <w:snapToGrid w:val="0"/>
              <w:spacing w:line="360" w:lineRule="auto"/>
              <w:ind w:firstLine="420" w:firstLineChars="200"/>
              <w:jc w:val="left"/>
              <w:rPr>
                <w:color w:val="auto"/>
                <w:kern w:val="0"/>
                <w:szCs w:val="21"/>
              </w:rPr>
            </w:pPr>
            <w:r>
              <w:rPr>
                <w:rFonts w:hint="eastAsia"/>
                <w:color w:val="auto"/>
                <w:kern w:val="0"/>
                <w:szCs w:val="21"/>
              </w:rPr>
              <w:t>《江苏省太湖水污染防治条例》第四十三条的规定：太湖流域一、二、三级保护区禁止下列行为：</w:t>
            </w:r>
          </w:p>
          <w:p>
            <w:pPr>
              <w:autoSpaceDE w:val="0"/>
              <w:autoSpaceDN w:val="0"/>
              <w:adjustRightInd w:val="0"/>
              <w:snapToGrid w:val="0"/>
              <w:spacing w:line="360" w:lineRule="auto"/>
              <w:ind w:firstLine="420" w:firstLineChars="200"/>
              <w:jc w:val="left"/>
              <w:rPr>
                <w:color w:val="auto"/>
                <w:kern w:val="0"/>
                <w:szCs w:val="21"/>
              </w:rPr>
            </w:pPr>
            <w:r>
              <w:rPr>
                <w:rFonts w:hint="eastAsia"/>
                <w:color w:val="auto"/>
                <w:kern w:val="0"/>
                <w:szCs w:val="21"/>
              </w:rPr>
              <w:t>（一）新建、改建、扩建化学制浆造纸、制革、酿造、染料、印染、电镀以及其他排放含磷、氮等污染物的企业和项目，城镇污水集中处理等环境基础设施项目和第四十六条规定的情形除外；（二）销售、使用含磷洗涤用品；（三）向水体排放或者倾倒油类、酸液、碱液、剧毒废渣废液、含放射性废渣废液、含病原体污水、工业废渣以及其他废弃物；（四）在水体清洗装贮过油类或者有毒有害污染物的车辆、船舶和容器等；（五）使用农药等有毒物毒杀水生生物；（六）向水体直接排放人畜粪便、倾倒垃圾；（七）围湖造地；（八）违法开山采石，或者进行破坏林木、植被、水生生物的活动；（九）法律、法规禁止的其他行为。</w:t>
            </w:r>
          </w:p>
          <w:p>
            <w:pPr>
              <w:autoSpaceDE w:val="0"/>
              <w:autoSpaceDN w:val="0"/>
              <w:adjustRightInd w:val="0"/>
              <w:snapToGrid w:val="0"/>
              <w:spacing w:line="360" w:lineRule="auto"/>
              <w:ind w:firstLine="420" w:firstLineChars="200"/>
              <w:jc w:val="left"/>
              <w:rPr>
                <w:color w:val="auto"/>
                <w:kern w:val="0"/>
                <w:szCs w:val="21"/>
              </w:rPr>
            </w:pPr>
            <w:r>
              <w:rPr>
                <w:rFonts w:hint="eastAsia"/>
                <w:color w:val="auto"/>
                <w:kern w:val="0"/>
                <w:szCs w:val="21"/>
              </w:rPr>
              <w:t>根据《省政府办公厅关于公布江苏省太湖流域三级保护区范围的通知》苏政办发[2012]221号文，本项目位于太湖流域三级保护区范围内，生活污水经化粪池处理后接管太仓市城东污水处理厂处理，项目自身不设置直接排污口，水污染物最终的排放总量可纳入太仓市城东污水处理厂的指标范围内。因此本项目的建设能够满足《江苏省太湖水污染防治条例》的要求。</w:t>
            </w:r>
          </w:p>
          <w:p>
            <w:pPr>
              <w:autoSpaceDE w:val="0"/>
              <w:autoSpaceDN w:val="0"/>
              <w:adjustRightInd w:val="0"/>
              <w:snapToGrid w:val="0"/>
              <w:spacing w:line="360" w:lineRule="auto"/>
              <w:ind w:firstLine="422" w:firstLineChars="200"/>
              <w:jc w:val="left"/>
              <w:rPr>
                <w:b/>
                <w:bCs/>
                <w:color w:val="auto"/>
                <w:kern w:val="0"/>
                <w:szCs w:val="21"/>
              </w:rPr>
            </w:pPr>
            <w:r>
              <w:rPr>
                <w:b/>
                <w:bCs/>
                <w:color w:val="auto"/>
                <w:kern w:val="0"/>
                <w:szCs w:val="21"/>
              </w:rPr>
              <w:t>7</w:t>
            </w:r>
            <w:r>
              <w:rPr>
                <w:rFonts w:hint="eastAsia"/>
                <w:b/>
                <w:bCs/>
                <w:color w:val="auto"/>
                <w:kern w:val="0"/>
                <w:szCs w:val="21"/>
              </w:rPr>
              <w:t>、与</w:t>
            </w:r>
            <w:r>
              <w:rPr>
                <w:b/>
                <w:bCs/>
                <w:snapToGrid w:val="0"/>
                <w:color w:val="auto"/>
                <w:kern w:val="0"/>
                <w:szCs w:val="21"/>
              </w:rPr>
              <w:t>《太湖流域管理条例》（中华人民共和国国务院令 第604号）</w:t>
            </w:r>
            <w:r>
              <w:rPr>
                <w:rFonts w:hint="eastAsia"/>
                <w:b/>
                <w:bCs/>
                <w:color w:val="auto"/>
                <w:kern w:val="0"/>
                <w:szCs w:val="21"/>
              </w:rPr>
              <w:t>相符性分析</w:t>
            </w:r>
          </w:p>
          <w:p>
            <w:pPr>
              <w:autoSpaceDE w:val="0"/>
              <w:autoSpaceDN w:val="0"/>
              <w:adjustRightInd w:val="0"/>
              <w:snapToGrid w:val="0"/>
              <w:spacing w:line="360" w:lineRule="auto"/>
              <w:ind w:firstLine="420" w:firstLineChars="200"/>
              <w:jc w:val="left"/>
              <w:rPr>
                <w:color w:val="auto"/>
                <w:kern w:val="0"/>
                <w:szCs w:val="21"/>
              </w:rPr>
            </w:pPr>
            <w:r>
              <w:rPr>
                <w:rFonts w:hint="eastAsia"/>
                <w:color w:val="auto"/>
                <w:kern w:val="0"/>
                <w:szCs w:val="21"/>
              </w:rPr>
              <w:t>根据《太湖流域管理条例》第二十八条：禁止在太湖流域设置不符合国家产业政策和水环境综合治理要求的造纸、制革、酒精、淀粉、冶金、酿造、印染、电镀等排放水污染物的生产项目，现有的生产项目不能实现达标排放的，应当依法关闭。第二十九条：新孟河、望虞河以外的其他主要入太湖河道，自河口1万米上溯至5万米河道岸线内及其岸线两侧各1000米范围内，禁止下列行为：（一）依托现有、技改化工、医药生产项目；（二）依托现有、技改污水集中处理设施排污口以外的排污口；（三）扩大水产养殖规模。第三十条：太湖岸线内和岸线周边5000米范围内，淀山湖岸线内和岸线周边2000米范围内，太浦河、新孟河、望虞河岸线内和岸线两侧各1000米范围内，其他主要入太湖河道自河口上溯至1万米河道岸线内及其岸线两侧各1000米范围内，禁止下列行为：（一）设置剧毒物质、危险化学品的贮存、输送设施和废物回收场、垃圾场；（二）设置水上餐饮经营设施；（三）依托现有、技改高尔夫球场；（四）依托现有、技改畜禽养殖场；（五）依托现有、技改向水体排放污染物的建设项目；（六）本条例第二十九条规定的行为。已经设置前款第一项、第二项规定设施的，当地县级人民政府应当责令拆除或者关闭。</w:t>
            </w:r>
          </w:p>
          <w:p>
            <w:pPr>
              <w:autoSpaceDE w:val="0"/>
              <w:autoSpaceDN w:val="0"/>
              <w:adjustRightInd w:val="0"/>
              <w:snapToGrid w:val="0"/>
              <w:spacing w:line="360" w:lineRule="auto"/>
              <w:ind w:firstLine="420" w:firstLineChars="200"/>
              <w:jc w:val="left"/>
              <w:rPr>
                <w:color w:val="auto"/>
                <w:kern w:val="0"/>
                <w:szCs w:val="21"/>
              </w:rPr>
            </w:pPr>
            <w:r>
              <w:rPr>
                <w:rFonts w:hint="eastAsia"/>
                <w:color w:val="auto"/>
                <w:kern w:val="0"/>
                <w:szCs w:val="21"/>
              </w:rPr>
              <w:t>本项目所在地位于太湖三级保护区，不位于太湖饮用水水源保护区，不会对水源地造成影响。生活污水经化粪池处理后接管太仓市城东污水处理厂处理，项目自身不设置直接排污口，水污染物最终的排放总量可纳入太仓市城东污水处理厂的指标范围内，符合《太湖流域管理条例》的要求。</w:t>
            </w:r>
          </w:p>
          <w:p>
            <w:pPr>
              <w:overflowPunct w:val="0"/>
              <w:autoSpaceDE w:val="0"/>
              <w:autoSpaceDN w:val="0"/>
              <w:adjustRightInd w:val="0"/>
              <w:snapToGrid w:val="0"/>
              <w:spacing w:line="360" w:lineRule="auto"/>
              <w:ind w:firstLine="422" w:firstLineChars="200"/>
              <w:outlineLvl w:val="2"/>
              <w:rPr>
                <w:b/>
                <w:bCs/>
                <w:snapToGrid w:val="0"/>
                <w:color w:val="auto"/>
                <w:kern w:val="0"/>
              </w:rPr>
            </w:pPr>
            <w:r>
              <w:rPr>
                <w:b/>
                <w:color w:val="auto"/>
                <w:szCs w:val="21"/>
              </w:rPr>
              <w:t>8、</w:t>
            </w:r>
            <w:bookmarkStart w:id="3" w:name="_Toc100930828"/>
            <w:r>
              <w:rPr>
                <w:b/>
                <w:bCs/>
                <w:snapToGrid w:val="0"/>
                <w:color w:val="auto"/>
                <w:kern w:val="0"/>
              </w:rPr>
              <w:t>与《江苏省挥发性有机物污染防治管理办法》（江苏省人民政府令第119号）相符性</w:t>
            </w:r>
            <w:bookmarkEnd w:id="3"/>
          </w:p>
          <w:p>
            <w:pPr>
              <w:overflowPunct w:val="0"/>
              <w:autoSpaceDE w:val="0"/>
              <w:autoSpaceDN w:val="0"/>
              <w:adjustRightInd w:val="0"/>
              <w:snapToGrid w:val="0"/>
              <w:spacing w:line="360" w:lineRule="auto"/>
              <w:ind w:firstLine="420" w:firstLineChars="200"/>
              <w:rPr>
                <w:snapToGrid w:val="0"/>
                <w:color w:val="auto"/>
                <w:kern w:val="0"/>
              </w:rPr>
            </w:pPr>
            <w:r>
              <w:rPr>
                <w:snapToGrid w:val="0"/>
                <w:color w:val="auto"/>
                <w:kern w:val="0"/>
              </w:rPr>
              <w:t>《江苏省挥发性有机物污染防治管理办法》（江苏省人民政府令第119号）规定：挥发性有机物排放单位应当按照有关规定和监测规范自行或者委托有关监测机构对其排放的挥发性有机物进行监测，记录、保存监测数据，并按照规定向社会公开。监测数据应当真实、可靠，保存时间不得少于3年。产生挥发性有机物废气的生产经营活动应当在密闭空间或者密闭设备中进行。生产场所、生产设备应当按照环境保护和安全生产等要求设计、安装和有效运行挥发性有机物回收或者净化设施；固体废物、废水、废气处理系统产生的废气应当收集和处理；含有挥发性有机物的物料应当密闭储存、运输、装卸，禁止敞口和露天放置。无法在密闭空间进行的生产经营活动应当采取有效措施，减少挥发性有机物排放量。</w:t>
            </w:r>
          </w:p>
          <w:p>
            <w:pPr>
              <w:overflowPunct w:val="0"/>
              <w:autoSpaceDE w:val="0"/>
              <w:autoSpaceDN w:val="0"/>
              <w:adjustRightInd w:val="0"/>
              <w:snapToGrid w:val="0"/>
              <w:spacing w:line="360" w:lineRule="auto"/>
              <w:ind w:firstLine="420" w:firstLineChars="200"/>
              <w:rPr>
                <w:snapToGrid w:val="0"/>
                <w:color w:val="auto"/>
                <w:kern w:val="0"/>
              </w:rPr>
            </w:pPr>
            <w:r>
              <w:rPr>
                <w:rFonts w:hint="eastAsia"/>
                <w:snapToGrid w:val="0"/>
                <w:color w:val="auto"/>
                <w:kern w:val="0"/>
                <w:szCs w:val="21"/>
              </w:rPr>
              <w:t>项目生产过程中产生的各类废气经集气罩收集，通过布袋除尘+二级活性炭处理后通过</w:t>
            </w:r>
            <w:r>
              <w:rPr>
                <w:rFonts w:hint="eastAsia"/>
                <w:snapToGrid w:val="0"/>
                <w:color w:val="auto"/>
                <w:kern w:val="0"/>
                <w:szCs w:val="21"/>
                <w:lang w:val="en-US" w:eastAsia="zh-CN"/>
              </w:rPr>
              <w:t>25</w:t>
            </w:r>
            <w:r>
              <w:rPr>
                <w:rFonts w:hint="eastAsia"/>
                <w:snapToGrid w:val="0"/>
                <w:color w:val="auto"/>
                <w:kern w:val="0"/>
                <w:szCs w:val="21"/>
              </w:rPr>
              <w:t>米高排气筒排放</w:t>
            </w:r>
            <w:r>
              <w:rPr>
                <w:snapToGrid w:val="0"/>
                <w:color w:val="auto"/>
                <w:kern w:val="0"/>
                <w:szCs w:val="21"/>
              </w:rPr>
              <w:t>，</w:t>
            </w:r>
            <w:r>
              <w:rPr>
                <w:snapToGrid w:val="0"/>
                <w:color w:val="auto"/>
                <w:kern w:val="0"/>
              </w:rPr>
              <w:t>通过加强管理，定期更换活性炭保证装置有效运行，</w:t>
            </w:r>
            <w:r>
              <w:rPr>
                <w:rFonts w:hint="eastAsia"/>
                <w:snapToGrid w:val="0"/>
                <w:color w:val="auto"/>
                <w:kern w:val="0"/>
              </w:rPr>
              <w:t>废气污染物</w:t>
            </w:r>
            <w:r>
              <w:rPr>
                <w:snapToGrid w:val="0"/>
                <w:color w:val="auto"/>
                <w:kern w:val="0"/>
              </w:rPr>
              <w:t>去除效率以</w:t>
            </w:r>
            <w:r>
              <w:rPr>
                <w:rFonts w:hint="eastAsia"/>
                <w:snapToGrid w:val="0"/>
                <w:color w:val="auto"/>
                <w:kern w:val="0"/>
              </w:rPr>
              <w:t>9</w:t>
            </w:r>
            <w:r>
              <w:rPr>
                <w:snapToGrid w:val="0"/>
                <w:color w:val="auto"/>
                <w:kern w:val="0"/>
              </w:rPr>
              <w:t>0%计。建设单位运营后将根据报告监测要求委托第三方监测机构进行监测并做好报告的整理保存。</w:t>
            </w:r>
          </w:p>
          <w:p>
            <w:pPr>
              <w:overflowPunct w:val="0"/>
              <w:autoSpaceDE w:val="0"/>
              <w:autoSpaceDN w:val="0"/>
              <w:adjustRightInd w:val="0"/>
              <w:snapToGrid w:val="0"/>
              <w:spacing w:line="360" w:lineRule="auto"/>
              <w:ind w:firstLine="420" w:firstLineChars="200"/>
              <w:rPr>
                <w:snapToGrid w:val="0"/>
                <w:color w:val="auto"/>
                <w:kern w:val="0"/>
              </w:rPr>
            </w:pPr>
            <w:r>
              <w:rPr>
                <w:snapToGrid w:val="0"/>
                <w:color w:val="auto"/>
                <w:kern w:val="0"/>
              </w:rPr>
              <w:t>综上，本项目符合《江苏省挥发性有机物污染防治管理办法》（江苏省人民政府令第119号）相关要求。</w:t>
            </w:r>
          </w:p>
          <w:p>
            <w:pPr>
              <w:adjustRightInd w:val="0"/>
              <w:snapToGrid w:val="0"/>
              <w:spacing w:line="360" w:lineRule="auto"/>
              <w:ind w:firstLine="422" w:firstLineChars="200"/>
              <w:rPr>
                <w:b/>
                <w:bCs/>
                <w:color w:val="auto"/>
                <w:szCs w:val="21"/>
              </w:rPr>
            </w:pPr>
            <w:bookmarkStart w:id="4" w:name="_Hlk45717707"/>
            <w:r>
              <w:rPr>
                <w:b/>
                <w:bCs/>
                <w:color w:val="auto"/>
                <w:szCs w:val="21"/>
              </w:rPr>
              <w:t>9</w:t>
            </w:r>
            <w:r>
              <w:rPr>
                <w:rFonts w:hint="eastAsia"/>
                <w:b/>
                <w:bCs/>
                <w:color w:val="auto"/>
                <w:szCs w:val="21"/>
              </w:rPr>
              <w:t>、</w:t>
            </w:r>
            <w:r>
              <w:rPr>
                <w:b/>
                <w:bCs/>
                <w:color w:val="auto"/>
                <w:szCs w:val="21"/>
              </w:rPr>
              <w:t>与</w:t>
            </w:r>
            <w:bookmarkStart w:id="5" w:name="_Hlk45717903"/>
            <w:r>
              <w:rPr>
                <w:b/>
                <w:bCs/>
                <w:color w:val="auto"/>
                <w:szCs w:val="21"/>
              </w:rPr>
              <w:t>《2020年挥发性有机物治理攻坚方案》（环大气[2020]33号）</w:t>
            </w:r>
            <w:bookmarkEnd w:id="5"/>
            <w:r>
              <w:rPr>
                <w:b/>
                <w:bCs/>
                <w:color w:val="auto"/>
                <w:szCs w:val="21"/>
              </w:rPr>
              <w:t>相符性</w:t>
            </w:r>
            <w:bookmarkEnd w:id="4"/>
          </w:p>
          <w:p>
            <w:pPr>
              <w:adjustRightInd w:val="0"/>
              <w:snapToGrid w:val="0"/>
              <w:spacing w:line="360" w:lineRule="auto"/>
              <w:ind w:firstLine="480"/>
              <w:rPr>
                <w:color w:val="auto"/>
              </w:rPr>
            </w:pPr>
            <w:r>
              <w:rPr>
                <w:color w:val="auto"/>
              </w:rPr>
              <w:t>本项目与生态环境部办公厅文件《2020年挥发性有机物治理攻坚方案》（环大气[2020]33号）中有关要求进行相符性分析，具体见下表。</w:t>
            </w:r>
          </w:p>
          <w:p>
            <w:pPr>
              <w:adjustRightInd w:val="0"/>
              <w:snapToGrid w:val="0"/>
              <w:jc w:val="center"/>
              <w:rPr>
                <w:b/>
                <w:bCs/>
                <w:color w:val="auto"/>
              </w:rPr>
            </w:pPr>
            <w:r>
              <w:rPr>
                <w:b/>
                <w:bCs/>
                <w:color w:val="auto"/>
              </w:rPr>
              <w:t>表1-</w:t>
            </w:r>
            <w:r>
              <w:rPr>
                <w:rFonts w:hint="eastAsia"/>
                <w:b/>
                <w:bCs/>
                <w:color w:val="auto"/>
              </w:rPr>
              <w:t>8</w:t>
            </w:r>
            <w:r>
              <w:rPr>
                <w:b/>
                <w:bCs/>
                <w:color w:val="auto"/>
              </w:rPr>
              <w:t xml:space="preserve">  项目与《2020年挥发性有机物治理攻坚方案》（环大气[2020]33号）的相符性</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72"/>
              <w:gridCol w:w="4478"/>
              <w:gridCol w:w="2213"/>
              <w:gridCol w:w="8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95" w:type="pct"/>
                  <w:vAlign w:val="center"/>
                </w:tcPr>
                <w:p>
                  <w:pPr>
                    <w:widowControl/>
                    <w:adjustRightInd w:val="0"/>
                    <w:snapToGrid w:val="0"/>
                    <w:spacing w:line="240" w:lineRule="atLeast"/>
                    <w:jc w:val="center"/>
                    <w:rPr>
                      <w:b/>
                      <w:bCs/>
                      <w:color w:val="auto"/>
                      <w:sz w:val="18"/>
                      <w:szCs w:val="18"/>
                    </w:rPr>
                  </w:pPr>
                  <w:r>
                    <w:rPr>
                      <w:b/>
                      <w:bCs/>
                      <w:color w:val="auto"/>
                      <w:sz w:val="18"/>
                      <w:szCs w:val="18"/>
                    </w:rPr>
                    <w:t>序号</w:t>
                  </w:r>
                </w:p>
              </w:tc>
              <w:tc>
                <w:tcPr>
                  <w:tcW w:w="2801" w:type="pct"/>
                  <w:vAlign w:val="center"/>
                </w:tcPr>
                <w:p>
                  <w:pPr>
                    <w:widowControl/>
                    <w:adjustRightInd w:val="0"/>
                    <w:snapToGrid w:val="0"/>
                    <w:spacing w:line="240" w:lineRule="atLeast"/>
                    <w:jc w:val="center"/>
                    <w:rPr>
                      <w:b/>
                      <w:bCs/>
                      <w:color w:val="auto"/>
                      <w:sz w:val="18"/>
                      <w:szCs w:val="18"/>
                    </w:rPr>
                  </w:pPr>
                  <w:r>
                    <w:rPr>
                      <w:b/>
                      <w:bCs/>
                      <w:color w:val="auto"/>
                      <w:sz w:val="18"/>
                      <w:szCs w:val="18"/>
                    </w:rPr>
                    <w:t>指南要求</w:t>
                  </w:r>
                </w:p>
              </w:tc>
              <w:tc>
                <w:tcPr>
                  <w:tcW w:w="1384" w:type="pct"/>
                  <w:vAlign w:val="center"/>
                </w:tcPr>
                <w:p>
                  <w:pPr>
                    <w:widowControl/>
                    <w:adjustRightInd w:val="0"/>
                    <w:snapToGrid w:val="0"/>
                    <w:spacing w:line="240" w:lineRule="atLeast"/>
                    <w:jc w:val="center"/>
                    <w:rPr>
                      <w:b/>
                      <w:bCs/>
                      <w:color w:val="auto"/>
                      <w:sz w:val="18"/>
                      <w:szCs w:val="18"/>
                    </w:rPr>
                  </w:pPr>
                  <w:r>
                    <w:rPr>
                      <w:b/>
                      <w:bCs/>
                      <w:color w:val="auto"/>
                      <w:sz w:val="18"/>
                      <w:szCs w:val="18"/>
                    </w:rPr>
                    <w:t>项目情况</w:t>
                  </w:r>
                </w:p>
              </w:tc>
              <w:tc>
                <w:tcPr>
                  <w:tcW w:w="518" w:type="pct"/>
                  <w:vAlign w:val="center"/>
                </w:tcPr>
                <w:p>
                  <w:pPr>
                    <w:widowControl/>
                    <w:adjustRightInd w:val="0"/>
                    <w:snapToGrid w:val="0"/>
                    <w:spacing w:line="240" w:lineRule="atLeast"/>
                    <w:jc w:val="center"/>
                    <w:rPr>
                      <w:b/>
                      <w:bCs/>
                      <w:color w:val="auto"/>
                      <w:sz w:val="18"/>
                      <w:szCs w:val="18"/>
                    </w:rPr>
                  </w:pPr>
                  <w:r>
                    <w:rPr>
                      <w:b/>
                      <w:bCs/>
                      <w:color w:val="auto"/>
                      <w:sz w:val="18"/>
                      <w:szCs w:val="18"/>
                    </w:rPr>
                    <w:t>相符性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 w:type="pct"/>
                  <w:vAlign w:val="center"/>
                </w:tcPr>
                <w:p>
                  <w:pPr>
                    <w:widowControl/>
                    <w:adjustRightInd w:val="0"/>
                    <w:snapToGrid w:val="0"/>
                    <w:spacing w:line="240" w:lineRule="atLeast"/>
                    <w:jc w:val="center"/>
                    <w:rPr>
                      <w:color w:val="auto"/>
                      <w:sz w:val="18"/>
                      <w:szCs w:val="18"/>
                    </w:rPr>
                  </w:pPr>
                  <w:r>
                    <w:rPr>
                      <w:color w:val="auto"/>
                      <w:sz w:val="18"/>
                      <w:szCs w:val="18"/>
                    </w:rPr>
                    <w:t>1</w:t>
                  </w:r>
                </w:p>
              </w:tc>
              <w:tc>
                <w:tcPr>
                  <w:tcW w:w="2801" w:type="pct"/>
                  <w:vAlign w:val="center"/>
                </w:tcPr>
                <w:p>
                  <w:pPr>
                    <w:widowControl/>
                    <w:adjustRightInd w:val="0"/>
                    <w:snapToGrid w:val="0"/>
                    <w:spacing w:line="240" w:lineRule="atLeast"/>
                    <w:rPr>
                      <w:color w:val="auto"/>
                      <w:sz w:val="18"/>
                      <w:szCs w:val="18"/>
                    </w:rPr>
                  </w:pPr>
                  <w:r>
                    <w:rPr>
                      <w:color w:val="auto"/>
                      <w:sz w:val="18"/>
                      <w:szCs w:val="18"/>
                    </w:rPr>
                    <w:t>一、大力推进源头替代，有效减少VOCs产生：严格落实国家和地方产品VOCs含量限值标准。2020年7月1日起，船舶涂料和地坪涂料生产、销售和使用应满足新颁布实施的国家产品有害物质限量标准要求。督促生产企业提前做好油墨、胶粘剂、清洗剂及木器、车辆、建筑用外墙、工业防护涂料等有害物质限量标准实施准备工作，在标准正式生效前有序完成切换，有条件的地区根据环境空气质量改善需要提前实施。将全面使用符合国家要求的低VOCs含量原辅材料的企业纳入正面清单和政府绿色采购清单。生产设施防腐防水防锈涂装应避开夏季或采用低VOCs含量涂料。使用的原辅材料VOCs含量（质量比）均低于10%的工序，可不要求采取无组织排放收集和处理措施。推进政府绿色采购，要求家具、印刷等政府定点招标采购企业优先使用低挥发性原辅材料，鼓励汽车维修等政府定点招标采购企业使用低挥发性原辅材料；将低VOCs含量产品纳入政府采购名录，并在政府投资项目中优先使用；引导将使用低VOCs含量涂料、胶粘剂等纳入政府采购装修合同环保条款。</w:t>
                  </w:r>
                </w:p>
              </w:tc>
              <w:tc>
                <w:tcPr>
                  <w:tcW w:w="1384" w:type="pct"/>
                  <w:vMerge w:val="restart"/>
                  <w:vAlign w:val="center"/>
                </w:tcPr>
                <w:p>
                  <w:pPr>
                    <w:widowControl/>
                    <w:adjustRightInd w:val="0"/>
                    <w:snapToGrid w:val="0"/>
                    <w:spacing w:line="240" w:lineRule="atLeast"/>
                    <w:rPr>
                      <w:color w:val="auto"/>
                      <w:kern w:val="0"/>
                      <w:sz w:val="18"/>
                      <w:szCs w:val="18"/>
                    </w:rPr>
                  </w:pPr>
                  <w:r>
                    <w:rPr>
                      <w:rFonts w:hint="eastAsia"/>
                      <w:color w:val="auto"/>
                      <w:sz w:val="18"/>
                      <w:szCs w:val="18"/>
                    </w:rPr>
                    <w:t>项目生产过程中产生的</w:t>
                  </w:r>
                  <w:r>
                    <w:rPr>
                      <w:rStyle w:val="45"/>
                      <w:rFonts w:hint="eastAsia"/>
                      <w:color w:val="auto"/>
                      <w:kern w:val="0"/>
                      <w:sz w:val="18"/>
                      <w:szCs w:val="18"/>
                    </w:rPr>
                    <w:t>混炼、开炼、成型等</w:t>
                  </w:r>
                  <w:r>
                    <w:rPr>
                      <w:rFonts w:hint="eastAsia"/>
                      <w:color w:val="auto"/>
                      <w:sz w:val="18"/>
                      <w:szCs w:val="18"/>
                    </w:rPr>
                    <w:t>废气</w:t>
                  </w:r>
                  <w:r>
                    <w:rPr>
                      <w:rFonts w:hint="eastAsia"/>
                      <w:color w:val="auto"/>
                      <w:sz w:val="18"/>
                      <w:szCs w:val="18"/>
                    </w:rPr>
                    <w:t>经集气罩收集，通过布袋除尘+二级活性炭处理后通过</w:t>
                  </w:r>
                  <w:r>
                    <w:rPr>
                      <w:rFonts w:hint="eastAsia"/>
                      <w:color w:val="auto"/>
                      <w:sz w:val="18"/>
                      <w:szCs w:val="18"/>
                      <w:lang w:val="en-US" w:eastAsia="zh-CN"/>
                    </w:rPr>
                    <w:t>25</w:t>
                  </w:r>
                  <w:r>
                    <w:rPr>
                      <w:rFonts w:hint="eastAsia"/>
                      <w:color w:val="auto"/>
                      <w:sz w:val="18"/>
                      <w:szCs w:val="18"/>
                    </w:rPr>
                    <w:t>米高排气筒排放，通过加强车间通风，满足排放标准要求。</w:t>
                  </w:r>
                </w:p>
              </w:tc>
              <w:tc>
                <w:tcPr>
                  <w:tcW w:w="518" w:type="pct"/>
                  <w:vAlign w:val="center"/>
                </w:tcPr>
                <w:p>
                  <w:pPr>
                    <w:widowControl/>
                    <w:adjustRightInd w:val="0"/>
                    <w:snapToGrid w:val="0"/>
                    <w:spacing w:line="240" w:lineRule="atLeast"/>
                    <w:jc w:val="center"/>
                    <w:rPr>
                      <w:color w:val="auto"/>
                      <w:sz w:val="18"/>
                      <w:szCs w:val="18"/>
                    </w:rPr>
                  </w:pPr>
                  <w:r>
                    <w:rPr>
                      <w:color w:val="auto"/>
                      <w:sz w:val="18"/>
                      <w:szCs w:val="18"/>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 w:type="pct"/>
                  <w:vAlign w:val="center"/>
                </w:tcPr>
                <w:p>
                  <w:pPr>
                    <w:widowControl/>
                    <w:adjustRightInd w:val="0"/>
                    <w:snapToGrid w:val="0"/>
                    <w:spacing w:line="240" w:lineRule="atLeast"/>
                    <w:jc w:val="center"/>
                    <w:rPr>
                      <w:color w:val="auto"/>
                      <w:sz w:val="18"/>
                      <w:szCs w:val="18"/>
                    </w:rPr>
                  </w:pPr>
                  <w:r>
                    <w:rPr>
                      <w:color w:val="auto"/>
                      <w:sz w:val="18"/>
                      <w:szCs w:val="18"/>
                    </w:rPr>
                    <w:t>2</w:t>
                  </w:r>
                </w:p>
              </w:tc>
              <w:tc>
                <w:tcPr>
                  <w:tcW w:w="2801" w:type="pct"/>
                  <w:vAlign w:val="center"/>
                </w:tcPr>
                <w:p>
                  <w:pPr>
                    <w:widowControl/>
                    <w:adjustRightInd w:val="0"/>
                    <w:snapToGrid w:val="0"/>
                    <w:spacing w:line="240" w:lineRule="atLeast"/>
                    <w:rPr>
                      <w:color w:val="auto"/>
                      <w:sz w:val="18"/>
                      <w:szCs w:val="18"/>
                    </w:rPr>
                  </w:pPr>
                  <w:r>
                    <w:rPr>
                      <w:color w:val="auto"/>
                      <w:sz w:val="18"/>
                      <w:szCs w:val="18"/>
                    </w:rPr>
                    <w:t>二、全面落实标准要求，强化无组织排放控制：2020年7月1日起全面执行《挥发性有机物无组织排放控制标准》，落实无组织排放特别控制要求。各地要加大标准生效时间、涉及行业及控制要求等宣贯力度，通过现场指导、组织培训、新媒体信息推送等多种方式，督促指导企业对照标准要求开展含VOCs物料（包括含VOCs原辅材料、含VOCs产品、含VOCs废料以及有机聚合物材料等）储存、转移和输送、设备与管线组件泄漏、敞开液面逸散以及工艺过程等无组织排放环节排查整治，对达不到要求的加快整改。指导企业制定VOCs无组织排放控制规程，细化到具体工序和生产环节，以及启停机、检维修作业等，落实到具体责任人；健全内部考核制度，严格按照操作规程生产。企业在无组织排放排查整治过程中，在保证安全的前提下，加强含VOCs物料全方位、全链条、全环节密闭管理。储存环节应采用密闭容器、包装袋，高效密封储罐，封闭式储库、料仓等；装卸、转移和输送环节应采用密闭管道或密闭容器、罐车等；生产和使用环节应采用密闭设备，或在密闭空间中操作并有效收集废气，或进行局部气体收集；处置环节应将盛装过VOCs物料的废包装容器加盖密闭，按要求妥善处置，不得随意丢弃；高VOCs含量废水的集输、储存和处理环节，应加盖密闭。</w:t>
                  </w:r>
                </w:p>
              </w:tc>
              <w:tc>
                <w:tcPr>
                  <w:tcW w:w="1384" w:type="pct"/>
                  <w:vMerge w:val="continue"/>
                  <w:vAlign w:val="center"/>
                </w:tcPr>
                <w:p>
                  <w:pPr>
                    <w:widowControl/>
                    <w:adjustRightInd w:val="0"/>
                    <w:snapToGrid w:val="0"/>
                    <w:spacing w:line="240" w:lineRule="atLeast"/>
                    <w:rPr>
                      <w:color w:val="auto"/>
                      <w:kern w:val="0"/>
                      <w:sz w:val="18"/>
                      <w:szCs w:val="18"/>
                    </w:rPr>
                  </w:pPr>
                </w:p>
              </w:tc>
              <w:tc>
                <w:tcPr>
                  <w:tcW w:w="518" w:type="pct"/>
                  <w:vAlign w:val="center"/>
                </w:tcPr>
                <w:p>
                  <w:pPr>
                    <w:widowControl/>
                    <w:adjustRightInd w:val="0"/>
                    <w:snapToGrid w:val="0"/>
                    <w:spacing w:line="240" w:lineRule="atLeast"/>
                    <w:jc w:val="center"/>
                    <w:rPr>
                      <w:color w:val="auto"/>
                      <w:sz w:val="18"/>
                      <w:szCs w:val="18"/>
                    </w:rPr>
                  </w:pPr>
                  <w:r>
                    <w:rPr>
                      <w:color w:val="auto"/>
                      <w:sz w:val="18"/>
                      <w:szCs w:val="18"/>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295" w:type="pct"/>
                  <w:vAlign w:val="center"/>
                </w:tcPr>
                <w:p>
                  <w:pPr>
                    <w:widowControl/>
                    <w:adjustRightInd w:val="0"/>
                    <w:snapToGrid w:val="0"/>
                    <w:spacing w:line="240" w:lineRule="atLeast"/>
                    <w:jc w:val="center"/>
                    <w:rPr>
                      <w:color w:val="auto"/>
                      <w:sz w:val="18"/>
                      <w:szCs w:val="18"/>
                    </w:rPr>
                  </w:pPr>
                  <w:r>
                    <w:rPr>
                      <w:color w:val="auto"/>
                      <w:sz w:val="18"/>
                      <w:szCs w:val="18"/>
                    </w:rPr>
                    <w:t>3</w:t>
                  </w:r>
                </w:p>
              </w:tc>
              <w:tc>
                <w:tcPr>
                  <w:tcW w:w="2801" w:type="pct"/>
                  <w:vAlign w:val="center"/>
                </w:tcPr>
                <w:p>
                  <w:pPr>
                    <w:widowControl/>
                    <w:adjustRightInd w:val="0"/>
                    <w:snapToGrid w:val="0"/>
                    <w:spacing w:line="240" w:lineRule="atLeast"/>
                    <w:rPr>
                      <w:color w:val="auto"/>
                      <w:sz w:val="18"/>
                      <w:szCs w:val="18"/>
                    </w:rPr>
                  </w:pPr>
                  <w:r>
                    <w:rPr>
                      <w:color w:val="auto"/>
                      <w:sz w:val="18"/>
                      <w:szCs w:val="18"/>
                    </w:rPr>
                    <w:t>三、聚焦治污设施“三率”，提升综合治理效率：组织企业开展现有VOCs治理设施评估，全面评估废气收集率、治理设施同步运行率和去除率。对达不到要求的VOCs收集、治理设施进行更换或升级改造，实现达标排放，石化、化工、包装印刷、工业涂装、制药等VOCs排放重点源6月底前完成。对单一采用光氧化、光催化、低温等离子、一次活性炭吸附、喷淋吸收、生物法等工艺设施的，要重点加强效果评估。行业排放标准中规定特别排放限值和控制要求的，应按相关规定执行；未制定行业标准的应执行大气污染物综合排放标准和挥发性有机物无组织排放控制标准；已制定更严格地方排放标准的，按地方标准执行。按照“应收尽收”的原则提升废气收集率。推动取消废气排放系统旁路，因安全生产等原因必须保留的，要通过安装自动监控设施等方式加强监管。将无组织排放转变为有组织排放进行控制，优先采用密闭设备、在密闭空间中操作或采用全密闭集气罩收集方式；对于采用局部集气罩的，应根据废气排放特点合理选择收集点位，距集气罩开口面最远处的VOCs无组织排放位置，控制风速不低于0.3米/秒。按照与生产设备“同启同停”的原则提升治理设施运行率。</w:t>
                  </w:r>
                </w:p>
              </w:tc>
              <w:tc>
                <w:tcPr>
                  <w:tcW w:w="1384" w:type="pct"/>
                  <w:vMerge w:val="continue"/>
                  <w:vAlign w:val="center"/>
                </w:tcPr>
                <w:p>
                  <w:pPr>
                    <w:widowControl/>
                    <w:adjustRightInd w:val="0"/>
                    <w:snapToGrid w:val="0"/>
                    <w:spacing w:line="240" w:lineRule="atLeast"/>
                    <w:rPr>
                      <w:color w:val="auto"/>
                      <w:sz w:val="18"/>
                      <w:szCs w:val="18"/>
                    </w:rPr>
                  </w:pPr>
                </w:p>
              </w:tc>
              <w:tc>
                <w:tcPr>
                  <w:tcW w:w="518" w:type="pct"/>
                  <w:vAlign w:val="center"/>
                </w:tcPr>
                <w:p>
                  <w:pPr>
                    <w:widowControl/>
                    <w:adjustRightInd w:val="0"/>
                    <w:snapToGrid w:val="0"/>
                    <w:spacing w:line="240" w:lineRule="atLeast"/>
                    <w:jc w:val="center"/>
                    <w:rPr>
                      <w:color w:val="auto"/>
                      <w:sz w:val="18"/>
                      <w:szCs w:val="18"/>
                    </w:rPr>
                  </w:pPr>
                  <w:r>
                    <w:rPr>
                      <w:color w:val="auto"/>
                      <w:sz w:val="18"/>
                      <w:szCs w:val="18"/>
                    </w:rPr>
                    <w:t>符合</w:t>
                  </w:r>
                </w:p>
              </w:tc>
            </w:tr>
          </w:tbl>
          <w:p>
            <w:pPr>
              <w:autoSpaceDE w:val="0"/>
              <w:autoSpaceDN w:val="0"/>
              <w:adjustRightInd w:val="0"/>
              <w:snapToGrid w:val="0"/>
              <w:spacing w:line="360" w:lineRule="auto"/>
              <w:ind w:firstLine="480"/>
              <w:rPr>
                <w:b/>
                <w:color w:val="auto"/>
              </w:rPr>
            </w:pPr>
            <w:r>
              <w:rPr>
                <w:color w:val="auto"/>
              </w:rPr>
              <w:t>由上表可知，本项目符合《2020年挥发性有机物治理攻坚方案》（环大气[2020]33号）的总体要求。</w:t>
            </w:r>
          </w:p>
        </w:tc>
      </w:tr>
    </w:tbl>
    <w:p>
      <w:pPr>
        <w:spacing w:line="360" w:lineRule="auto"/>
        <w:outlineLvl w:val="0"/>
        <w:rPr>
          <w:rFonts w:eastAsia="黑体"/>
          <w:color w:val="auto"/>
          <w:sz w:val="30"/>
        </w:rPr>
        <w:sectPr>
          <w:footerReference r:id="rId5" w:type="default"/>
          <w:pgSz w:w="11906" w:h="16838"/>
          <w:pgMar w:top="1440" w:right="1080" w:bottom="1440" w:left="1080" w:header="851" w:footer="1077" w:gutter="0"/>
          <w:pgNumType w:start="1"/>
          <w:cols w:space="720" w:num="1"/>
          <w:docGrid w:linePitch="312" w:charSpace="0"/>
        </w:sectPr>
      </w:pPr>
    </w:p>
    <w:p>
      <w:pPr>
        <w:spacing w:line="360" w:lineRule="auto"/>
        <w:jc w:val="center"/>
        <w:outlineLvl w:val="0"/>
        <w:rPr>
          <w:rFonts w:eastAsia="黑体"/>
          <w:snapToGrid w:val="0"/>
          <w:color w:val="auto"/>
          <w:sz w:val="30"/>
          <w:szCs w:val="30"/>
        </w:rPr>
      </w:pPr>
      <w:r>
        <w:rPr>
          <w:rFonts w:eastAsia="黑体"/>
          <w:snapToGrid w:val="0"/>
          <w:color w:val="auto"/>
          <w:sz w:val="30"/>
          <w:szCs w:val="30"/>
        </w:rPr>
        <w:t>二、建设项目工程分析</w:t>
      </w:r>
    </w:p>
    <w:tbl>
      <w:tblPr>
        <w:tblStyle w:val="37"/>
        <w:tblpPr w:leftFromText="180" w:rightFromText="180" w:vertAnchor="text" w:tblpXSpec="center" w:tblpY="1"/>
        <w:tblOverlap w:val="never"/>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6"/>
        <w:gridCol w:w="952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76" w:hRule="atLeast"/>
        </w:trPr>
        <w:tc>
          <w:tcPr>
            <w:tcW w:w="431" w:type="dxa"/>
            <w:tcBorders>
              <w:top w:val="single" w:color="auto" w:sz="4" w:space="0"/>
              <w:left w:val="single" w:color="auto" w:sz="4" w:space="0"/>
              <w:bottom w:val="single" w:color="auto" w:sz="4" w:space="0"/>
            </w:tcBorders>
            <w:vAlign w:val="center"/>
          </w:tcPr>
          <w:p>
            <w:pPr>
              <w:adjustRightInd w:val="0"/>
              <w:snapToGrid w:val="0"/>
              <w:jc w:val="center"/>
              <w:rPr>
                <w:color w:val="auto"/>
                <w:szCs w:val="21"/>
              </w:rPr>
            </w:pPr>
            <w:r>
              <w:rPr>
                <w:color w:val="auto"/>
                <w:szCs w:val="21"/>
              </w:rPr>
              <w:t>建设内容</w:t>
            </w:r>
          </w:p>
        </w:tc>
        <w:tc>
          <w:tcPr>
            <w:tcW w:w="9531" w:type="dxa"/>
            <w:tcBorders>
              <w:top w:val="single" w:color="auto" w:sz="4" w:space="0"/>
              <w:bottom w:val="single" w:color="auto" w:sz="4" w:space="0"/>
              <w:right w:val="single" w:color="auto" w:sz="4" w:space="0"/>
            </w:tcBorders>
          </w:tcPr>
          <w:p>
            <w:pPr>
              <w:spacing w:line="360" w:lineRule="auto"/>
              <w:ind w:firstLine="422" w:firstLineChars="200"/>
              <w:jc w:val="left"/>
              <w:rPr>
                <w:b/>
                <w:bCs/>
                <w:color w:val="auto"/>
                <w:szCs w:val="21"/>
              </w:rPr>
            </w:pPr>
            <w:r>
              <w:rPr>
                <w:b/>
                <w:bCs/>
                <w:color w:val="auto"/>
                <w:szCs w:val="21"/>
              </w:rPr>
              <w:t>1、项目概况</w:t>
            </w:r>
          </w:p>
          <w:p>
            <w:pPr>
              <w:adjustRightInd w:val="0"/>
              <w:snapToGrid w:val="0"/>
              <w:spacing w:line="360" w:lineRule="auto"/>
              <w:ind w:firstLine="384" w:firstLineChars="200"/>
              <w:rPr>
                <w:color w:val="auto"/>
              </w:rPr>
            </w:pPr>
            <w:r>
              <w:rPr>
                <w:color w:val="auto"/>
                <w:spacing w:val="-9"/>
                <w:szCs w:val="21"/>
              </w:rPr>
              <w:t>苏州路似达橡胶有限公司</w:t>
            </w:r>
            <w:r>
              <w:rPr>
                <w:rFonts w:hint="eastAsia"/>
                <w:color w:val="auto"/>
                <w:spacing w:val="-9"/>
                <w:szCs w:val="21"/>
              </w:rPr>
              <w:t>位于</w:t>
            </w:r>
            <w:r>
              <w:rPr>
                <w:rFonts w:hint="eastAsia"/>
                <w:color w:val="auto"/>
              </w:rPr>
              <w:t>太仓城厢镇东亭北路128号9幢，主要从事橡胶和塑料制品的生产、加工。</w:t>
            </w:r>
          </w:p>
          <w:p>
            <w:pPr>
              <w:adjustRightInd w:val="0"/>
              <w:snapToGrid w:val="0"/>
              <w:spacing w:line="360" w:lineRule="auto"/>
              <w:ind w:firstLine="420" w:firstLineChars="200"/>
              <w:rPr>
                <w:color w:val="auto"/>
              </w:rPr>
            </w:pPr>
            <w:r>
              <w:rPr>
                <w:color w:val="auto"/>
              </w:rPr>
              <w:t>苏州路似达橡胶有限公司</w:t>
            </w:r>
            <w:r>
              <w:rPr>
                <w:rFonts w:hint="eastAsia"/>
                <w:color w:val="auto"/>
              </w:rPr>
              <w:t>原名苏州瑞拓橡塑科技有限公司，于2</w:t>
            </w:r>
            <w:r>
              <w:rPr>
                <w:color w:val="auto"/>
              </w:rPr>
              <w:t>013</w:t>
            </w:r>
            <w:r>
              <w:rPr>
                <w:rFonts w:hint="eastAsia"/>
                <w:color w:val="auto"/>
              </w:rPr>
              <w:t>年以瑞拓公司（即苏州瑞拓橡塑科技有限公司简称）名义，投资5</w:t>
            </w:r>
            <w:r>
              <w:rPr>
                <w:color w:val="auto"/>
              </w:rPr>
              <w:t>00</w:t>
            </w:r>
            <w:r>
              <w:rPr>
                <w:rFonts w:hint="eastAsia"/>
                <w:color w:val="auto"/>
              </w:rPr>
              <w:t>万元，建设年产密封件30吨、密封垫20吨、O型圈10吨、胶管20吨、塑料件30吨新建项目，并于2</w:t>
            </w:r>
            <w:r>
              <w:rPr>
                <w:color w:val="auto"/>
              </w:rPr>
              <w:t>013</w:t>
            </w:r>
            <w:r>
              <w:rPr>
                <w:rFonts w:hint="eastAsia"/>
                <w:color w:val="auto"/>
              </w:rPr>
              <w:t>年1月委托编制了项目环境影响报告表。该项目于2</w:t>
            </w:r>
            <w:r>
              <w:rPr>
                <w:color w:val="auto"/>
              </w:rPr>
              <w:t>013</w:t>
            </w:r>
            <w:r>
              <w:rPr>
                <w:rFonts w:hint="eastAsia"/>
                <w:color w:val="auto"/>
              </w:rPr>
              <w:t>年1月1</w:t>
            </w:r>
            <w:r>
              <w:rPr>
                <w:color w:val="auto"/>
              </w:rPr>
              <w:t>3</w:t>
            </w:r>
            <w:r>
              <w:rPr>
                <w:rFonts w:hint="eastAsia"/>
                <w:color w:val="auto"/>
              </w:rPr>
              <w:t>日经</w:t>
            </w:r>
            <w:r>
              <w:rPr>
                <w:color w:val="auto"/>
              </w:rPr>
              <w:t>太仓市环境保护局批复</w:t>
            </w:r>
            <w:r>
              <w:rPr>
                <w:rFonts w:hint="eastAsia"/>
                <w:color w:val="auto"/>
              </w:rPr>
              <w:t>（太环建〔201</w:t>
            </w:r>
            <w:r>
              <w:rPr>
                <w:color w:val="auto"/>
              </w:rPr>
              <w:t>3</w:t>
            </w:r>
            <w:r>
              <w:rPr>
                <w:rFonts w:hint="eastAsia"/>
                <w:color w:val="auto"/>
              </w:rPr>
              <w:t>〕16号）。</w:t>
            </w:r>
          </w:p>
          <w:p>
            <w:pPr>
              <w:adjustRightInd w:val="0"/>
              <w:snapToGrid w:val="0"/>
              <w:spacing w:line="360" w:lineRule="auto"/>
              <w:ind w:firstLine="420" w:firstLineChars="200"/>
              <w:rPr>
                <w:color w:val="auto"/>
              </w:rPr>
            </w:pPr>
            <w:r>
              <w:rPr>
                <w:rFonts w:hint="eastAsia"/>
                <w:color w:val="auto"/>
              </w:rPr>
              <w:t>2</w:t>
            </w:r>
            <w:r>
              <w:rPr>
                <w:color w:val="auto"/>
              </w:rPr>
              <w:t>016</w:t>
            </w:r>
            <w:r>
              <w:rPr>
                <w:rFonts w:hint="eastAsia"/>
                <w:color w:val="auto"/>
              </w:rPr>
              <w:t>年因苏州瑞拓橡塑科技有限公司更名为</w:t>
            </w:r>
            <w:r>
              <w:rPr>
                <w:color w:val="auto"/>
              </w:rPr>
              <w:t>苏州路似达橡胶有限公司</w:t>
            </w:r>
            <w:r>
              <w:rPr>
                <w:rFonts w:hint="eastAsia"/>
                <w:color w:val="auto"/>
              </w:rPr>
              <w:t>（以下简称路似达），路似达公司填报了建设项目环境影响登记表，除公司名称变化外，其他均未发生变化，该项目于2</w:t>
            </w:r>
            <w:r>
              <w:rPr>
                <w:color w:val="auto"/>
              </w:rPr>
              <w:t>016</w:t>
            </w:r>
            <w:r>
              <w:rPr>
                <w:rFonts w:hint="eastAsia"/>
                <w:color w:val="auto"/>
              </w:rPr>
              <w:t>年1月7日经</w:t>
            </w:r>
            <w:r>
              <w:rPr>
                <w:color w:val="auto"/>
              </w:rPr>
              <w:t>太仓市环境保护局批复</w:t>
            </w:r>
            <w:r>
              <w:rPr>
                <w:rFonts w:hint="eastAsia"/>
                <w:color w:val="auto"/>
              </w:rPr>
              <w:t>（太环建〔201</w:t>
            </w:r>
            <w:r>
              <w:rPr>
                <w:color w:val="auto"/>
              </w:rPr>
              <w:t>6</w:t>
            </w:r>
            <w:r>
              <w:rPr>
                <w:rFonts w:hint="eastAsia"/>
                <w:color w:val="auto"/>
              </w:rPr>
              <w:t>〕</w:t>
            </w:r>
            <w:r>
              <w:rPr>
                <w:color w:val="auto"/>
              </w:rPr>
              <w:t>2</w:t>
            </w:r>
            <w:r>
              <w:rPr>
                <w:rFonts w:hint="eastAsia"/>
                <w:color w:val="auto"/>
              </w:rPr>
              <w:t>号）。</w:t>
            </w:r>
          </w:p>
          <w:p>
            <w:pPr>
              <w:adjustRightInd w:val="0"/>
              <w:snapToGrid w:val="0"/>
              <w:spacing w:line="360" w:lineRule="auto"/>
              <w:rPr>
                <w:color w:val="auto"/>
              </w:rPr>
            </w:pPr>
            <w:r>
              <w:rPr>
                <w:rFonts w:hint="eastAsia"/>
                <w:color w:val="auto"/>
              </w:rPr>
              <w:t xml:space="preserve"> </w:t>
            </w:r>
            <w:r>
              <w:rPr>
                <w:color w:val="auto"/>
              </w:rPr>
              <w:t xml:space="preserve">       </w:t>
            </w:r>
            <w:r>
              <w:rPr>
                <w:rFonts w:hint="eastAsia"/>
                <w:color w:val="auto"/>
              </w:rPr>
              <w:t>后因公司发展需要，路似达公司不再生产塑料件，并于2</w:t>
            </w:r>
            <w:r>
              <w:rPr>
                <w:color w:val="auto"/>
              </w:rPr>
              <w:t>017</w:t>
            </w:r>
            <w:r>
              <w:rPr>
                <w:rFonts w:hint="eastAsia"/>
                <w:color w:val="auto"/>
              </w:rPr>
              <w:t>年通过了</w:t>
            </w:r>
            <w:r>
              <w:rPr>
                <w:color w:val="auto"/>
              </w:rPr>
              <w:t>太仓市环境保护局</w:t>
            </w:r>
            <w:r>
              <w:rPr>
                <w:rFonts w:hint="eastAsia"/>
                <w:color w:val="auto"/>
              </w:rPr>
              <w:t>组织的阶段竣工环保验收，并获得批文（太环建验〔2017〕299号）。</w:t>
            </w:r>
          </w:p>
          <w:p>
            <w:pPr>
              <w:adjustRightInd w:val="0"/>
              <w:snapToGrid w:val="0"/>
              <w:jc w:val="center"/>
              <w:rPr>
                <w:b/>
                <w:bCs/>
                <w:color w:val="auto"/>
                <w:spacing w:val="-7"/>
                <w:szCs w:val="21"/>
              </w:rPr>
            </w:pPr>
            <w:r>
              <w:rPr>
                <w:rFonts w:hint="eastAsia"/>
                <w:b/>
                <w:bCs/>
                <w:color w:val="auto"/>
                <w:spacing w:val="-7"/>
                <w:szCs w:val="21"/>
              </w:rPr>
              <w:t>表2-</w:t>
            </w:r>
            <w:r>
              <w:rPr>
                <w:b/>
                <w:bCs/>
                <w:color w:val="auto"/>
                <w:spacing w:val="-7"/>
                <w:szCs w:val="21"/>
              </w:rPr>
              <w:t xml:space="preserve">1   </w:t>
            </w:r>
            <w:r>
              <w:rPr>
                <w:rFonts w:hint="eastAsia"/>
                <w:b/>
                <w:bCs/>
                <w:color w:val="auto"/>
                <w:spacing w:val="-7"/>
                <w:szCs w:val="21"/>
              </w:rPr>
              <w:t>苏州路似达橡胶有限公司产品规模及审批情况一览表</w:t>
            </w:r>
          </w:p>
          <w:tbl>
            <w:tblPr>
              <w:tblStyle w:val="38"/>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18"/>
              <w:gridCol w:w="1425"/>
              <w:gridCol w:w="2026"/>
              <w:gridCol w:w="711"/>
              <w:gridCol w:w="1313"/>
              <w:gridCol w:w="711"/>
              <w:gridCol w:w="89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018" w:type="dxa"/>
                  <w:vAlign w:val="center"/>
                </w:tcPr>
                <w:p>
                  <w:pPr>
                    <w:jc w:val="center"/>
                    <w:rPr>
                      <w:b/>
                      <w:bCs/>
                      <w:color w:val="auto"/>
                      <w:sz w:val="18"/>
                      <w:szCs w:val="18"/>
                    </w:rPr>
                  </w:pPr>
                  <w:r>
                    <w:rPr>
                      <w:rFonts w:hint="eastAsia"/>
                      <w:b/>
                      <w:bCs/>
                      <w:color w:val="auto"/>
                      <w:sz w:val="18"/>
                      <w:szCs w:val="18"/>
                    </w:rPr>
                    <w:t>项目名称</w:t>
                  </w:r>
                </w:p>
              </w:tc>
              <w:tc>
                <w:tcPr>
                  <w:tcW w:w="1425" w:type="dxa"/>
                  <w:vAlign w:val="center"/>
                </w:tcPr>
                <w:p>
                  <w:pPr>
                    <w:jc w:val="center"/>
                    <w:rPr>
                      <w:b/>
                      <w:bCs/>
                      <w:color w:val="auto"/>
                      <w:sz w:val="18"/>
                      <w:szCs w:val="18"/>
                    </w:rPr>
                  </w:pPr>
                  <w:r>
                    <w:rPr>
                      <w:rFonts w:hint="eastAsia"/>
                      <w:b/>
                      <w:bCs/>
                      <w:color w:val="auto"/>
                      <w:sz w:val="18"/>
                      <w:szCs w:val="18"/>
                    </w:rPr>
                    <w:t>产品名称及规格</w:t>
                  </w:r>
                </w:p>
              </w:tc>
              <w:tc>
                <w:tcPr>
                  <w:tcW w:w="2026" w:type="dxa"/>
                  <w:vAlign w:val="center"/>
                </w:tcPr>
                <w:p>
                  <w:pPr>
                    <w:jc w:val="center"/>
                    <w:rPr>
                      <w:b/>
                      <w:bCs/>
                      <w:color w:val="auto"/>
                      <w:sz w:val="18"/>
                      <w:szCs w:val="18"/>
                    </w:rPr>
                  </w:pPr>
                  <w:r>
                    <w:rPr>
                      <w:rFonts w:hint="eastAsia"/>
                      <w:b/>
                      <w:bCs/>
                      <w:color w:val="auto"/>
                      <w:sz w:val="18"/>
                      <w:szCs w:val="18"/>
                    </w:rPr>
                    <w:t>环境影响评价审批文号及审批时间</w:t>
                  </w:r>
                </w:p>
              </w:tc>
              <w:tc>
                <w:tcPr>
                  <w:tcW w:w="711" w:type="dxa"/>
                  <w:vAlign w:val="center"/>
                </w:tcPr>
                <w:p>
                  <w:pPr>
                    <w:jc w:val="center"/>
                    <w:rPr>
                      <w:b/>
                      <w:bCs/>
                      <w:color w:val="auto"/>
                      <w:sz w:val="18"/>
                      <w:szCs w:val="18"/>
                    </w:rPr>
                  </w:pPr>
                  <w:r>
                    <w:rPr>
                      <w:b/>
                      <w:bCs/>
                      <w:color w:val="auto"/>
                      <w:sz w:val="18"/>
                      <w:szCs w:val="18"/>
                    </w:rPr>
                    <w:t>审批部门</w:t>
                  </w:r>
                </w:p>
              </w:tc>
              <w:tc>
                <w:tcPr>
                  <w:tcW w:w="1313" w:type="dxa"/>
                  <w:vAlign w:val="center"/>
                </w:tcPr>
                <w:p>
                  <w:pPr>
                    <w:jc w:val="center"/>
                    <w:rPr>
                      <w:b/>
                      <w:bCs/>
                      <w:color w:val="auto"/>
                      <w:sz w:val="18"/>
                      <w:szCs w:val="18"/>
                    </w:rPr>
                  </w:pPr>
                  <w:r>
                    <w:rPr>
                      <w:rFonts w:hint="eastAsia"/>
                      <w:b/>
                      <w:bCs/>
                      <w:color w:val="auto"/>
                      <w:sz w:val="18"/>
                      <w:szCs w:val="18"/>
                    </w:rPr>
                    <w:t>“三同时”环保验收文号及通过时间</w:t>
                  </w:r>
                </w:p>
              </w:tc>
              <w:tc>
                <w:tcPr>
                  <w:tcW w:w="711" w:type="dxa"/>
                  <w:vAlign w:val="center"/>
                </w:tcPr>
                <w:p>
                  <w:pPr>
                    <w:jc w:val="center"/>
                    <w:rPr>
                      <w:b/>
                      <w:bCs/>
                      <w:color w:val="auto"/>
                      <w:sz w:val="18"/>
                      <w:szCs w:val="18"/>
                    </w:rPr>
                  </w:pPr>
                  <w:r>
                    <w:rPr>
                      <w:rFonts w:hint="eastAsia"/>
                      <w:b/>
                      <w:bCs/>
                      <w:color w:val="auto"/>
                      <w:sz w:val="18"/>
                      <w:szCs w:val="18"/>
                    </w:rPr>
                    <w:t>验收部门</w:t>
                  </w:r>
                </w:p>
              </w:tc>
              <w:tc>
                <w:tcPr>
                  <w:tcW w:w="890" w:type="dxa"/>
                  <w:vAlign w:val="center"/>
                </w:tcPr>
                <w:p>
                  <w:pPr>
                    <w:jc w:val="center"/>
                    <w:rPr>
                      <w:b/>
                      <w:bCs/>
                      <w:color w:val="auto"/>
                      <w:sz w:val="18"/>
                      <w:szCs w:val="18"/>
                    </w:rPr>
                  </w:pPr>
                  <w:r>
                    <w:rPr>
                      <w:rFonts w:hint="eastAsia"/>
                      <w:b/>
                      <w:bCs/>
                      <w:color w:val="auto"/>
                      <w:sz w:val="18"/>
                      <w:szCs w:val="18"/>
                    </w:rPr>
                    <w:t>实际建设情况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018" w:type="dxa"/>
                  <w:vAlign w:val="center"/>
                </w:tcPr>
                <w:p>
                  <w:pPr>
                    <w:jc w:val="center"/>
                    <w:rPr>
                      <w:color w:val="auto"/>
                      <w:sz w:val="18"/>
                      <w:szCs w:val="18"/>
                    </w:rPr>
                  </w:pPr>
                  <w:r>
                    <w:rPr>
                      <w:rFonts w:hint="eastAsia"/>
                      <w:color w:val="auto"/>
                      <w:sz w:val="18"/>
                      <w:szCs w:val="18"/>
                    </w:rPr>
                    <w:t>年产密封件30吨、密封垫20吨、O型圈10吨、胶管20吨、塑料件30吨新建项目</w:t>
                  </w:r>
                </w:p>
              </w:tc>
              <w:tc>
                <w:tcPr>
                  <w:tcW w:w="1425" w:type="dxa"/>
                  <w:vMerge w:val="restart"/>
                  <w:vAlign w:val="center"/>
                </w:tcPr>
                <w:p>
                  <w:pPr>
                    <w:jc w:val="center"/>
                    <w:rPr>
                      <w:color w:val="auto"/>
                      <w:sz w:val="18"/>
                      <w:szCs w:val="18"/>
                    </w:rPr>
                  </w:pPr>
                  <w:r>
                    <w:rPr>
                      <w:rFonts w:hint="eastAsia"/>
                      <w:color w:val="auto"/>
                      <w:sz w:val="18"/>
                      <w:szCs w:val="18"/>
                    </w:rPr>
                    <w:t>年产密封件30吨、密封垫20吨、O型圈10吨、胶管20吨、塑料件30吨</w:t>
                  </w:r>
                </w:p>
              </w:tc>
              <w:tc>
                <w:tcPr>
                  <w:tcW w:w="2026" w:type="dxa"/>
                  <w:vAlign w:val="center"/>
                </w:tcPr>
                <w:p>
                  <w:pPr>
                    <w:jc w:val="center"/>
                    <w:rPr>
                      <w:color w:val="auto"/>
                      <w:sz w:val="18"/>
                      <w:szCs w:val="18"/>
                    </w:rPr>
                  </w:pPr>
                  <w:r>
                    <w:rPr>
                      <w:rFonts w:hint="eastAsia"/>
                      <w:color w:val="auto"/>
                      <w:sz w:val="18"/>
                      <w:szCs w:val="18"/>
                    </w:rPr>
                    <w:t>太环建〔2013〕16号；</w:t>
                  </w:r>
                </w:p>
                <w:p>
                  <w:pPr>
                    <w:jc w:val="center"/>
                    <w:rPr>
                      <w:color w:val="auto"/>
                      <w:sz w:val="18"/>
                      <w:szCs w:val="18"/>
                    </w:rPr>
                  </w:pPr>
                  <w:r>
                    <w:rPr>
                      <w:rFonts w:hint="eastAsia"/>
                      <w:color w:val="auto"/>
                      <w:sz w:val="18"/>
                      <w:szCs w:val="18"/>
                    </w:rPr>
                    <w:t>2</w:t>
                  </w:r>
                  <w:r>
                    <w:rPr>
                      <w:color w:val="auto"/>
                      <w:sz w:val="18"/>
                      <w:szCs w:val="18"/>
                    </w:rPr>
                    <w:t>013</w:t>
                  </w:r>
                  <w:r>
                    <w:rPr>
                      <w:rFonts w:hint="eastAsia"/>
                      <w:color w:val="auto"/>
                      <w:sz w:val="18"/>
                      <w:szCs w:val="18"/>
                    </w:rPr>
                    <w:t>年</w:t>
                  </w:r>
                  <w:r>
                    <w:rPr>
                      <w:color w:val="auto"/>
                      <w:sz w:val="18"/>
                      <w:szCs w:val="18"/>
                    </w:rPr>
                    <w:t>1</w:t>
                  </w:r>
                  <w:r>
                    <w:rPr>
                      <w:rFonts w:hint="eastAsia"/>
                      <w:color w:val="auto"/>
                      <w:sz w:val="18"/>
                      <w:szCs w:val="18"/>
                    </w:rPr>
                    <w:t>月</w:t>
                  </w:r>
                  <w:r>
                    <w:rPr>
                      <w:color w:val="auto"/>
                      <w:sz w:val="18"/>
                      <w:szCs w:val="18"/>
                    </w:rPr>
                    <w:t>13</w:t>
                  </w:r>
                  <w:r>
                    <w:rPr>
                      <w:rFonts w:hint="eastAsia"/>
                      <w:color w:val="auto"/>
                      <w:sz w:val="18"/>
                      <w:szCs w:val="18"/>
                    </w:rPr>
                    <w:t>日</w:t>
                  </w:r>
                </w:p>
              </w:tc>
              <w:tc>
                <w:tcPr>
                  <w:tcW w:w="711" w:type="dxa"/>
                  <w:vAlign w:val="center"/>
                </w:tcPr>
                <w:p>
                  <w:pPr>
                    <w:jc w:val="center"/>
                    <w:rPr>
                      <w:color w:val="auto"/>
                      <w:sz w:val="18"/>
                      <w:szCs w:val="18"/>
                    </w:rPr>
                  </w:pPr>
                  <w:r>
                    <w:rPr>
                      <w:rFonts w:hint="eastAsia"/>
                      <w:color w:val="auto"/>
                      <w:sz w:val="18"/>
                      <w:szCs w:val="18"/>
                    </w:rPr>
                    <w:t>太仓市环境保护局</w:t>
                  </w:r>
                </w:p>
              </w:tc>
              <w:tc>
                <w:tcPr>
                  <w:tcW w:w="1313" w:type="dxa"/>
                  <w:vMerge w:val="restart"/>
                  <w:vAlign w:val="center"/>
                </w:tcPr>
                <w:p>
                  <w:pPr>
                    <w:jc w:val="center"/>
                    <w:rPr>
                      <w:color w:val="auto"/>
                      <w:sz w:val="18"/>
                      <w:szCs w:val="18"/>
                    </w:rPr>
                  </w:pPr>
                  <w:r>
                    <w:rPr>
                      <w:rFonts w:hint="eastAsia"/>
                      <w:color w:val="auto"/>
                      <w:sz w:val="18"/>
                      <w:szCs w:val="18"/>
                    </w:rPr>
                    <w:t>太环建验[</w:t>
                  </w:r>
                  <w:r>
                    <w:rPr>
                      <w:color w:val="auto"/>
                      <w:sz w:val="18"/>
                      <w:szCs w:val="18"/>
                    </w:rPr>
                    <w:t>2017]</w:t>
                  </w:r>
                </w:p>
                <w:p>
                  <w:pPr>
                    <w:jc w:val="center"/>
                    <w:rPr>
                      <w:color w:val="auto"/>
                      <w:sz w:val="18"/>
                      <w:szCs w:val="18"/>
                    </w:rPr>
                  </w:pPr>
                  <w:r>
                    <w:rPr>
                      <w:color w:val="auto"/>
                      <w:sz w:val="18"/>
                      <w:szCs w:val="18"/>
                    </w:rPr>
                    <w:t>299</w:t>
                  </w:r>
                  <w:r>
                    <w:rPr>
                      <w:rFonts w:hint="eastAsia"/>
                      <w:color w:val="auto"/>
                      <w:sz w:val="18"/>
                      <w:szCs w:val="18"/>
                    </w:rPr>
                    <w:t>号；</w:t>
                  </w:r>
                </w:p>
                <w:p>
                  <w:pPr>
                    <w:jc w:val="center"/>
                    <w:rPr>
                      <w:color w:val="auto"/>
                      <w:sz w:val="18"/>
                      <w:szCs w:val="18"/>
                    </w:rPr>
                  </w:pPr>
                  <w:r>
                    <w:rPr>
                      <w:rFonts w:hint="eastAsia"/>
                      <w:color w:val="auto"/>
                      <w:sz w:val="18"/>
                      <w:szCs w:val="18"/>
                    </w:rPr>
                    <w:t>2</w:t>
                  </w:r>
                  <w:r>
                    <w:rPr>
                      <w:color w:val="auto"/>
                      <w:sz w:val="18"/>
                      <w:szCs w:val="18"/>
                    </w:rPr>
                    <w:t>017</w:t>
                  </w:r>
                  <w:r>
                    <w:rPr>
                      <w:rFonts w:hint="eastAsia"/>
                      <w:color w:val="auto"/>
                      <w:sz w:val="18"/>
                      <w:szCs w:val="18"/>
                    </w:rPr>
                    <w:t>年9月</w:t>
                  </w:r>
                </w:p>
                <w:p>
                  <w:pPr>
                    <w:jc w:val="center"/>
                    <w:rPr>
                      <w:color w:val="auto"/>
                      <w:sz w:val="18"/>
                      <w:szCs w:val="18"/>
                    </w:rPr>
                  </w:pPr>
                  <w:r>
                    <w:rPr>
                      <w:color w:val="auto"/>
                      <w:sz w:val="18"/>
                      <w:szCs w:val="18"/>
                    </w:rPr>
                    <w:t>2</w:t>
                  </w:r>
                  <w:r>
                    <w:rPr>
                      <w:rFonts w:hint="eastAsia"/>
                      <w:color w:val="auto"/>
                      <w:sz w:val="18"/>
                      <w:szCs w:val="18"/>
                    </w:rPr>
                    <w:t>1日</w:t>
                  </w:r>
                </w:p>
              </w:tc>
              <w:tc>
                <w:tcPr>
                  <w:tcW w:w="711" w:type="dxa"/>
                  <w:vMerge w:val="restart"/>
                  <w:vAlign w:val="center"/>
                </w:tcPr>
                <w:p>
                  <w:pPr>
                    <w:jc w:val="center"/>
                    <w:rPr>
                      <w:color w:val="auto"/>
                      <w:sz w:val="18"/>
                      <w:szCs w:val="18"/>
                    </w:rPr>
                  </w:pPr>
                  <w:r>
                    <w:rPr>
                      <w:rFonts w:hint="eastAsia"/>
                      <w:color w:val="auto"/>
                      <w:sz w:val="18"/>
                      <w:szCs w:val="18"/>
                    </w:rPr>
                    <w:t>太仓市环境保护局</w:t>
                  </w:r>
                </w:p>
              </w:tc>
              <w:tc>
                <w:tcPr>
                  <w:tcW w:w="890" w:type="dxa"/>
                  <w:vMerge w:val="restart"/>
                  <w:vAlign w:val="center"/>
                </w:tcPr>
                <w:p>
                  <w:pPr>
                    <w:jc w:val="center"/>
                    <w:rPr>
                      <w:color w:val="auto"/>
                      <w:sz w:val="18"/>
                      <w:szCs w:val="18"/>
                    </w:rPr>
                  </w:pPr>
                  <w:r>
                    <w:rPr>
                      <w:rFonts w:hint="eastAsia"/>
                      <w:color w:val="auto"/>
                      <w:sz w:val="18"/>
                      <w:szCs w:val="18"/>
                    </w:rPr>
                    <w:t>部分投产，阶段验收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018" w:type="dxa"/>
                  <w:vAlign w:val="center"/>
                </w:tcPr>
                <w:p>
                  <w:pPr>
                    <w:jc w:val="center"/>
                    <w:rPr>
                      <w:color w:val="auto"/>
                      <w:sz w:val="18"/>
                      <w:szCs w:val="18"/>
                    </w:rPr>
                  </w:pPr>
                  <w:r>
                    <w:rPr>
                      <w:rFonts w:hint="eastAsia"/>
                      <w:color w:val="auto"/>
                      <w:sz w:val="18"/>
                      <w:szCs w:val="18"/>
                    </w:rPr>
                    <w:t>苏州瑞拓橡塑科技有限公司更名为苏州路似达橡胶有限公司项目</w:t>
                  </w:r>
                </w:p>
              </w:tc>
              <w:tc>
                <w:tcPr>
                  <w:tcW w:w="1425" w:type="dxa"/>
                  <w:vMerge w:val="continue"/>
                  <w:vAlign w:val="center"/>
                </w:tcPr>
                <w:p>
                  <w:pPr>
                    <w:jc w:val="center"/>
                    <w:rPr>
                      <w:color w:val="auto"/>
                      <w:sz w:val="18"/>
                      <w:szCs w:val="18"/>
                    </w:rPr>
                  </w:pPr>
                </w:p>
              </w:tc>
              <w:tc>
                <w:tcPr>
                  <w:tcW w:w="2026" w:type="dxa"/>
                  <w:vAlign w:val="center"/>
                </w:tcPr>
                <w:p>
                  <w:pPr>
                    <w:jc w:val="center"/>
                    <w:rPr>
                      <w:color w:val="auto"/>
                      <w:sz w:val="18"/>
                      <w:szCs w:val="18"/>
                    </w:rPr>
                  </w:pPr>
                  <w:r>
                    <w:rPr>
                      <w:rFonts w:hint="eastAsia"/>
                      <w:color w:val="auto"/>
                      <w:sz w:val="18"/>
                      <w:szCs w:val="18"/>
                    </w:rPr>
                    <w:t>太环建〔2016〕2号；</w:t>
                  </w:r>
                </w:p>
                <w:p>
                  <w:pPr>
                    <w:jc w:val="center"/>
                    <w:rPr>
                      <w:color w:val="auto"/>
                      <w:sz w:val="18"/>
                      <w:szCs w:val="18"/>
                    </w:rPr>
                  </w:pPr>
                  <w:r>
                    <w:rPr>
                      <w:rFonts w:hint="eastAsia"/>
                      <w:color w:val="auto"/>
                      <w:sz w:val="18"/>
                      <w:szCs w:val="18"/>
                    </w:rPr>
                    <w:t>2</w:t>
                  </w:r>
                  <w:r>
                    <w:rPr>
                      <w:color w:val="auto"/>
                      <w:sz w:val="18"/>
                      <w:szCs w:val="18"/>
                    </w:rPr>
                    <w:t>016</w:t>
                  </w:r>
                  <w:r>
                    <w:rPr>
                      <w:rFonts w:hint="eastAsia"/>
                      <w:color w:val="auto"/>
                      <w:sz w:val="18"/>
                      <w:szCs w:val="18"/>
                    </w:rPr>
                    <w:t>年</w:t>
                  </w:r>
                  <w:r>
                    <w:rPr>
                      <w:color w:val="auto"/>
                      <w:sz w:val="18"/>
                      <w:szCs w:val="18"/>
                    </w:rPr>
                    <w:t>1</w:t>
                  </w:r>
                  <w:r>
                    <w:rPr>
                      <w:rFonts w:hint="eastAsia"/>
                      <w:color w:val="auto"/>
                      <w:sz w:val="18"/>
                      <w:szCs w:val="18"/>
                    </w:rPr>
                    <w:t>月</w:t>
                  </w:r>
                  <w:r>
                    <w:rPr>
                      <w:color w:val="auto"/>
                      <w:sz w:val="18"/>
                      <w:szCs w:val="18"/>
                    </w:rPr>
                    <w:t>7</w:t>
                  </w:r>
                  <w:r>
                    <w:rPr>
                      <w:rFonts w:hint="eastAsia"/>
                      <w:color w:val="auto"/>
                      <w:sz w:val="18"/>
                      <w:szCs w:val="18"/>
                    </w:rPr>
                    <w:t>日</w:t>
                  </w:r>
                </w:p>
              </w:tc>
              <w:tc>
                <w:tcPr>
                  <w:tcW w:w="711" w:type="dxa"/>
                  <w:vAlign w:val="center"/>
                </w:tcPr>
                <w:p>
                  <w:pPr>
                    <w:jc w:val="center"/>
                    <w:rPr>
                      <w:color w:val="auto"/>
                      <w:sz w:val="18"/>
                      <w:szCs w:val="18"/>
                    </w:rPr>
                  </w:pPr>
                  <w:r>
                    <w:rPr>
                      <w:rFonts w:hint="eastAsia"/>
                      <w:color w:val="auto"/>
                      <w:sz w:val="18"/>
                      <w:szCs w:val="18"/>
                    </w:rPr>
                    <w:t>太仓市环境保护局</w:t>
                  </w:r>
                </w:p>
              </w:tc>
              <w:tc>
                <w:tcPr>
                  <w:tcW w:w="1313" w:type="dxa"/>
                  <w:vMerge w:val="continue"/>
                  <w:vAlign w:val="center"/>
                </w:tcPr>
                <w:p>
                  <w:pPr>
                    <w:jc w:val="center"/>
                    <w:rPr>
                      <w:color w:val="auto"/>
                      <w:sz w:val="18"/>
                      <w:szCs w:val="18"/>
                    </w:rPr>
                  </w:pPr>
                </w:p>
              </w:tc>
              <w:tc>
                <w:tcPr>
                  <w:tcW w:w="711" w:type="dxa"/>
                  <w:vMerge w:val="continue"/>
                  <w:vAlign w:val="center"/>
                </w:tcPr>
                <w:p>
                  <w:pPr>
                    <w:jc w:val="center"/>
                    <w:rPr>
                      <w:color w:val="auto"/>
                      <w:sz w:val="18"/>
                      <w:szCs w:val="18"/>
                    </w:rPr>
                  </w:pPr>
                </w:p>
              </w:tc>
              <w:tc>
                <w:tcPr>
                  <w:tcW w:w="890" w:type="dxa"/>
                  <w:vMerge w:val="continue"/>
                  <w:vAlign w:val="center"/>
                </w:tcPr>
                <w:p>
                  <w:pPr>
                    <w:jc w:val="center"/>
                    <w:rPr>
                      <w:color w:val="auto"/>
                      <w:sz w:val="18"/>
                      <w:szCs w:val="18"/>
                    </w:rPr>
                  </w:pPr>
                </w:p>
              </w:tc>
            </w:tr>
          </w:tbl>
          <w:p>
            <w:pPr>
              <w:adjustRightInd w:val="0"/>
              <w:snapToGrid w:val="0"/>
              <w:spacing w:line="360" w:lineRule="auto"/>
              <w:ind w:firstLine="420" w:firstLineChars="200"/>
              <w:rPr>
                <w:color w:val="auto"/>
                <w:szCs w:val="21"/>
              </w:rPr>
            </w:pPr>
            <w:r>
              <w:rPr>
                <w:rFonts w:hint="eastAsia"/>
                <w:color w:val="auto"/>
                <w:szCs w:val="21"/>
              </w:rPr>
              <w:t>项目实施过程中不使用国家限制、淘汰类工艺设备，不生产国家限制、淘汰类产品，同步落实了节能、环保、安全、消防、职业病危害防治措施，并办理相关手续，达到了国家相关标准。项目建设过程中，因市场发展原因，塑料生产线并未建设，故项目投产后形成了年产密封件30吨、密封垫20吨、O型圈10吨、胶管20吨的生产能力。</w:t>
            </w:r>
          </w:p>
          <w:p>
            <w:pPr>
              <w:adjustRightInd w:val="0"/>
              <w:snapToGrid w:val="0"/>
              <w:spacing w:line="360" w:lineRule="auto"/>
              <w:ind w:firstLine="384" w:firstLineChars="200"/>
              <w:rPr>
                <w:color w:val="auto"/>
                <w:spacing w:val="-7"/>
                <w:szCs w:val="21"/>
              </w:rPr>
            </w:pPr>
            <w:r>
              <w:rPr>
                <w:rFonts w:hint="eastAsia"/>
                <w:color w:val="auto"/>
                <w:spacing w:val="-9"/>
                <w:szCs w:val="21"/>
              </w:rPr>
              <w:t>现因路似达公司所在的太胜工业园拆迁，路似达公司整体搬迁至太仓市城厢镇东亭北路1</w:t>
            </w:r>
            <w:r>
              <w:rPr>
                <w:color w:val="auto"/>
                <w:spacing w:val="-9"/>
                <w:szCs w:val="21"/>
              </w:rPr>
              <w:t>28</w:t>
            </w:r>
            <w:r>
              <w:rPr>
                <w:rFonts w:hint="eastAsia"/>
                <w:color w:val="auto"/>
                <w:spacing w:val="-9"/>
                <w:szCs w:val="21"/>
              </w:rPr>
              <w:t>号9幢现有闲置厂房，且此次搬迁拟再次新增生产塑料件。本项目</w:t>
            </w:r>
            <w:r>
              <w:rPr>
                <w:color w:val="auto"/>
                <w:spacing w:val="-9"/>
                <w:szCs w:val="21"/>
              </w:rPr>
              <w:t>拟</w:t>
            </w:r>
            <w:r>
              <w:rPr>
                <w:rFonts w:hint="eastAsia"/>
                <w:color w:val="auto"/>
                <w:spacing w:val="-9"/>
                <w:szCs w:val="21"/>
              </w:rPr>
              <w:t>投资280万元，租赁闲置厂房，利用原有生产设备，并购置注塑机等设备</w:t>
            </w:r>
            <w:r>
              <w:rPr>
                <w:rFonts w:hint="eastAsia"/>
                <w:color w:val="auto"/>
              </w:rPr>
              <w:t>，进行橡胶件和塑料件的制造，项目实施后将形成年产橡胶件80吨/年、塑料件30吨/年的生产能力</w:t>
            </w:r>
            <w:r>
              <w:rPr>
                <w:color w:val="auto"/>
                <w:spacing w:val="-6"/>
                <w:szCs w:val="21"/>
              </w:rPr>
              <w:t>。</w:t>
            </w:r>
            <w:r>
              <w:rPr>
                <w:color w:val="auto"/>
                <w:szCs w:val="21"/>
              </w:rPr>
              <w:t>本项目于</w:t>
            </w:r>
            <w:r>
              <w:rPr>
                <w:color w:val="auto"/>
                <w:spacing w:val="-6"/>
                <w:szCs w:val="21"/>
              </w:rPr>
              <w:t>2023年</w:t>
            </w:r>
            <w:r>
              <w:rPr>
                <w:rFonts w:hint="eastAsia"/>
                <w:color w:val="auto"/>
                <w:spacing w:val="-6"/>
                <w:szCs w:val="21"/>
              </w:rPr>
              <w:t>6</w:t>
            </w:r>
            <w:r>
              <w:rPr>
                <w:color w:val="auto"/>
                <w:spacing w:val="-7"/>
                <w:szCs w:val="21"/>
              </w:rPr>
              <w:t>月</w:t>
            </w:r>
            <w:r>
              <w:rPr>
                <w:rFonts w:hint="eastAsia"/>
                <w:color w:val="auto"/>
                <w:spacing w:val="-7"/>
                <w:szCs w:val="21"/>
              </w:rPr>
              <w:t>12</w:t>
            </w:r>
            <w:r>
              <w:rPr>
                <w:color w:val="auto"/>
                <w:spacing w:val="-7"/>
                <w:szCs w:val="21"/>
              </w:rPr>
              <w:t>日获得太仓市行政审批局备案（备案证号：</w:t>
            </w:r>
            <w:r>
              <w:rPr>
                <w:rFonts w:hint="eastAsia"/>
                <w:color w:val="auto"/>
                <w:spacing w:val="-7"/>
                <w:szCs w:val="21"/>
              </w:rPr>
              <w:t>太行审投备〔2023〕291号</w:t>
            </w:r>
            <w:r>
              <w:rPr>
                <w:color w:val="auto"/>
                <w:spacing w:val="-7"/>
                <w:szCs w:val="21"/>
              </w:rPr>
              <w:t>）。</w:t>
            </w:r>
          </w:p>
          <w:p>
            <w:pPr>
              <w:adjustRightInd w:val="0"/>
              <w:snapToGrid w:val="0"/>
              <w:spacing w:line="360" w:lineRule="auto"/>
              <w:ind w:firstLine="420" w:firstLineChars="200"/>
              <w:rPr>
                <w:color w:val="auto"/>
                <w:szCs w:val="21"/>
              </w:rPr>
            </w:pPr>
            <w:r>
              <w:rPr>
                <w:rFonts w:hint="eastAsia"/>
                <w:color w:val="auto"/>
                <w:szCs w:val="21"/>
              </w:rPr>
              <w:t>根据《中华人民共和国环境保护法》、《中华人民共和国环境影响评价法》和《建设项目环境影响评价分类管理名录》（2021年版），本项目类别属于“二十六、橡胶和塑料制品业 29 中的52、橡胶制品业 291，其他；53、塑料制品业 292，其他（年用非溶剂型低VOCs含量涂料10吨以下的除外”类别，按规定需要编制环境影响报告表。</w:t>
            </w:r>
          </w:p>
          <w:p>
            <w:pPr>
              <w:adjustRightInd w:val="0"/>
              <w:snapToGrid w:val="0"/>
              <w:spacing w:line="360" w:lineRule="auto"/>
              <w:ind w:firstLine="422" w:firstLineChars="200"/>
              <w:jc w:val="left"/>
              <w:rPr>
                <w:b/>
                <w:bCs/>
                <w:color w:val="auto"/>
                <w:szCs w:val="21"/>
              </w:rPr>
            </w:pPr>
            <w:r>
              <w:rPr>
                <w:b/>
                <w:bCs/>
                <w:color w:val="auto"/>
                <w:szCs w:val="21"/>
              </w:rPr>
              <w:t>2、主要产品及产能情况</w:t>
            </w:r>
          </w:p>
          <w:p>
            <w:pPr>
              <w:jc w:val="center"/>
              <w:rPr>
                <w:b/>
                <w:bCs/>
                <w:color w:val="auto"/>
                <w:szCs w:val="22"/>
              </w:rPr>
            </w:pPr>
            <w:r>
              <w:rPr>
                <w:b/>
                <w:bCs/>
                <w:color w:val="auto"/>
                <w:szCs w:val="22"/>
              </w:rPr>
              <w:t>表2-2   建设项目主要产品及产能情况</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66"/>
              <w:gridCol w:w="1916"/>
              <w:gridCol w:w="1365"/>
              <w:gridCol w:w="1156"/>
              <w:gridCol w:w="1156"/>
              <w:gridCol w:w="1067"/>
              <w:gridCol w:w="108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68" w:type="dxa"/>
                  <w:vMerge w:val="restart"/>
                  <w:vAlign w:val="center"/>
                </w:tcPr>
                <w:p>
                  <w:pPr>
                    <w:jc w:val="center"/>
                    <w:rPr>
                      <w:b/>
                      <w:bCs/>
                      <w:color w:val="auto"/>
                      <w:sz w:val="18"/>
                      <w:szCs w:val="18"/>
                    </w:rPr>
                  </w:pPr>
                  <w:r>
                    <w:rPr>
                      <w:rFonts w:hint="eastAsia"/>
                      <w:b/>
                      <w:bCs/>
                      <w:color w:val="auto"/>
                      <w:sz w:val="18"/>
                      <w:szCs w:val="18"/>
                    </w:rPr>
                    <w:t>行业类别</w:t>
                  </w:r>
                </w:p>
              </w:tc>
              <w:tc>
                <w:tcPr>
                  <w:tcW w:w="1920" w:type="dxa"/>
                  <w:vMerge w:val="restart"/>
                  <w:vAlign w:val="center"/>
                </w:tcPr>
                <w:p>
                  <w:pPr>
                    <w:jc w:val="center"/>
                    <w:rPr>
                      <w:b/>
                      <w:bCs/>
                      <w:color w:val="auto"/>
                      <w:sz w:val="18"/>
                      <w:szCs w:val="18"/>
                    </w:rPr>
                  </w:pPr>
                  <w:r>
                    <w:rPr>
                      <w:rFonts w:hint="eastAsia"/>
                      <w:b/>
                      <w:bCs/>
                      <w:color w:val="auto"/>
                      <w:sz w:val="18"/>
                      <w:szCs w:val="18"/>
                    </w:rPr>
                    <w:t>工程名称（车间、生产装置或生产线）</w:t>
                  </w:r>
                </w:p>
              </w:tc>
              <w:tc>
                <w:tcPr>
                  <w:tcW w:w="1365" w:type="dxa"/>
                  <w:vMerge w:val="restart"/>
                  <w:vAlign w:val="center"/>
                </w:tcPr>
                <w:p>
                  <w:pPr>
                    <w:jc w:val="center"/>
                    <w:rPr>
                      <w:b/>
                      <w:bCs/>
                      <w:color w:val="auto"/>
                      <w:sz w:val="18"/>
                      <w:szCs w:val="18"/>
                    </w:rPr>
                  </w:pPr>
                  <w:r>
                    <w:rPr>
                      <w:b/>
                      <w:bCs/>
                      <w:color w:val="auto"/>
                      <w:sz w:val="18"/>
                      <w:szCs w:val="18"/>
                    </w:rPr>
                    <w:t>产品名称</w:t>
                  </w:r>
                </w:p>
              </w:tc>
              <w:tc>
                <w:tcPr>
                  <w:tcW w:w="3375" w:type="dxa"/>
                  <w:gridSpan w:val="3"/>
                  <w:vAlign w:val="center"/>
                </w:tcPr>
                <w:p>
                  <w:pPr>
                    <w:jc w:val="center"/>
                    <w:rPr>
                      <w:b/>
                      <w:bCs/>
                      <w:color w:val="auto"/>
                      <w:sz w:val="18"/>
                      <w:szCs w:val="18"/>
                    </w:rPr>
                  </w:pPr>
                  <w:r>
                    <w:rPr>
                      <w:rFonts w:hint="eastAsia"/>
                      <w:b/>
                      <w:bCs/>
                      <w:color w:val="auto"/>
                      <w:sz w:val="18"/>
                      <w:szCs w:val="18"/>
                    </w:rPr>
                    <w:t>设计</w:t>
                  </w:r>
                  <w:r>
                    <w:rPr>
                      <w:b/>
                      <w:bCs/>
                      <w:color w:val="auto"/>
                      <w:sz w:val="18"/>
                      <w:szCs w:val="18"/>
                    </w:rPr>
                    <w:t>能力</w:t>
                  </w:r>
                  <w:r>
                    <w:rPr>
                      <w:rFonts w:hint="eastAsia"/>
                      <w:b/>
                      <w:bCs/>
                      <w:color w:val="auto"/>
                      <w:sz w:val="18"/>
                      <w:szCs w:val="18"/>
                    </w:rPr>
                    <w:t>（吨/年）</w:t>
                  </w:r>
                </w:p>
              </w:tc>
              <w:tc>
                <w:tcPr>
                  <w:tcW w:w="1083" w:type="dxa"/>
                  <w:vMerge w:val="restart"/>
                  <w:vAlign w:val="center"/>
                </w:tcPr>
                <w:p>
                  <w:pPr>
                    <w:jc w:val="center"/>
                    <w:rPr>
                      <w:b/>
                      <w:bCs/>
                      <w:color w:val="auto"/>
                      <w:sz w:val="18"/>
                      <w:szCs w:val="18"/>
                    </w:rPr>
                  </w:pPr>
                  <w:r>
                    <w:rPr>
                      <w:b/>
                      <w:bCs/>
                      <w:color w:val="auto"/>
                      <w:sz w:val="18"/>
                      <w:szCs w:val="18"/>
                    </w:rPr>
                    <w:t>设计年生产时间</w:t>
                  </w:r>
                  <w:r>
                    <w:rPr>
                      <w:rFonts w:hint="eastAsia"/>
                      <w:b/>
                      <w:bCs/>
                      <w:color w:val="auto"/>
                      <w:sz w:val="18"/>
                      <w:szCs w:val="18"/>
                    </w:rPr>
                    <w:t>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68" w:type="dxa"/>
                  <w:vMerge w:val="continue"/>
                  <w:vAlign w:val="center"/>
                </w:tcPr>
                <w:p>
                  <w:pPr>
                    <w:jc w:val="center"/>
                    <w:rPr>
                      <w:color w:val="auto"/>
                      <w:sz w:val="18"/>
                      <w:szCs w:val="18"/>
                    </w:rPr>
                  </w:pPr>
                </w:p>
              </w:tc>
              <w:tc>
                <w:tcPr>
                  <w:tcW w:w="1920" w:type="dxa"/>
                  <w:vMerge w:val="continue"/>
                  <w:vAlign w:val="center"/>
                </w:tcPr>
                <w:p>
                  <w:pPr>
                    <w:jc w:val="center"/>
                    <w:rPr>
                      <w:color w:val="auto"/>
                      <w:sz w:val="18"/>
                      <w:szCs w:val="18"/>
                    </w:rPr>
                  </w:pPr>
                </w:p>
              </w:tc>
              <w:tc>
                <w:tcPr>
                  <w:tcW w:w="1365" w:type="dxa"/>
                  <w:vMerge w:val="continue"/>
                  <w:vAlign w:val="center"/>
                </w:tcPr>
                <w:p>
                  <w:pPr>
                    <w:jc w:val="center"/>
                    <w:rPr>
                      <w:color w:val="auto"/>
                      <w:sz w:val="18"/>
                      <w:szCs w:val="18"/>
                    </w:rPr>
                  </w:pPr>
                </w:p>
              </w:tc>
              <w:tc>
                <w:tcPr>
                  <w:tcW w:w="1155" w:type="dxa"/>
                  <w:vAlign w:val="center"/>
                </w:tcPr>
                <w:p>
                  <w:pPr>
                    <w:jc w:val="center"/>
                    <w:rPr>
                      <w:b/>
                      <w:bCs/>
                      <w:color w:val="auto"/>
                      <w:sz w:val="18"/>
                      <w:szCs w:val="18"/>
                    </w:rPr>
                  </w:pPr>
                  <w:r>
                    <w:rPr>
                      <w:rFonts w:hint="eastAsia"/>
                      <w:b/>
                      <w:bCs/>
                      <w:color w:val="auto"/>
                      <w:sz w:val="18"/>
                      <w:szCs w:val="18"/>
                    </w:rPr>
                    <w:t>迁建前</w:t>
                  </w:r>
                </w:p>
              </w:tc>
              <w:tc>
                <w:tcPr>
                  <w:tcW w:w="1155" w:type="dxa"/>
                  <w:vAlign w:val="center"/>
                </w:tcPr>
                <w:p>
                  <w:pPr>
                    <w:jc w:val="center"/>
                    <w:rPr>
                      <w:b/>
                      <w:bCs/>
                      <w:color w:val="auto"/>
                      <w:sz w:val="18"/>
                      <w:szCs w:val="18"/>
                    </w:rPr>
                  </w:pPr>
                  <w:r>
                    <w:rPr>
                      <w:rFonts w:hint="eastAsia"/>
                      <w:b/>
                      <w:bCs/>
                      <w:color w:val="auto"/>
                      <w:sz w:val="18"/>
                      <w:szCs w:val="18"/>
                    </w:rPr>
                    <w:t>迁建后</w:t>
                  </w:r>
                </w:p>
              </w:tc>
              <w:tc>
                <w:tcPr>
                  <w:tcW w:w="1065" w:type="dxa"/>
                  <w:vAlign w:val="center"/>
                </w:tcPr>
                <w:p>
                  <w:pPr>
                    <w:jc w:val="center"/>
                    <w:rPr>
                      <w:b/>
                      <w:bCs/>
                      <w:color w:val="auto"/>
                      <w:sz w:val="18"/>
                      <w:szCs w:val="18"/>
                    </w:rPr>
                  </w:pPr>
                  <w:r>
                    <w:rPr>
                      <w:rFonts w:hint="eastAsia"/>
                      <w:b/>
                      <w:bCs/>
                      <w:color w:val="auto"/>
                      <w:sz w:val="18"/>
                      <w:szCs w:val="18"/>
                    </w:rPr>
                    <w:t xml:space="preserve"> 变化量</w:t>
                  </w:r>
                </w:p>
              </w:tc>
              <w:tc>
                <w:tcPr>
                  <w:tcW w:w="1083" w:type="dxa"/>
                  <w:vMerge w:val="continue"/>
                  <w:vAlign w:val="center"/>
                </w:tcPr>
                <w:p>
                  <w:pPr>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68" w:type="dxa"/>
                  <w:vMerge w:val="restart"/>
                  <w:vAlign w:val="center"/>
                </w:tcPr>
                <w:p>
                  <w:pPr>
                    <w:jc w:val="center"/>
                    <w:rPr>
                      <w:color w:val="auto"/>
                      <w:sz w:val="18"/>
                      <w:szCs w:val="18"/>
                    </w:rPr>
                  </w:pPr>
                  <w:r>
                    <w:rPr>
                      <w:rFonts w:hint="eastAsia"/>
                      <w:color w:val="auto"/>
                      <w:sz w:val="18"/>
                      <w:szCs w:val="18"/>
                    </w:rPr>
                    <w:t>【C2913】橡胶零件制造</w:t>
                  </w:r>
                </w:p>
              </w:tc>
              <w:tc>
                <w:tcPr>
                  <w:tcW w:w="1920" w:type="dxa"/>
                  <w:vMerge w:val="restart"/>
                  <w:vAlign w:val="center"/>
                </w:tcPr>
                <w:p>
                  <w:pPr>
                    <w:jc w:val="center"/>
                    <w:rPr>
                      <w:color w:val="auto"/>
                      <w:sz w:val="18"/>
                      <w:szCs w:val="18"/>
                    </w:rPr>
                  </w:pPr>
                  <w:r>
                    <w:rPr>
                      <w:color w:val="auto"/>
                      <w:sz w:val="18"/>
                      <w:szCs w:val="18"/>
                    </w:rPr>
                    <w:t>橡胶件生产线</w:t>
                  </w:r>
                </w:p>
              </w:tc>
              <w:tc>
                <w:tcPr>
                  <w:tcW w:w="1365" w:type="dxa"/>
                  <w:vAlign w:val="center"/>
                </w:tcPr>
                <w:p>
                  <w:pPr>
                    <w:jc w:val="center"/>
                    <w:rPr>
                      <w:color w:val="auto"/>
                      <w:sz w:val="18"/>
                      <w:szCs w:val="18"/>
                    </w:rPr>
                  </w:pPr>
                  <w:r>
                    <w:rPr>
                      <w:color w:val="auto"/>
                      <w:sz w:val="18"/>
                      <w:szCs w:val="18"/>
                    </w:rPr>
                    <w:t>密封件</w:t>
                  </w:r>
                </w:p>
              </w:tc>
              <w:tc>
                <w:tcPr>
                  <w:tcW w:w="1155" w:type="dxa"/>
                  <w:vAlign w:val="center"/>
                </w:tcPr>
                <w:p>
                  <w:pPr>
                    <w:jc w:val="center"/>
                    <w:rPr>
                      <w:color w:val="auto"/>
                      <w:sz w:val="18"/>
                      <w:szCs w:val="18"/>
                    </w:rPr>
                  </w:pPr>
                  <w:r>
                    <w:rPr>
                      <w:color w:val="auto"/>
                      <w:sz w:val="18"/>
                      <w:szCs w:val="18"/>
                    </w:rPr>
                    <w:t>30</w:t>
                  </w:r>
                </w:p>
              </w:tc>
              <w:tc>
                <w:tcPr>
                  <w:tcW w:w="1155" w:type="dxa"/>
                  <w:vAlign w:val="center"/>
                </w:tcPr>
                <w:p>
                  <w:pPr>
                    <w:jc w:val="center"/>
                    <w:rPr>
                      <w:color w:val="auto"/>
                      <w:sz w:val="18"/>
                      <w:szCs w:val="18"/>
                    </w:rPr>
                  </w:pPr>
                  <w:r>
                    <w:rPr>
                      <w:color w:val="auto"/>
                      <w:sz w:val="18"/>
                      <w:szCs w:val="18"/>
                    </w:rPr>
                    <w:t>30</w:t>
                  </w:r>
                </w:p>
              </w:tc>
              <w:tc>
                <w:tcPr>
                  <w:tcW w:w="1065" w:type="dxa"/>
                  <w:vAlign w:val="center"/>
                </w:tcPr>
                <w:p>
                  <w:pPr>
                    <w:jc w:val="center"/>
                    <w:rPr>
                      <w:color w:val="auto"/>
                      <w:sz w:val="18"/>
                      <w:szCs w:val="18"/>
                    </w:rPr>
                  </w:pPr>
                  <w:r>
                    <w:rPr>
                      <w:color w:val="auto"/>
                      <w:sz w:val="18"/>
                      <w:szCs w:val="18"/>
                    </w:rPr>
                    <w:t>0</w:t>
                  </w:r>
                </w:p>
              </w:tc>
              <w:tc>
                <w:tcPr>
                  <w:tcW w:w="1083" w:type="dxa"/>
                  <w:vMerge w:val="restart"/>
                  <w:vAlign w:val="center"/>
                </w:tcPr>
                <w:p>
                  <w:pPr>
                    <w:jc w:val="center"/>
                    <w:rPr>
                      <w:color w:val="auto"/>
                      <w:sz w:val="18"/>
                      <w:szCs w:val="18"/>
                    </w:rPr>
                  </w:pPr>
                  <w:r>
                    <w:rPr>
                      <w:rFonts w:hint="eastAsia"/>
                      <w:color w:val="auto"/>
                      <w:sz w:val="18"/>
                      <w:szCs w:val="18"/>
                    </w:rPr>
                    <w:t>7</w:t>
                  </w:r>
                  <w:r>
                    <w:rPr>
                      <w:color w:val="auto"/>
                      <w:sz w:val="18"/>
                      <w:szCs w:val="18"/>
                    </w:rPr>
                    <w:t>200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68" w:type="dxa"/>
                  <w:vMerge w:val="continue"/>
                  <w:vAlign w:val="center"/>
                </w:tcPr>
                <w:p>
                  <w:pPr>
                    <w:jc w:val="center"/>
                    <w:rPr>
                      <w:color w:val="auto"/>
                      <w:sz w:val="18"/>
                      <w:szCs w:val="18"/>
                    </w:rPr>
                  </w:pPr>
                </w:p>
              </w:tc>
              <w:tc>
                <w:tcPr>
                  <w:tcW w:w="1920" w:type="dxa"/>
                  <w:vMerge w:val="continue"/>
                  <w:vAlign w:val="center"/>
                </w:tcPr>
                <w:p>
                  <w:pPr>
                    <w:jc w:val="center"/>
                    <w:rPr>
                      <w:color w:val="auto"/>
                      <w:sz w:val="18"/>
                      <w:szCs w:val="18"/>
                    </w:rPr>
                  </w:pPr>
                </w:p>
              </w:tc>
              <w:tc>
                <w:tcPr>
                  <w:tcW w:w="1365" w:type="dxa"/>
                  <w:vAlign w:val="center"/>
                </w:tcPr>
                <w:p>
                  <w:pPr>
                    <w:jc w:val="center"/>
                    <w:rPr>
                      <w:color w:val="auto"/>
                      <w:sz w:val="18"/>
                      <w:szCs w:val="18"/>
                    </w:rPr>
                  </w:pPr>
                  <w:r>
                    <w:rPr>
                      <w:color w:val="auto"/>
                      <w:sz w:val="18"/>
                      <w:szCs w:val="18"/>
                    </w:rPr>
                    <w:t>密封垫</w:t>
                  </w:r>
                </w:p>
              </w:tc>
              <w:tc>
                <w:tcPr>
                  <w:tcW w:w="1155" w:type="dxa"/>
                  <w:vAlign w:val="center"/>
                </w:tcPr>
                <w:p>
                  <w:pPr>
                    <w:jc w:val="center"/>
                    <w:rPr>
                      <w:color w:val="auto"/>
                      <w:sz w:val="18"/>
                      <w:szCs w:val="18"/>
                    </w:rPr>
                  </w:pPr>
                  <w:r>
                    <w:rPr>
                      <w:color w:val="auto"/>
                      <w:sz w:val="18"/>
                      <w:szCs w:val="18"/>
                    </w:rPr>
                    <w:t>20</w:t>
                  </w:r>
                </w:p>
              </w:tc>
              <w:tc>
                <w:tcPr>
                  <w:tcW w:w="1155" w:type="dxa"/>
                  <w:vAlign w:val="center"/>
                </w:tcPr>
                <w:p>
                  <w:pPr>
                    <w:jc w:val="center"/>
                    <w:rPr>
                      <w:color w:val="auto"/>
                      <w:sz w:val="18"/>
                      <w:szCs w:val="18"/>
                    </w:rPr>
                  </w:pPr>
                  <w:r>
                    <w:rPr>
                      <w:color w:val="auto"/>
                      <w:sz w:val="18"/>
                      <w:szCs w:val="18"/>
                    </w:rPr>
                    <w:t>20</w:t>
                  </w:r>
                </w:p>
              </w:tc>
              <w:tc>
                <w:tcPr>
                  <w:tcW w:w="1065" w:type="dxa"/>
                  <w:vAlign w:val="center"/>
                </w:tcPr>
                <w:p>
                  <w:pPr>
                    <w:jc w:val="center"/>
                    <w:rPr>
                      <w:color w:val="auto"/>
                      <w:sz w:val="18"/>
                      <w:szCs w:val="18"/>
                    </w:rPr>
                  </w:pPr>
                  <w:r>
                    <w:rPr>
                      <w:rFonts w:hint="eastAsia"/>
                      <w:color w:val="auto"/>
                      <w:sz w:val="18"/>
                      <w:szCs w:val="18"/>
                    </w:rPr>
                    <w:t>0</w:t>
                  </w:r>
                </w:p>
              </w:tc>
              <w:tc>
                <w:tcPr>
                  <w:tcW w:w="1083" w:type="dxa"/>
                  <w:vMerge w:val="continue"/>
                  <w:vAlign w:val="center"/>
                </w:tcPr>
                <w:p>
                  <w:pPr>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1568" w:type="dxa"/>
                  <w:vMerge w:val="continue"/>
                  <w:vAlign w:val="center"/>
                </w:tcPr>
                <w:p>
                  <w:pPr>
                    <w:jc w:val="center"/>
                    <w:rPr>
                      <w:color w:val="auto"/>
                      <w:sz w:val="18"/>
                      <w:szCs w:val="18"/>
                    </w:rPr>
                  </w:pPr>
                </w:p>
              </w:tc>
              <w:tc>
                <w:tcPr>
                  <w:tcW w:w="1920" w:type="dxa"/>
                  <w:vMerge w:val="continue"/>
                  <w:vAlign w:val="center"/>
                </w:tcPr>
                <w:p>
                  <w:pPr>
                    <w:jc w:val="center"/>
                    <w:rPr>
                      <w:color w:val="auto"/>
                      <w:sz w:val="18"/>
                      <w:szCs w:val="18"/>
                    </w:rPr>
                  </w:pPr>
                </w:p>
              </w:tc>
              <w:tc>
                <w:tcPr>
                  <w:tcW w:w="1365" w:type="dxa"/>
                  <w:vAlign w:val="center"/>
                </w:tcPr>
                <w:p>
                  <w:pPr>
                    <w:jc w:val="center"/>
                    <w:rPr>
                      <w:color w:val="auto"/>
                      <w:sz w:val="18"/>
                      <w:szCs w:val="18"/>
                    </w:rPr>
                  </w:pPr>
                  <w:r>
                    <w:rPr>
                      <w:color w:val="auto"/>
                      <w:sz w:val="18"/>
                      <w:szCs w:val="18"/>
                    </w:rPr>
                    <w:t>O形圈</w:t>
                  </w:r>
                </w:p>
              </w:tc>
              <w:tc>
                <w:tcPr>
                  <w:tcW w:w="1155" w:type="dxa"/>
                  <w:vAlign w:val="center"/>
                </w:tcPr>
                <w:p>
                  <w:pPr>
                    <w:jc w:val="center"/>
                    <w:rPr>
                      <w:color w:val="auto"/>
                      <w:sz w:val="18"/>
                      <w:szCs w:val="18"/>
                    </w:rPr>
                  </w:pPr>
                  <w:r>
                    <w:rPr>
                      <w:color w:val="auto"/>
                      <w:sz w:val="18"/>
                      <w:szCs w:val="18"/>
                    </w:rPr>
                    <w:t>10</w:t>
                  </w:r>
                </w:p>
              </w:tc>
              <w:tc>
                <w:tcPr>
                  <w:tcW w:w="1155" w:type="dxa"/>
                  <w:vAlign w:val="center"/>
                </w:tcPr>
                <w:p>
                  <w:pPr>
                    <w:jc w:val="center"/>
                    <w:rPr>
                      <w:color w:val="auto"/>
                      <w:sz w:val="18"/>
                      <w:szCs w:val="18"/>
                    </w:rPr>
                  </w:pPr>
                  <w:r>
                    <w:rPr>
                      <w:color w:val="auto"/>
                      <w:sz w:val="18"/>
                      <w:szCs w:val="18"/>
                    </w:rPr>
                    <w:t>10</w:t>
                  </w:r>
                </w:p>
              </w:tc>
              <w:tc>
                <w:tcPr>
                  <w:tcW w:w="1065" w:type="dxa"/>
                  <w:vAlign w:val="center"/>
                </w:tcPr>
                <w:p>
                  <w:pPr>
                    <w:jc w:val="center"/>
                    <w:rPr>
                      <w:color w:val="auto"/>
                      <w:sz w:val="18"/>
                      <w:szCs w:val="18"/>
                    </w:rPr>
                  </w:pPr>
                  <w:r>
                    <w:rPr>
                      <w:rFonts w:hint="eastAsia"/>
                      <w:color w:val="auto"/>
                      <w:sz w:val="18"/>
                      <w:szCs w:val="18"/>
                    </w:rPr>
                    <w:t>0</w:t>
                  </w:r>
                </w:p>
              </w:tc>
              <w:tc>
                <w:tcPr>
                  <w:tcW w:w="1083" w:type="dxa"/>
                  <w:vMerge w:val="continue"/>
                  <w:vAlign w:val="center"/>
                </w:tcPr>
                <w:p>
                  <w:pPr>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68" w:type="dxa"/>
                  <w:vMerge w:val="continue"/>
                  <w:vAlign w:val="center"/>
                </w:tcPr>
                <w:p>
                  <w:pPr>
                    <w:jc w:val="center"/>
                    <w:rPr>
                      <w:color w:val="auto"/>
                      <w:sz w:val="18"/>
                      <w:szCs w:val="18"/>
                    </w:rPr>
                  </w:pPr>
                </w:p>
              </w:tc>
              <w:tc>
                <w:tcPr>
                  <w:tcW w:w="1920" w:type="dxa"/>
                  <w:vMerge w:val="continue"/>
                  <w:vAlign w:val="center"/>
                </w:tcPr>
                <w:p>
                  <w:pPr>
                    <w:jc w:val="center"/>
                    <w:rPr>
                      <w:color w:val="auto"/>
                      <w:sz w:val="18"/>
                      <w:szCs w:val="18"/>
                    </w:rPr>
                  </w:pPr>
                </w:p>
              </w:tc>
              <w:tc>
                <w:tcPr>
                  <w:tcW w:w="1365" w:type="dxa"/>
                  <w:vAlign w:val="center"/>
                </w:tcPr>
                <w:p>
                  <w:pPr>
                    <w:jc w:val="center"/>
                    <w:rPr>
                      <w:color w:val="auto"/>
                      <w:sz w:val="18"/>
                      <w:szCs w:val="18"/>
                    </w:rPr>
                  </w:pPr>
                  <w:r>
                    <w:rPr>
                      <w:color w:val="auto"/>
                      <w:sz w:val="18"/>
                      <w:szCs w:val="18"/>
                    </w:rPr>
                    <w:t>胶管</w:t>
                  </w:r>
                </w:p>
              </w:tc>
              <w:tc>
                <w:tcPr>
                  <w:tcW w:w="1155" w:type="dxa"/>
                  <w:vAlign w:val="center"/>
                </w:tcPr>
                <w:p>
                  <w:pPr>
                    <w:jc w:val="center"/>
                    <w:rPr>
                      <w:color w:val="auto"/>
                      <w:sz w:val="18"/>
                      <w:szCs w:val="18"/>
                    </w:rPr>
                  </w:pPr>
                  <w:r>
                    <w:rPr>
                      <w:color w:val="auto"/>
                      <w:sz w:val="18"/>
                      <w:szCs w:val="18"/>
                    </w:rPr>
                    <w:t>20</w:t>
                  </w:r>
                </w:p>
              </w:tc>
              <w:tc>
                <w:tcPr>
                  <w:tcW w:w="1155" w:type="dxa"/>
                  <w:vAlign w:val="center"/>
                </w:tcPr>
                <w:p>
                  <w:pPr>
                    <w:jc w:val="center"/>
                    <w:rPr>
                      <w:color w:val="auto"/>
                      <w:sz w:val="18"/>
                      <w:szCs w:val="18"/>
                    </w:rPr>
                  </w:pPr>
                  <w:r>
                    <w:rPr>
                      <w:color w:val="auto"/>
                      <w:sz w:val="18"/>
                      <w:szCs w:val="18"/>
                    </w:rPr>
                    <w:t>20</w:t>
                  </w:r>
                </w:p>
              </w:tc>
              <w:tc>
                <w:tcPr>
                  <w:tcW w:w="1065" w:type="dxa"/>
                  <w:vAlign w:val="center"/>
                </w:tcPr>
                <w:p>
                  <w:pPr>
                    <w:jc w:val="center"/>
                    <w:rPr>
                      <w:color w:val="auto"/>
                      <w:sz w:val="18"/>
                      <w:szCs w:val="18"/>
                    </w:rPr>
                  </w:pPr>
                  <w:r>
                    <w:rPr>
                      <w:rFonts w:hint="eastAsia"/>
                      <w:color w:val="auto"/>
                      <w:sz w:val="18"/>
                      <w:szCs w:val="18"/>
                    </w:rPr>
                    <w:t>0</w:t>
                  </w:r>
                </w:p>
              </w:tc>
              <w:tc>
                <w:tcPr>
                  <w:tcW w:w="1083" w:type="dxa"/>
                  <w:vMerge w:val="continue"/>
                  <w:vAlign w:val="center"/>
                </w:tcPr>
                <w:p>
                  <w:pPr>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8" w:hRule="atLeast"/>
                <w:jc w:val="center"/>
              </w:trPr>
              <w:tc>
                <w:tcPr>
                  <w:tcW w:w="1568" w:type="dxa"/>
                  <w:vAlign w:val="center"/>
                </w:tcPr>
                <w:p>
                  <w:pPr>
                    <w:jc w:val="center"/>
                    <w:rPr>
                      <w:color w:val="auto"/>
                      <w:sz w:val="18"/>
                      <w:szCs w:val="18"/>
                    </w:rPr>
                  </w:pPr>
                  <w:r>
                    <w:rPr>
                      <w:rFonts w:hint="eastAsia"/>
                      <w:color w:val="auto"/>
                      <w:sz w:val="18"/>
                      <w:szCs w:val="18"/>
                    </w:rPr>
                    <w:t>【C2929】塑料零件及其他塑料制品制造</w:t>
                  </w:r>
                </w:p>
              </w:tc>
              <w:tc>
                <w:tcPr>
                  <w:tcW w:w="1920" w:type="dxa"/>
                  <w:vAlign w:val="center"/>
                </w:tcPr>
                <w:p>
                  <w:pPr>
                    <w:jc w:val="center"/>
                    <w:rPr>
                      <w:color w:val="auto"/>
                      <w:sz w:val="18"/>
                      <w:szCs w:val="18"/>
                    </w:rPr>
                  </w:pPr>
                  <w:r>
                    <w:rPr>
                      <w:color w:val="auto"/>
                      <w:sz w:val="18"/>
                      <w:szCs w:val="18"/>
                    </w:rPr>
                    <w:t>塑料件生产线</w:t>
                  </w:r>
                </w:p>
              </w:tc>
              <w:tc>
                <w:tcPr>
                  <w:tcW w:w="1365" w:type="dxa"/>
                  <w:vAlign w:val="center"/>
                </w:tcPr>
                <w:p>
                  <w:pPr>
                    <w:jc w:val="center"/>
                    <w:rPr>
                      <w:color w:val="auto"/>
                      <w:sz w:val="18"/>
                      <w:szCs w:val="18"/>
                    </w:rPr>
                  </w:pPr>
                  <w:r>
                    <w:rPr>
                      <w:color w:val="auto"/>
                      <w:sz w:val="18"/>
                      <w:szCs w:val="18"/>
                    </w:rPr>
                    <w:t>塑料件</w:t>
                  </w:r>
                </w:p>
              </w:tc>
              <w:tc>
                <w:tcPr>
                  <w:tcW w:w="1155" w:type="dxa"/>
                  <w:vAlign w:val="center"/>
                </w:tcPr>
                <w:p>
                  <w:pPr>
                    <w:jc w:val="center"/>
                    <w:rPr>
                      <w:color w:val="auto"/>
                      <w:sz w:val="18"/>
                      <w:szCs w:val="18"/>
                    </w:rPr>
                  </w:pPr>
                  <w:r>
                    <w:rPr>
                      <w:color w:val="auto"/>
                      <w:sz w:val="18"/>
                      <w:szCs w:val="18"/>
                    </w:rPr>
                    <w:t>0</w:t>
                  </w:r>
                </w:p>
              </w:tc>
              <w:tc>
                <w:tcPr>
                  <w:tcW w:w="1155" w:type="dxa"/>
                  <w:vAlign w:val="center"/>
                </w:tcPr>
                <w:p>
                  <w:pPr>
                    <w:jc w:val="center"/>
                    <w:rPr>
                      <w:color w:val="auto"/>
                      <w:sz w:val="18"/>
                      <w:szCs w:val="18"/>
                    </w:rPr>
                  </w:pPr>
                  <w:r>
                    <w:rPr>
                      <w:rStyle w:val="45"/>
                      <w:rFonts w:hint="eastAsia"/>
                      <w:color w:val="auto"/>
                      <w:kern w:val="0"/>
                      <w:sz w:val="18"/>
                      <w:szCs w:val="18"/>
                    </w:rPr>
                    <w:t>30</w:t>
                  </w:r>
                </w:p>
              </w:tc>
              <w:tc>
                <w:tcPr>
                  <w:tcW w:w="1065" w:type="dxa"/>
                  <w:vAlign w:val="center"/>
                </w:tcPr>
                <w:p>
                  <w:pPr>
                    <w:jc w:val="center"/>
                    <w:rPr>
                      <w:color w:val="auto"/>
                      <w:sz w:val="18"/>
                      <w:szCs w:val="18"/>
                    </w:rPr>
                  </w:pPr>
                  <w:r>
                    <w:rPr>
                      <w:rFonts w:hint="eastAsia"/>
                      <w:color w:val="auto"/>
                      <w:sz w:val="18"/>
                      <w:szCs w:val="18"/>
                    </w:rPr>
                    <w:t>+30</w:t>
                  </w:r>
                </w:p>
              </w:tc>
              <w:tc>
                <w:tcPr>
                  <w:tcW w:w="1083" w:type="dxa"/>
                  <w:vMerge w:val="continue"/>
                  <w:vAlign w:val="center"/>
                </w:tcPr>
                <w:p>
                  <w:pPr>
                    <w:jc w:val="center"/>
                    <w:rPr>
                      <w:color w:val="auto"/>
                      <w:sz w:val="18"/>
                      <w:szCs w:val="18"/>
                    </w:rPr>
                  </w:pPr>
                </w:p>
              </w:tc>
            </w:tr>
          </w:tbl>
          <w:p>
            <w:pPr>
              <w:adjustRightInd w:val="0"/>
              <w:snapToGrid w:val="0"/>
              <w:spacing w:line="360" w:lineRule="auto"/>
              <w:jc w:val="left"/>
              <w:rPr>
                <w:bCs/>
                <w:color w:val="auto"/>
                <w:szCs w:val="21"/>
              </w:rPr>
            </w:pP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7"/>
              <w:gridCol w:w="2160"/>
              <w:gridCol w:w="2055"/>
              <w:gridCol w:w="2239"/>
              <w:gridCol w:w="12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37" w:type="dxa"/>
                  <w:tcBorders>
                    <w:top w:val="single" w:color="auto" w:sz="12" w:space="0"/>
                  </w:tcBorders>
                  <w:vAlign w:val="center"/>
                </w:tcPr>
                <w:p>
                  <w:pPr>
                    <w:adjustRightInd w:val="0"/>
                    <w:snapToGrid w:val="0"/>
                    <w:jc w:val="center"/>
                    <w:rPr>
                      <w:color w:val="auto"/>
                      <w:szCs w:val="21"/>
                    </w:rPr>
                  </w:pPr>
                  <w:r>
                    <w:rPr>
                      <w:rFonts w:ascii="宋体" w:hAnsi="宋体" w:cs="宋体"/>
                      <w:color w:val="auto"/>
                      <w:sz w:val="24"/>
                    </w:rPr>
                    <w:drawing>
                      <wp:inline distT="0" distB="0" distL="114300" distR="114300">
                        <wp:extent cx="899795" cy="1018540"/>
                        <wp:effectExtent l="0" t="0" r="14605" b="10160"/>
                        <wp:docPr id="12"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56"/>
                                <pic:cNvPicPr>
                                  <a:picLocks noChangeAspect="1"/>
                                </pic:cNvPicPr>
                              </pic:nvPicPr>
                              <pic:blipFill>
                                <a:blip r:embed="rId8"/>
                                <a:stretch>
                                  <a:fillRect/>
                                </a:stretch>
                              </pic:blipFill>
                              <pic:spPr>
                                <a:xfrm>
                                  <a:off x="0" y="0"/>
                                  <a:ext cx="899795" cy="1018540"/>
                                </a:xfrm>
                                <a:prstGeom prst="rect">
                                  <a:avLst/>
                                </a:prstGeom>
                                <a:noFill/>
                                <a:ln w="9525">
                                  <a:noFill/>
                                </a:ln>
                              </pic:spPr>
                            </pic:pic>
                          </a:graphicData>
                        </a:graphic>
                      </wp:inline>
                    </w:drawing>
                  </w:r>
                </w:p>
              </w:tc>
              <w:tc>
                <w:tcPr>
                  <w:tcW w:w="2160" w:type="dxa"/>
                  <w:tcBorders>
                    <w:top w:val="single" w:color="auto" w:sz="12" w:space="0"/>
                  </w:tcBorders>
                  <w:vAlign w:val="center"/>
                </w:tcPr>
                <w:p>
                  <w:pPr>
                    <w:widowControl/>
                    <w:jc w:val="center"/>
                    <w:rPr>
                      <w:color w:val="auto"/>
                      <w:szCs w:val="21"/>
                    </w:rPr>
                  </w:pPr>
                  <w:r>
                    <w:rPr>
                      <w:rFonts w:ascii="宋体" w:hAnsi="宋体" w:cs="宋体"/>
                      <w:color w:val="auto"/>
                      <w:sz w:val="24"/>
                    </w:rPr>
                    <w:drawing>
                      <wp:inline distT="0" distB="0" distL="114300" distR="114300">
                        <wp:extent cx="1142365" cy="761365"/>
                        <wp:effectExtent l="0" t="0" r="635" b="635"/>
                        <wp:docPr id="11"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56"/>
                                <pic:cNvPicPr>
                                  <a:picLocks noChangeAspect="1"/>
                                </pic:cNvPicPr>
                              </pic:nvPicPr>
                              <pic:blipFill>
                                <a:blip r:embed="rId9"/>
                                <a:stretch>
                                  <a:fillRect/>
                                </a:stretch>
                              </pic:blipFill>
                              <pic:spPr>
                                <a:xfrm>
                                  <a:off x="0" y="0"/>
                                  <a:ext cx="1142365" cy="761365"/>
                                </a:xfrm>
                                <a:prstGeom prst="rect">
                                  <a:avLst/>
                                </a:prstGeom>
                                <a:noFill/>
                                <a:ln w="9525">
                                  <a:noFill/>
                                </a:ln>
                              </pic:spPr>
                            </pic:pic>
                          </a:graphicData>
                        </a:graphic>
                      </wp:inline>
                    </w:drawing>
                  </w:r>
                </w:p>
              </w:tc>
              <w:tc>
                <w:tcPr>
                  <w:tcW w:w="2055" w:type="dxa"/>
                  <w:tcBorders>
                    <w:top w:val="single" w:color="auto" w:sz="12" w:space="0"/>
                  </w:tcBorders>
                  <w:vAlign w:val="center"/>
                </w:tcPr>
                <w:p>
                  <w:pPr>
                    <w:pStyle w:val="2"/>
                    <w:spacing w:before="0" w:after="0" w:line="240" w:lineRule="auto"/>
                    <w:jc w:val="center"/>
                    <w:rPr>
                      <w:color w:val="auto"/>
                      <w:sz w:val="21"/>
                      <w:szCs w:val="21"/>
                    </w:rPr>
                  </w:pPr>
                  <w:r>
                    <w:rPr>
                      <w:rFonts w:ascii="宋体" w:hAnsi="宋体" w:cs="宋体"/>
                      <w:color w:val="auto"/>
                      <w:sz w:val="24"/>
                      <w:szCs w:val="24"/>
                    </w:rPr>
                    <w:drawing>
                      <wp:inline distT="0" distB="0" distL="114300" distR="114300">
                        <wp:extent cx="1177290" cy="986790"/>
                        <wp:effectExtent l="0" t="0" r="3810" b="3810"/>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10"/>
                                <a:stretch>
                                  <a:fillRect/>
                                </a:stretch>
                              </pic:blipFill>
                              <pic:spPr>
                                <a:xfrm>
                                  <a:off x="0" y="0"/>
                                  <a:ext cx="1177290" cy="986790"/>
                                </a:xfrm>
                                <a:prstGeom prst="rect">
                                  <a:avLst/>
                                </a:prstGeom>
                                <a:noFill/>
                                <a:ln w="9525">
                                  <a:noFill/>
                                </a:ln>
                              </pic:spPr>
                            </pic:pic>
                          </a:graphicData>
                        </a:graphic>
                      </wp:inline>
                    </w:drawing>
                  </w:r>
                </w:p>
              </w:tc>
              <w:tc>
                <w:tcPr>
                  <w:tcW w:w="2239" w:type="dxa"/>
                  <w:tcBorders>
                    <w:top w:val="single" w:color="auto" w:sz="12" w:space="0"/>
                  </w:tcBorders>
                  <w:vAlign w:val="center"/>
                </w:tcPr>
                <w:p>
                  <w:pPr>
                    <w:pStyle w:val="2"/>
                    <w:spacing w:before="0" w:after="0" w:line="240" w:lineRule="auto"/>
                    <w:jc w:val="center"/>
                    <w:rPr>
                      <w:color w:val="auto"/>
                      <w:sz w:val="21"/>
                      <w:szCs w:val="21"/>
                    </w:rPr>
                  </w:pPr>
                  <w:r>
                    <w:rPr>
                      <w:rFonts w:ascii="宋体" w:hAnsi="宋体" w:cs="宋体"/>
                      <w:color w:val="auto"/>
                      <w:sz w:val="24"/>
                      <w:szCs w:val="24"/>
                    </w:rPr>
                    <w:drawing>
                      <wp:inline distT="0" distB="0" distL="114300" distR="114300">
                        <wp:extent cx="1095375" cy="1095375"/>
                        <wp:effectExtent l="0" t="0" r="9525" b="9525"/>
                        <wp:docPr id="9"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256"/>
                                <pic:cNvPicPr>
                                  <a:picLocks noChangeAspect="1"/>
                                </pic:cNvPicPr>
                              </pic:nvPicPr>
                              <pic:blipFill>
                                <a:blip r:embed="rId11"/>
                                <a:stretch>
                                  <a:fillRect/>
                                </a:stretch>
                              </pic:blipFill>
                              <pic:spPr>
                                <a:xfrm>
                                  <a:off x="0" y="0"/>
                                  <a:ext cx="1095375" cy="1095375"/>
                                </a:xfrm>
                                <a:prstGeom prst="rect">
                                  <a:avLst/>
                                </a:prstGeom>
                                <a:noFill/>
                                <a:ln w="9525">
                                  <a:noFill/>
                                </a:ln>
                              </pic:spPr>
                            </pic:pic>
                          </a:graphicData>
                        </a:graphic>
                      </wp:inline>
                    </w:drawing>
                  </w:r>
                </w:p>
              </w:tc>
              <w:tc>
                <w:tcPr>
                  <w:tcW w:w="1209" w:type="dxa"/>
                  <w:tcBorders>
                    <w:top w:val="single" w:color="auto" w:sz="12" w:space="0"/>
                    <w:right w:val="nil"/>
                  </w:tcBorders>
                  <w:vAlign w:val="center"/>
                </w:tcPr>
                <w:p>
                  <w:pPr>
                    <w:pStyle w:val="2"/>
                    <w:spacing w:before="0" w:after="0" w:line="240" w:lineRule="auto"/>
                    <w:jc w:val="center"/>
                    <w:rPr>
                      <w:color w:val="auto"/>
                      <w:sz w:val="21"/>
                      <w:szCs w:val="21"/>
                    </w:rPr>
                  </w:pPr>
                  <w:r>
                    <w:rPr>
                      <w:rFonts w:ascii="宋体" w:hAnsi="宋体" w:cs="宋体"/>
                      <w:color w:val="auto"/>
                      <w:sz w:val="24"/>
                      <w:szCs w:val="24"/>
                    </w:rPr>
                    <w:drawing>
                      <wp:inline distT="0" distB="0" distL="114300" distR="114300">
                        <wp:extent cx="753110" cy="538480"/>
                        <wp:effectExtent l="0" t="0" r="8890" b="13970"/>
                        <wp:docPr id="13"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56"/>
                                <pic:cNvPicPr>
                                  <a:picLocks noChangeAspect="1"/>
                                </pic:cNvPicPr>
                              </pic:nvPicPr>
                              <pic:blipFill>
                                <a:blip r:embed="rId12"/>
                                <a:stretch>
                                  <a:fillRect/>
                                </a:stretch>
                              </pic:blipFill>
                              <pic:spPr>
                                <a:xfrm>
                                  <a:off x="0" y="0"/>
                                  <a:ext cx="753110" cy="538480"/>
                                </a:xfrm>
                                <a:prstGeom prst="rect">
                                  <a:avLst/>
                                </a:prstGeom>
                                <a:noFill/>
                                <a:ln w="9525">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37" w:type="dxa"/>
                  <w:tcBorders>
                    <w:left w:val="nil"/>
                  </w:tcBorders>
                  <w:vAlign w:val="center"/>
                </w:tcPr>
                <w:p>
                  <w:pPr>
                    <w:adjustRightInd w:val="0"/>
                    <w:snapToGrid w:val="0"/>
                    <w:jc w:val="center"/>
                    <w:rPr>
                      <w:color w:val="auto"/>
                      <w:sz w:val="18"/>
                      <w:szCs w:val="18"/>
                    </w:rPr>
                  </w:pPr>
                  <w:r>
                    <w:rPr>
                      <w:rFonts w:hint="eastAsia"/>
                      <w:b/>
                      <w:bCs/>
                      <w:color w:val="auto"/>
                      <w:sz w:val="18"/>
                      <w:szCs w:val="18"/>
                    </w:rPr>
                    <w:t>尺寸：9</w:t>
                  </w:r>
                  <w:r>
                    <w:rPr>
                      <w:rFonts w:hint="eastAsia"/>
                      <w:color w:val="auto"/>
                      <w:sz w:val="18"/>
                      <w:szCs w:val="18"/>
                    </w:rPr>
                    <w:t>mm</w:t>
                  </w:r>
                  <w:r>
                    <w:rPr>
                      <w:rFonts w:ascii="Arial" w:hAnsi="Arial" w:cs="Arial"/>
                      <w:color w:val="auto"/>
                      <w:sz w:val="18"/>
                      <w:szCs w:val="18"/>
                    </w:rPr>
                    <w:t>×</w:t>
                  </w:r>
                  <w:r>
                    <w:rPr>
                      <w:rFonts w:hint="eastAsia"/>
                      <w:color w:val="auto"/>
                      <w:sz w:val="18"/>
                      <w:szCs w:val="18"/>
                    </w:rPr>
                    <w:t>7mm~28mm</w:t>
                  </w:r>
                  <w:r>
                    <w:rPr>
                      <w:rFonts w:ascii="Arial" w:hAnsi="Arial" w:cs="Arial"/>
                      <w:color w:val="auto"/>
                      <w:sz w:val="18"/>
                      <w:szCs w:val="18"/>
                    </w:rPr>
                    <w:t>×</w:t>
                  </w:r>
                  <w:r>
                    <w:rPr>
                      <w:rFonts w:hint="eastAsia"/>
                      <w:color w:val="auto"/>
                      <w:sz w:val="18"/>
                      <w:szCs w:val="18"/>
                    </w:rPr>
                    <w:t>11mm</w:t>
                  </w:r>
                </w:p>
              </w:tc>
              <w:tc>
                <w:tcPr>
                  <w:tcW w:w="2160" w:type="dxa"/>
                  <w:vAlign w:val="center"/>
                </w:tcPr>
                <w:p>
                  <w:pPr>
                    <w:adjustRightInd w:val="0"/>
                    <w:snapToGrid w:val="0"/>
                    <w:jc w:val="center"/>
                    <w:rPr>
                      <w:color w:val="auto"/>
                      <w:sz w:val="18"/>
                      <w:szCs w:val="18"/>
                    </w:rPr>
                  </w:pPr>
                  <w:r>
                    <w:rPr>
                      <w:rFonts w:hint="eastAsia"/>
                      <w:b/>
                      <w:bCs/>
                      <w:color w:val="auto"/>
                      <w:sz w:val="18"/>
                      <w:szCs w:val="18"/>
                    </w:rPr>
                    <w:t>尺寸：100~120L</w:t>
                  </w:r>
                </w:p>
              </w:tc>
              <w:tc>
                <w:tcPr>
                  <w:tcW w:w="2055" w:type="dxa"/>
                  <w:vAlign w:val="center"/>
                </w:tcPr>
                <w:p>
                  <w:pPr>
                    <w:pStyle w:val="2"/>
                    <w:spacing w:before="0" w:after="0" w:line="240" w:lineRule="auto"/>
                    <w:jc w:val="center"/>
                    <w:rPr>
                      <w:color w:val="auto"/>
                      <w:sz w:val="18"/>
                      <w:szCs w:val="18"/>
                    </w:rPr>
                  </w:pPr>
                  <w:r>
                    <w:rPr>
                      <w:rFonts w:hint="eastAsia"/>
                      <w:color w:val="auto"/>
                      <w:sz w:val="18"/>
                      <w:szCs w:val="18"/>
                    </w:rPr>
                    <w:t>尺寸：7.5mm</w:t>
                  </w:r>
                  <w:r>
                    <w:rPr>
                      <w:rFonts w:ascii="Arial" w:hAnsi="Arial" w:cs="Arial"/>
                      <w:color w:val="auto"/>
                      <w:sz w:val="18"/>
                      <w:szCs w:val="18"/>
                    </w:rPr>
                    <w:t>×</w:t>
                  </w:r>
                  <w:r>
                    <w:rPr>
                      <w:rFonts w:hint="eastAsia"/>
                      <w:color w:val="auto"/>
                      <w:sz w:val="18"/>
                      <w:szCs w:val="18"/>
                    </w:rPr>
                    <w:t>1.8mm~32.5mm</w:t>
                  </w:r>
                  <w:r>
                    <w:rPr>
                      <w:rFonts w:ascii="Arial" w:hAnsi="Arial" w:cs="Arial"/>
                      <w:color w:val="auto"/>
                      <w:sz w:val="18"/>
                      <w:szCs w:val="18"/>
                    </w:rPr>
                    <w:t>×</w:t>
                  </w:r>
                  <w:r>
                    <w:rPr>
                      <w:rFonts w:hint="eastAsia"/>
                      <w:color w:val="auto"/>
                      <w:sz w:val="18"/>
                      <w:szCs w:val="18"/>
                    </w:rPr>
                    <w:t>2.65mm</w:t>
                  </w:r>
                </w:p>
              </w:tc>
              <w:tc>
                <w:tcPr>
                  <w:tcW w:w="2239" w:type="dxa"/>
                  <w:vAlign w:val="center"/>
                </w:tcPr>
                <w:p>
                  <w:pPr>
                    <w:pStyle w:val="2"/>
                    <w:spacing w:before="0" w:after="0" w:line="240" w:lineRule="auto"/>
                    <w:jc w:val="center"/>
                    <w:rPr>
                      <w:color w:val="auto"/>
                      <w:sz w:val="18"/>
                      <w:szCs w:val="18"/>
                    </w:rPr>
                  </w:pPr>
                  <w:r>
                    <w:rPr>
                      <w:rFonts w:hint="eastAsia"/>
                      <w:color w:val="auto"/>
                      <w:sz w:val="18"/>
                      <w:szCs w:val="18"/>
                    </w:rPr>
                    <w:t>壁厚1.5mm、2mm、2.5mm、3mm等</w:t>
                  </w:r>
                </w:p>
              </w:tc>
              <w:tc>
                <w:tcPr>
                  <w:tcW w:w="1209" w:type="dxa"/>
                  <w:tcBorders>
                    <w:right w:val="nil"/>
                  </w:tcBorders>
                  <w:vAlign w:val="center"/>
                </w:tcPr>
                <w:p>
                  <w:pPr>
                    <w:pStyle w:val="2"/>
                    <w:spacing w:before="0" w:after="0" w:line="240" w:lineRule="auto"/>
                    <w:jc w:val="center"/>
                    <w:rPr>
                      <w:color w:val="auto"/>
                      <w:sz w:val="18"/>
                      <w:szCs w:val="18"/>
                    </w:rPr>
                  </w:pPr>
                  <w:r>
                    <w:rPr>
                      <w:rFonts w:hint="eastAsia"/>
                      <w:color w:val="auto"/>
                      <w:sz w:val="18"/>
                      <w:szCs w:val="18"/>
                    </w:rPr>
                    <w:t>SE8595、SE6638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37" w:type="dxa"/>
                  <w:tcBorders>
                    <w:left w:val="nil"/>
                    <w:bottom w:val="single" w:color="auto" w:sz="12" w:space="0"/>
                  </w:tcBorders>
                  <w:vAlign w:val="center"/>
                </w:tcPr>
                <w:p>
                  <w:pPr>
                    <w:adjustRightInd w:val="0"/>
                    <w:snapToGrid w:val="0"/>
                    <w:jc w:val="center"/>
                    <w:rPr>
                      <w:color w:val="auto"/>
                      <w:sz w:val="18"/>
                      <w:szCs w:val="18"/>
                    </w:rPr>
                  </w:pPr>
                  <w:r>
                    <w:rPr>
                      <w:rFonts w:hint="eastAsia"/>
                      <w:b/>
                      <w:bCs/>
                      <w:color w:val="auto"/>
                      <w:sz w:val="18"/>
                      <w:szCs w:val="18"/>
                    </w:rPr>
                    <w:t>密封件</w:t>
                  </w:r>
                </w:p>
              </w:tc>
              <w:tc>
                <w:tcPr>
                  <w:tcW w:w="2160" w:type="dxa"/>
                  <w:tcBorders>
                    <w:bottom w:val="single" w:color="auto" w:sz="12" w:space="0"/>
                  </w:tcBorders>
                  <w:vAlign w:val="center"/>
                </w:tcPr>
                <w:p>
                  <w:pPr>
                    <w:adjustRightInd w:val="0"/>
                    <w:snapToGrid w:val="0"/>
                    <w:jc w:val="center"/>
                    <w:rPr>
                      <w:color w:val="auto"/>
                      <w:sz w:val="18"/>
                      <w:szCs w:val="18"/>
                    </w:rPr>
                  </w:pPr>
                  <w:r>
                    <w:rPr>
                      <w:rFonts w:hint="eastAsia"/>
                      <w:b/>
                      <w:bCs/>
                      <w:color w:val="auto"/>
                      <w:sz w:val="18"/>
                      <w:szCs w:val="18"/>
                    </w:rPr>
                    <w:t>密封垫</w:t>
                  </w:r>
                </w:p>
              </w:tc>
              <w:tc>
                <w:tcPr>
                  <w:tcW w:w="2055" w:type="dxa"/>
                  <w:tcBorders>
                    <w:bottom w:val="single" w:color="auto" w:sz="12" w:space="0"/>
                  </w:tcBorders>
                  <w:vAlign w:val="center"/>
                </w:tcPr>
                <w:p>
                  <w:pPr>
                    <w:pStyle w:val="2"/>
                    <w:spacing w:before="0" w:after="0" w:line="240" w:lineRule="auto"/>
                    <w:jc w:val="center"/>
                    <w:rPr>
                      <w:color w:val="auto"/>
                      <w:sz w:val="18"/>
                      <w:szCs w:val="18"/>
                    </w:rPr>
                  </w:pPr>
                  <w:r>
                    <w:rPr>
                      <w:color w:val="auto"/>
                      <w:sz w:val="18"/>
                      <w:szCs w:val="18"/>
                    </w:rPr>
                    <w:t>O形圈</w:t>
                  </w:r>
                </w:p>
              </w:tc>
              <w:tc>
                <w:tcPr>
                  <w:tcW w:w="2239" w:type="dxa"/>
                  <w:tcBorders>
                    <w:bottom w:val="single" w:color="auto" w:sz="12" w:space="0"/>
                  </w:tcBorders>
                  <w:vAlign w:val="center"/>
                </w:tcPr>
                <w:p>
                  <w:pPr>
                    <w:pStyle w:val="2"/>
                    <w:spacing w:before="0" w:after="0" w:line="240" w:lineRule="auto"/>
                    <w:jc w:val="center"/>
                    <w:rPr>
                      <w:color w:val="auto"/>
                      <w:sz w:val="18"/>
                      <w:szCs w:val="18"/>
                    </w:rPr>
                  </w:pPr>
                  <w:r>
                    <w:rPr>
                      <w:rFonts w:hint="eastAsia"/>
                      <w:color w:val="auto"/>
                      <w:sz w:val="18"/>
                      <w:szCs w:val="18"/>
                    </w:rPr>
                    <w:t>胶管</w:t>
                  </w:r>
                </w:p>
              </w:tc>
              <w:tc>
                <w:tcPr>
                  <w:tcW w:w="1209" w:type="dxa"/>
                  <w:tcBorders>
                    <w:bottom w:val="single" w:color="auto" w:sz="12" w:space="0"/>
                    <w:right w:val="nil"/>
                  </w:tcBorders>
                  <w:vAlign w:val="center"/>
                </w:tcPr>
                <w:p>
                  <w:pPr>
                    <w:pStyle w:val="2"/>
                    <w:spacing w:before="0" w:after="0" w:line="240" w:lineRule="auto"/>
                    <w:jc w:val="center"/>
                    <w:rPr>
                      <w:color w:val="auto"/>
                      <w:sz w:val="18"/>
                      <w:szCs w:val="18"/>
                    </w:rPr>
                  </w:pPr>
                  <w:r>
                    <w:rPr>
                      <w:rFonts w:hint="eastAsia"/>
                      <w:color w:val="auto"/>
                      <w:sz w:val="18"/>
                      <w:szCs w:val="18"/>
                    </w:rPr>
                    <w:t>塑料件</w:t>
                  </w:r>
                </w:p>
              </w:tc>
            </w:tr>
          </w:tbl>
          <w:p>
            <w:pPr>
              <w:pStyle w:val="2"/>
              <w:spacing w:before="0" w:after="0" w:line="360" w:lineRule="auto"/>
              <w:rPr>
                <w:color w:val="auto"/>
                <w:sz w:val="21"/>
                <w:szCs w:val="21"/>
              </w:rPr>
            </w:pPr>
          </w:p>
          <w:p>
            <w:pPr>
              <w:adjustRightInd w:val="0"/>
              <w:snapToGrid w:val="0"/>
              <w:spacing w:before="120" w:beforeLines="50" w:line="360" w:lineRule="auto"/>
              <w:ind w:firstLine="422" w:firstLineChars="200"/>
              <w:jc w:val="left"/>
              <w:rPr>
                <w:b/>
                <w:color w:val="auto"/>
                <w:szCs w:val="21"/>
              </w:rPr>
            </w:pPr>
            <w:r>
              <w:rPr>
                <w:b/>
                <w:color w:val="auto"/>
                <w:szCs w:val="21"/>
              </w:rPr>
              <w:t>3、主要生产单元、主要工艺及生产设施名称一览表</w:t>
            </w:r>
          </w:p>
          <w:p>
            <w:pPr>
              <w:adjustRightInd w:val="0"/>
              <w:snapToGrid w:val="0"/>
              <w:spacing w:line="360" w:lineRule="auto"/>
              <w:ind w:firstLine="420" w:firstLineChars="200"/>
              <w:jc w:val="left"/>
              <w:rPr>
                <w:color w:val="auto"/>
              </w:rPr>
            </w:pPr>
            <w:r>
              <w:rPr>
                <w:rFonts w:hint="eastAsia"/>
                <w:bCs/>
                <w:color w:val="auto"/>
                <w:szCs w:val="21"/>
              </w:rPr>
              <w:t>建设项目主要生产设施及设施参数见下表 。</w:t>
            </w:r>
          </w:p>
          <w:p>
            <w:pPr>
              <w:jc w:val="center"/>
              <w:rPr>
                <w:b/>
                <w:bCs/>
                <w:color w:val="auto"/>
                <w:szCs w:val="21"/>
              </w:rPr>
            </w:pPr>
            <w:r>
              <w:rPr>
                <w:b/>
                <w:bCs/>
                <w:color w:val="auto"/>
                <w:szCs w:val="21"/>
              </w:rPr>
              <w:t>表2-3   建设项目主要生产单元、主要工艺及生产设施名称一览表</w:t>
            </w:r>
          </w:p>
          <w:tbl>
            <w:tblPr>
              <w:tblStyle w:val="37"/>
              <w:tblpPr w:leftFromText="180" w:rightFromText="180" w:vertAnchor="text" w:tblpXSpec="center" w:tblpY="1"/>
              <w:tblOverlap w:val="never"/>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Layout w:type="fixed"/>
              <w:tblCellMar>
                <w:top w:w="0" w:type="dxa"/>
                <w:left w:w="108" w:type="dxa"/>
                <w:bottom w:w="0" w:type="dxa"/>
                <w:right w:w="108" w:type="dxa"/>
              </w:tblCellMar>
            </w:tblPr>
            <w:tblGrid>
              <w:gridCol w:w="993"/>
              <w:gridCol w:w="1417"/>
              <w:gridCol w:w="1276"/>
              <w:gridCol w:w="1134"/>
              <w:gridCol w:w="992"/>
              <w:gridCol w:w="851"/>
              <w:gridCol w:w="992"/>
              <w:gridCol w:w="861"/>
              <w:gridCol w:w="578"/>
            </w:tblGrid>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restart"/>
                  <w:vAlign w:val="center"/>
                </w:tcPr>
                <w:p>
                  <w:pPr>
                    <w:jc w:val="center"/>
                    <w:rPr>
                      <w:b/>
                      <w:bCs/>
                      <w:color w:val="auto"/>
                      <w:sz w:val="18"/>
                      <w:szCs w:val="18"/>
                    </w:rPr>
                  </w:pPr>
                  <w:r>
                    <w:rPr>
                      <w:b/>
                      <w:bCs/>
                      <w:color w:val="auto"/>
                      <w:sz w:val="18"/>
                      <w:szCs w:val="18"/>
                    </w:rPr>
                    <w:t>生产线</w:t>
                  </w:r>
                </w:p>
              </w:tc>
              <w:tc>
                <w:tcPr>
                  <w:tcW w:w="1417" w:type="dxa"/>
                  <w:vMerge w:val="restart"/>
                  <w:vAlign w:val="center"/>
                </w:tcPr>
                <w:p>
                  <w:pPr>
                    <w:jc w:val="center"/>
                    <w:rPr>
                      <w:b/>
                      <w:bCs/>
                      <w:color w:val="auto"/>
                      <w:sz w:val="18"/>
                      <w:szCs w:val="18"/>
                    </w:rPr>
                  </w:pPr>
                  <w:r>
                    <w:rPr>
                      <w:b/>
                      <w:bCs/>
                      <w:color w:val="auto"/>
                      <w:sz w:val="18"/>
                      <w:szCs w:val="18"/>
                    </w:rPr>
                    <w:t>设备名称</w:t>
                  </w:r>
                </w:p>
              </w:tc>
              <w:tc>
                <w:tcPr>
                  <w:tcW w:w="1276" w:type="dxa"/>
                  <w:vMerge w:val="restart"/>
                  <w:vAlign w:val="center"/>
                </w:tcPr>
                <w:p>
                  <w:pPr>
                    <w:jc w:val="center"/>
                    <w:rPr>
                      <w:b/>
                      <w:bCs/>
                      <w:color w:val="auto"/>
                      <w:sz w:val="18"/>
                      <w:szCs w:val="18"/>
                    </w:rPr>
                  </w:pPr>
                  <w:r>
                    <w:rPr>
                      <w:b/>
                      <w:bCs/>
                      <w:color w:val="auto"/>
                      <w:sz w:val="18"/>
                      <w:szCs w:val="18"/>
                    </w:rPr>
                    <w:t>型号及规格</w:t>
                  </w:r>
                </w:p>
              </w:tc>
              <w:tc>
                <w:tcPr>
                  <w:tcW w:w="1134" w:type="dxa"/>
                  <w:vMerge w:val="restart"/>
                  <w:vAlign w:val="center"/>
                </w:tcPr>
                <w:p>
                  <w:pPr>
                    <w:jc w:val="center"/>
                    <w:rPr>
                      <w:b/>
                      <w:bCs/>
                      <w:color w:val="auto"/>
                      <w:sz w:val="18"/>
                      <w:szCs w:val="18"/>
                    </w:rPr>
                  </w:pPr>
                  <w:r>
                    <w:rPr>
                      <w:b/>
                      <w:bCs/>
                      <w:color w:val="auto"/>
                      <w:sz w:val="18"/>
                      <w:szCs w:val="18"/>
                    </w:rPr>
                    <w:t>所在位置</w:t>
                  </w:r>
                </w:p>
              </w:tc>
              <w:tc>
                <w:tcPr>
                  <w:tcW w:w="992" w:type="dxa"/>
                  <w:vMerge w:val="restart"/>
                  <w:vAlign w:val="center"/>
                </w:tcPr>
                <w:p>
                  <w:pPr>
                    <w:jc w:val="center"/>
                    <w:rPr>
                      <w:b/>
                      <w:bCs/>
                      <w:color w:val="auto"/>
                      <w:sz w:val="18"/>
                      <w:szCs w:val="18"/>
                    </w:rPr>
                  </w:pPr>
                  <w:r>
                    <w:rPr>
                      <w:b/>
                      <w:bCs/>
                      <w:color w:val="auto"/>
                      <w:sz w:val="18"/>
                      <w:szCs w:val="18"/>
                    </w:rPr>
                    <w:t>所用工序</w:t>
                  </w:r>
                </w:p>
              </w:tc>
              <w:tc>
                <w:tcPr>
                  <w:tcW w:w="3282" w:type="dxa"/>
                  <w:gridSpan w:val="4"/>
                  <w:vAlign w:val="center"/>
                </w:tcPr>
                <w:p>
                  <w:pPr>
                    <w:jc w:val="center"/>
                    <w:rPr>
                      <w:b/>
                      <w:bCs/>
                      <w:color w:val="auto"/>
                      <w:sz w:val="18"/>
                      <w:szCs w:val="18"/>
                    </w:rPr>
                  </w:pPr>
                  <w:r>
                    <w:rPr>
                      <w:b/>
                      <w:bCs/>
                      <w:color w:val="auto"/>
                      <w:sz w:val="18"/>
                      <w:szCs w:val="18"/>
                    </w:rPr>
                    <w:t>数量（台）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b/>
                      <w:bCs/>
                      <w:color w:val="auto"/>
                      <w:sz w:val="18"/>
                      <w:szCs w:val="18"/>
                    </w:rPr>
                  </w:pPr>
                </w:p>
              </w:tc>
              <w:tc>
                <w:tcPr>
                  <w:tcW w:w="1417" w:type="dxa"/>
                  <w:vMerge w:val="continue"/>
                  <w:vAlign w:val="center"/>
                </w:tcPr>
                <w:p>
                  <w:pPr>
                    <w:jc w:val="center"/>
                    <w:rPr>
                      <w:b/>
                      <w:bCs/>
                      <w:color w:val="auto"/>
                      <w:sz w:val="18"/>
                      <w:szCs w:val="18"/>
                    </w:rPr>
                  </w:pPr>
                </w:p>
              </w:tc>
              <w:tc>
                <w:tcPr>
                  <w:tcW w:w="1276" w:type="dxa"/>
                  <w:vMerge w:val="continue"/>
                  <w:vAlign w:val="center"/>
                </w:tcPr>
                <w:p>
                  <w:pPr>
                    <w:jc w:val="center"/>
                    <w:rPr>
                      <w:b/>
                      <w:bCs/>
                      <w:color w:val="auto"/>
                      <w:sz w:val="18"/>
                      <w:szCs w:val="18"/>
                    </w:rPr>
                  </w:pPr>
                </w:p>
              </w:tc>
              <w:tc>
                <w:tcPr>
                  <w:tcW w:w="1134" w:type="dxa"/>
                  <w:vMerge w:val="continue"/>
                  <w:vAlign w:val="center"/>
                </w:tcPr>
                <w:p>
                  <w:pPr>
                    <w:jc w:val="center"/>
                    <w:rPr>
                      <w:b/>
                      <w:bCs/>
                      <w:color w:val="auto"/>
                      <w:sz w:val="18"/>
                      <w:szCs w:val="18"/>
                    </w:rPr>
                  </w:pPr>
                </w:p>
              </w:tc>
              <w:tc>
                <w:tcPr>
                  <w:tcW w:w="992" w:type="dxa"/>
                  <w:vMerge w:val="continue"/>
                  <w:vAlign w:val="center"/>
                </w:tcPr>
                <w:p>
                  <w:pPr>
                    <w:jc w:val="center"/>
                    <w:rPr>
                      <w:b/>
                      <w:bCs/>
                      <w:color w:val="auto"/>
                      <w:sz w:val="18"/>
                      <w:szCs w:val="18"/>
                    </w:rPr>
                  </w:pPr>
                </w:p>
              </w:tc>
              <w:tc>
                <w:tcPr>
                  <w:tcW w:w="851" w:type="dxa"/>
                  <w:vAlign w:val="center"/>
                </w:tcPr>
                <w:p>
                  <w:pPr>
                    <w:jc w:val="center"/>
                    <w:rPr>
                      <w:b/>
                      <w:bCs/>
                      <w:color w:val="auto"/>
                      <w:sz w:val="18"/>
                      <w:szCs w:val="18"/>
                    </w:rPr>
                  </w:pPr>
                  <w:r>
                    <w:rPr>
                      <w:rFonts w:hint="eastAsia"/>
                      <w:b/>
                      <w:bCs/>
                      <w:color w:val="auto"/>
                      <w:sz w:val="18"/>
                      <w:szCs w:val="18"/>
                    </w:rPr>
                    <w:t>迁建前</w:t>
                  </w:r>
                </w:p>
              </w:tc>
              <w:tc>
                <w:tcPr>
                  <w:tcW w:w="992" w:type="dxa"/>
                  <w:vAlign w:val="center"/>
                </w:tcPr>
                <w:p>
                  <w:pPr>
                    <w:jc w:val="center"/>
                    <w:rPr>
                      <w:b/>
                      <w:bCs/>
                      <w:color w:val="auto"/>
                      <w:sz w:val="18"/>
                      <w:szCs w:val="18"/>
                    </w:rPr>
                  </w:pPr>
                  <w:r>
                    <w:rPr>
                      <w:rFonts w:hint="eastAsia"/>
                      <w:b/>
                      <w:bCs/>
                      <w:color w:val="auto"/>
                      <w:sz w:val="18"/>
                      <w:szCs w:val="18"/>
                    </w:rPr>
                    <w:t>迁建后</w:t>
                  </w:r>
                </w:p>
              </w:tc>
              <w:tc>
                <w:tcPr>
                  <w:tcW w:w="861" w:type="dxa"/>
                  <w:vAlign w:val="center"/>
                </w:tcPr>
                <w:p>
                  <w:pPr>
                    <w:jc w:val="center"/>
                    <w:rPr>
                      <w:b/>
                      <w:bCs/>
                      <w:color w:val="auto"/>
                      <w:sz w:val="18"/>
                      <w:szCs w:val="18"/>
                    </w:rPr>
                  </w:pPr>
                  <w:r>
                    <w:rPr>
                      <w:rFonts w:hint="eastAsia"/>
                      <w:b/>
                      <w:bCs/>
                      <w:color w:val="auto"/>
                      <w:sz w:val="18"/>
                      <w:szCs w:val="18"/>
                    </w:rPr>
                    <w:t>变化量</w:t>
                  </w:r>
                </w:p>
              </w:tc>
              <w:tc>
                <w:tcPr>
                  <w:tcW w:w="578" w:type="dxa"/>
                  <w:vAlign w:val="center"/>
                </w:tcPr>
                <w:p>
                  <w:pPr>
                    <w:jc w:val="center"/>
                    <w:rPr>
                      <w:b/>
                      <w:bCs/>
                      <w:color w:val="auto"/>
                      <w:sz w:val="18"/>
                      <w:szCs w:val="18"/>
                    </w:rPr>
                  </w:pPr>
                  <w:r>
                    <w:rPr>
                      <w:b/>
                      <w:bCs/>
                      <w:color w:val="auto"/>
                      <w:sz w:val="18"/>
                      <w:szCs w:val="18"/>
                    </w:rPr>
                    <w:t>全厂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restart"/>
                  <w:vAlign w:val="center"/>
                </w:tcPr>
                <w:p>
                  <w:pPr>
                    <w:jc w:val="center"/>
                    <w:rPr>
                      <w:color w:val="auto"/>
                      <w:sz w:val="18"/>
                      <w:szCs w:val="18"/>
                    </w:rPr>
                  </w:pPr>
                  <w:r>
                    <w:rPr>
                      <w:color w:val="auto"/>
                      <w:sz w:val="18"/>
                      <w:szCs w:val="18"/>
                    </w:rPr>
                    <w:t>橡胶件生产线</w:t>
                  </w:r>
                </w:p>
              </w:tc>
              <w:tc>
                <w:tcPr>
                  <w:tcW w:w="1417" w:type="dxa"/>
                  <w:vAlign w:val="center"/>
                </w:tcPr>
                <w:p>
                  <w:pPr>
                    <w:jc w:val="center"/>
                    <w:rPr>
                      <w:color w:val="auto"/>
                      <w:sz w:val="18"/>
                      <w:szCs w:val="18"/>
                    </w:rPr>
                  </w:pPr>
                  <w:r>
                    <w:rPr>
                      <w:color w:val="auto"/>
                      <w:sz w:val="18"/>
                      <w:szCs w:val="18"/>
                    </w:rPr>
                    <w:t>密炼机</w:t>
                  </w:r>
                </w:p>
              </w:tc>
              <w:tc>
                <w:tcPr>
                  <w:tcW w:w="1276" w:type="dxa"/>
                  <w:vAlign w:val="center"/>
                </w:tcPr>
                <w:p>
                  <w:pPr>
                    <w:jc w:val="center"/>
                    <w:rPr>
                      <w:color w:val="auto"/>
                      <w:sz w:val="18"/>
                      <w:szCs w:val="18"/>
                    </w:rPr>
                  </w:pPr>
                  <w:r>
                    <w:rPr>
                      <w:color w:val="auto"/>
                      <w:sz w:val="18"/>
                      <w:szCs w:val="18"/>
                    </w:rPr>
                    <w:t>YS-35L-60D</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密闭混合</w:t>
                  </w:r>
                </w:p>
              </w:tc>
              <w:tc>
                <w:tcPr>
                  <w:tcW w:w="851" w:type="dxa"/>
                  <w:vAlign w:val="center"/>
                </w:tcPr>
                <w:p>
                  <w:pPr>
                    <w:jc w:val="center"/>
                    <w:rPr>
                      <w:color w:val="auto"/>
                      <w:sz w:val="18"/>
                      <w:szCs w:val="18"/>
                    </w:rPr>
                  </w:pPr>
                  <w:r>
                    <w:rPr>
                      <w:color w:val="auto"/>
                      <w:sz w:val="18"/>
                      <w:szCs w:val="18"/>
                    </w:rPr>
                    <w:t>1</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0</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开炼机</w:t>
                  </w:r>
                </w:p>
              </w:tc>
              <w:tc>
                <w:tcPr>
                  <w:tcW w:w="1276" w:type="dxa"/>
                  <w:vAlign w:val="center"/>
                </w:tcPr>
                <w:p>
                  <w:pPr>
                    <w:jc w:val="center"/>
                    <w:rPr>
                      <w:color w:val="auto"/>
                      <w:sz w:val="18"/>
                      <w:szCs w:val="18"/>
                    </w:rPr>
                  </w:pPr>
                  <w:r>
                    <w:rPr>
                      <w:rFonts w:hint="eastAsia"/>
                      <w:color w:val="auto"/>
                      <w:sz w:val="18"/>
                      <w:szCs w:val="18"/>
                    </w:rPr>
                    <w:t>WFH-16’</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开炼</w:t>
                  </w:r>
                </w:p>
              </w:tc>
              <w:tc>
                <w:tcPr>
                  <w:tcW w:w="851" w:type="dxa"/>
                  <w:vAlign w:val="center"/>
                </w:tcPr>
                <w:p>
                  <w:pPr>
                    <w:jc w:val="center"/>
                    <w:rPr>
                      <w:color w:val="auto"/>
                      <w:sz w:val="18"/>
                      <w:szCs w:val="18"/>
                    </w:rPr>
                  </w:pPr>
                  <w:r>
                    <w:rPr>
                      <w:color w:val="auto"/>
                      <w:sz w:val="18"/>
                      <w:szCs w:val="18"/>
                    </w:rPr>
                    <w:t>3</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-2</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开炼机</w:t>
                  </w:r>
                </w:p>
              </w:tc>
              <w:tc>
                <w:tcPr>
                  <w:tcW w:w="1276" w:type="dxa"/>
                  <w:vAlign w:val="center"/>
                </w:tcPr>
                <w:p>
                  <w:pPr>
                    <w:jc w:val="center"/>
                    <w:rPr>
                      <w:color w:val="auto"/>
                      <w:sz w:val="18"/>
                      <w:szCs w:val="18"/>
                    </w:rPr>
                  </w:pPr>
                  <w:r>
                    <w:rPr>
                      <w:color w:val="auto"/>
                      <w:sz w:val="18"/>
                      <w:szCs w:val="18"/>
                    </w:rPr>
                    <w:t>Ø</w:t>
                  </w:r>
                  <w:r>
                    <w:rPr>
                      <w:rFonts w:hint="eastAsia"/>
                      <w:color w:val="auto"/>
                      <w:sz w:val="18"/>
                      <w:szCs w:val="18"/>
                    </w:rPr>
                    <w:t>9‘’</w:t>
                  </w:r>
                  <w:r>
                    <w:rPr>
                      <w:color w:val="auto"/>
                      <w:sz w:val="18"/>
                      <w:szCs w:val="18"/>
                    </w:rPr>
                    <w:t>X</w:t>
                  </w:r>
                  <w:r>
                    <w:rPr>
                      <w:rFonts w:hint="eastAsia"/>
                      <w:color w:val="auto"/>
                      <w:sz w:val="18"/>
                      <w:szCs w:val="18"/>
                    </w:rPr>
                    <w:t>635</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开炼</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开炼机</w:t>
                  </w:r>
                </w:p>
              </w:tc>
              <w:tc>
                <w:tcPr>
                  <w:tcW w:w="1276" w:type="dxa"/>
                  <w:vAlign w:val="center"/>
                </w:tcPr>
                <w:p>
                  <w:pPr>
                    <w:jc w:val="center"/>
                    <w:rPr>
                      <w:color w:val="auto"/>
                      <w:sz w:val="18"/>
                      <w:szCs w:val="18"/>
                    </w:rPr>
                  </w:pPr>
                  <w:r>
                    <w:rPr>
                      <w:color w:val="auto"/>
                      <w:sz w:val="18"/>
                      <w:szCs w:val="18"/>
                    </w:rPr>
                    <w:t>XK-</w:t>
                  </w:r>
                  <w:r>
                    <w:rPr>
                      <w:rFonts w:hint="eastAsia"/>
                      <w:color w:val="auto"/>
                      <w:sz w:val="18"/>
                      <w:szCs w:val="18"/>
                    </w:rPr>
                    <w:t>160</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开炼</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预成型机</w:t>
                  </w:r>
                </w:p>
              </w:tc>
              <w:tc>
                <w:tcPr>
                  <w:tcW w:w="1276" w:type="dxa"/>
                  <w:vAlign w:val="center"/>
                </w:tcPr>
                <w:p>
                  <w:pPr>
                    <w:jc w:val="center"/>
                    <w:rPr>
                      <w:color w:val="auto"/>
                      <w:sz w:val="18"/>
                      <w:szCs w:val="18"/>
                    </w:rPr>
                  </w:pPr>
                  <w:r>
                    <w:rPr>
                      <w:color w:val="auto"/>
                      <w:sz w:val="18"/>
                      <w:szCs w:val="18"/>
                    </w:rPr>
                    <w:t>JYZ200</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开炼</w:t>
                  </w:r>
                </w:p>
              </w:tc>
              <w:tc>
                <w:tcPr>
                  <w:tcW w:w="851" w:type="dxa"/>
                  <w:vAlign w:val="center"/>
                </w:tcPr>
                <w:p>
                  <w:pPr>
                    <w:jc w:val="center"/>
                    <w:rPr>
                      <w:color w:val="auto"/>
                      <w:sz w:val="18"/>
                      <w:szCs w:val="18"/>
                    </w:rPr>
                  </w:pPr>
                  <w:r>
                    <w:rPr>
                      <w:color w:val="auto"/>
                      <w:sz w:val="18"/>
                      <w:szCs w:val="18"/>
                    </w:rPr>
                    <w:t>1</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0</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模压成型机</w:t>
                  </w:r>
                </w:p>
              </w:tc>
              <w:tc>
                <w:tcPr>
                  <w:tcW w:w="1276" w:type="dxa"/>
                  <w:vAlign w:val="center"/>
                </w:tcPr>
                <w:p>
                  <w:pPr>
                    <w:jc w:val="center"/>
                    <w:rPr>
                      <w:color w:val="auto"/>
                      <w:sz w:val="18"/>
                      <w:szCs w:val="18"/>
                    </w:rPr>
                  </w:pPr>
                  <w:r>
                    <w:rPr>
                      <w:color w:val="auto"/>
                      <w:sz w:val="18"/>
                      <w:szCs w:val="18"/>
                    </w:rPr>
                    <w:t>TYC-V-14</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一次成型</w:t>
                  </w:r>
                </w:p>
              </w:tc>
              <w:tc>
                <w:tcPr>
                  <w:tcW w:w="851" w:type="dxa"/>
                  <w:vAlign w:val="center"/>
                </w:tcPr>
                <w:p>
                  <w:pPr>
                    <w:jc w:val="center"/>
                    <w:rPr>
                      <w:color w:val="auto"/>
                      <w:sz w:val="18"/>
                      <w:szCs w:val="18"/>
                    </w:rPr>
                  </w:pPr>
                  <w:r>
                    <w:rPr>
                      <w:color w:val="auto"/>
                      <w:sz w:val="18"/>
                      <w:szCs w:val="18"/>
                    </w:rPr>
                    <w:t>8</w:t>
                  </w:r>
                </w:p>
              </w:tc>
              <w:tc>
                <w:tcPr>
                  <w:tcW w:w="992" w:type="dxa"/>
                  <w:vAlign w:val="center"/>
                </w:tcPr>
                <w:p>
                  <w:pPr>
                    <w:jc w:val="center"/>
                    <w:rPr>
                      <w:color w:val="auto"/>
                      <w:sz w:val="18"/>
                      <w:szCs w:val="18"/>
                    </w:rPr>
                  </w:pPr>
                  <w:r>
                    <w:rPr>
                      <w:rFonts w:hint="eastAsia"/>
                      <w:color w:val="auto"/>
                      <w:sz w:val="18"/>
                      <w:szCs w:val="18"/>
                    </w:rPr>
                    <w:t>4</w:t>
                  </w:r>
                </w:p>
              </w:tc>
              <w:tc>
                <w:tcPr>
                  <w:tcW w:w="861" w:type="dxa"/>
                  <w:vAlign w:val="center"/>
                </w:tcPr>
                <w:p>
                  <w:pPr>
                    <w:jc w:val="center"/>
                    <w:rPr>
                      <w:color w:val="auto"/>
                      <w:sz w:val="18"/>
                      <w:szCs w:val="18"/>
                    </w:rPr>
                  </w:pPr>
                  <w:r>
                    <w:rPr>
                      <w:rFonts w:hint="eastAsia"/>
                      <w:color w:val="auto"/>
                      <w:sz w:val="18"/>
                      <w:szCs w:val="18"/>
                    </w:rPr>
                    <w:t>-4</w:t>
                  </w:r>
                </w:p>
              </w:tc>
              <w:tc>
                <w:tcPr>
                  <w:tcW w:w="578" w:type="dxa"/>
                  <w:vAlign w:val="center"/>
                </w:tcPr>
                <w:p>
                  <w:pPr>
                    <w:jc w:val="center"/>
                    <w:rPr>
                      <w:color w:val="auto"/>
                      <w:sz w:val="18"/>
                      <w:szCs w:val="18"/>
                    </w:rPr>
                  </w:pPr>
                  <w:r>
                    <w:rPr>
                      <w:rFonts w:hint="eastAsia"/>
                      <w:color w:val="auto"/>
                      <w:sz w:val="18"/>
                      <w:szCs w:val="18"/>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Height w:val="193" w:hRule="atLeas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模压成型机</w:t>
                  </w:r>
                </w:p>
              </w:tc>
              <w:tc>
                <w:tcPr>
                  <w:tcW w:w="1276" w:type="dxa"/>
                  <w:vAlign w:val="center"/>
                </w:tcPr>
                <w:p>
                  <w:pPr>
                    <w:jc w:val="center"/>
                    <w:rPr>
                      <w:color w:val="auto"/>
                      <w:sz w:val="18"/>
                      <w:szCs w:val="18"/>
                    </w:rPr>
                  </w:pPr>
                  <w:r>
                    <w:rPr>
                      <w:rFonts w:hint="eastAsia"/>
                      <w:color w:val="auto"/>
                      <w:sz w:val="18"/>
                      <w:szCs w:val="18"/>
                    </w:rPr>
                    <w:t>DY-100</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一次成型</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模压成型机</w:t>
                  </w:r>
                </w:p>
              </w:tc>
              <w:tc>
                <w:tcPr>
                  <w:tcW w:w="1276" w:type="dxa"/>
                  <w:vAlign w:val="center"/>
                </w:tcPr>
                <w:p>
                  <w:pPr>
                    <w:jc w:val="center"/>
                    <w:rPr>
                      <w:color w:val="auto"/>
                      <w:sz w:val="18"/>
                      <w:szCs w:val="18"/>
                    </w:rPr>
                  </w:pPr>
                  <w:r>
                    <w:rPr>
                      <w:rFonts w:hint="eastAsia"/>
                      <w:color w:val="auto"/>
                      <w:sz w:val="18"/>
                      <w:szCs w:val="18"/>
                    </w:rPr>
                    <w:t>DY-025</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一次成型</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模压成型机</w:t>
                  </w:r>
                </w:p>
              </w:tc>
              <w:tc>
                <w:tcPr>
                  <w:tcW w:w="1276" w:type="dxa"/>
                  <w:vAlign w:val="center"/>
                </w:tcPr>
                <w:p>
                  <w:pPr>
                    <w:jc w:val="center"/>
                    <w:rPr>
                      <w:color w:val="auto"/>
                      <w:sz w:val="18"/>
                      <w:szCs w:val="18"/>
                    </w:rPr>
                  </w:pPr>
                  <w:r>
                    <w:rPr>
                      <w:color w:val="auto"/>
                      <w:sz w:val="18"/>
                      <w:szCs w:val="18"/>
                    </w:rPr>
                    <w:t>TYC-</w:t>
                  </w:r>
                  <w:r>
                    <w:rPr>
                      <w:rFonts w:hint="eastAsia"/>
                      <w:color w:val="auto"/>
                      <w:sz w:val="18"/>
                      <w:szCs w:val="18"/>
                    </w:rPr>
                    <w:t>10-3RT</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一次成型</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模压成型机</w:t>
                  </w:r>
                </w:p>
              </w:tc>
              <w:tc>
                <w:tcPr>
                  <w:tcW w:w="1276" w:type="dxa"/>
                  <w:vAlign w:val="center"/>
                </w:tcPr>
                <w:p>
                  <w:pPr>
                    <w:jc w:val="center"/>
                    <w:rPr>
                      <w:color w:val="auto"/>
                      <w:sz w:val="18"/>
                      <w:szCs w:val="18"/>
                    </w:rPr>
                  </w:pPr>
                  <w:r>
                    <w:rPr>
                      <w:rFonts w:hint="eastAsia"/>
                      <w:color w:val="auto"/>
                      <w:sz w:val="18"/>
                      <w:szCs w:val="18"/>
                    </w:rPr>
                    <w:t>P-V-250</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一次成型</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模压成型机</w:t>
                  </w:r>
                </w:p>
              </w:tc>
              <w:tc>
                <w:tcPr>
                  <w:tcW w:w="1276" w:type="dxa"/>
                  <w:vAlign w:val="center"/>
                </w:tcPr>
                <w:p>
                  <w:pPr>
                    <w:jc w:val="center"/>
                    <w:rPr>
                      <w:color w:val="auto"/>
                      <w:sz w:val="18"/>
                      <w:szCs w:val="18"/>
                    </w:rPr>
                  </w:pPr>
                  <w:r>
                    <w:rPr>
                      <w:rFonts w:hint="eastAsia"/>
                      <w:color w:val="auto"/>
                      <w:sz w:val="18"/>
                      <w:szCs w:val="18"/>
                    </w:rPr>
                    <w:t>P-V-350</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一次成型</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模压成型机</w:t>
                  </w:r>
                </w:p>
              </w:tc>
              <w:tc>
                <w:tcPr>
                  <w:tcW w:w="1276" w:type="dxa"/>
                  <w:vAlign w:val="center"/>
                </w:tcPr>
                <w:p>
                  <w:pPr>
                    <w:jc w:val="center"/>
                    <w:rPr>
                      <w:color w:val="auto"/>
                      <w:sz w:val="18"/>
                      <w:szCs w:val="18"/>
                    </w:rPr>
                  </w:pPr>
                  <w:r>
                    <w:rPr>
                      <w:rFonts w:hint="eastAsia"/>
                      <w:color w:val="auto"/>
                      <w:sz w:val="18"/>
                      <w:szCs w:val="18"/>
                    </w:rPr>
                    <w:t>INJ-250</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一次成型</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挤出成型机</w:t>
                  </w:r>
                </w:p>
              </w:tc>
              <w:tc>
                <w:tcPr>
                  <w:tcW w:w="1276" w:type="dxa"/>
                  <w:vAlign w:val="center"/>
                </w:tcPr>
                <w:p>
                  <w:pPr>
                    <w:jc w:val="center"/>
                    <w:rPr>
                      <w:color w:val="auto"/>
                      <w:sz w:val="18"/>
                      <w:szCs w:val="18"/>
                    </w:rPr>
                  </w:pPr>
                  <w:r>
                    <w:rPr>
                      <w:color w:val="auto"/>
                      <w:sz w:val="18"/>
                      <w:szCs w:val="18"/>
                    </w:rPr>
                    <w:t>ZL01224092</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一次成型</w:t>
                  </w:r>
                </w:p>
              </w:tc>
              <w:tc>
                <w:tcPr>
                  <w:tcW w:w="851" w:type="dxa"/>
                  <w:vAlign w:val="center"/>
                </w:tcPr>
                <w:p>
                  <w:pPr>
                    <w:jc w:val="center"/>
                    <w:rPr>
                      <w:color w:val="auto"/>
                      <w:sz w:val="18"/>
                      <w:szCs w:val="18"/>
                    </w:rPr>
                  </w:pPr>
                  <w:r>
                    <w:rPr>
                      <w:rFonts w:hint="eastAsia"/>
                      <w:color w:val="auto"/>
                      <w:sz w:val="18"/>
                      <w:szCs w:val="18"/>
                    </w:rPr>
                    <w:t>1</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0</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烘箱</w:t>
                  </w:r>
                </w:p>
              </w:tc>
              <w:tc>
                <w:tcPr>
                  <w:tcW w:w="1276" w:type="dxa"/>
                  <w:vAlign w:val="center"/>
                </w:tcPr>
                <w:p>
                  <w:pPr>
                    <w:jc w:val="center"/>
                    <w:rPr>
                      <w:color w:val="auto"/>
                      <w:sz w:val="18"/>
                      <w:szCs w:val="18"/>
                    </w:rPr>
                  </w:pPr>
                  <w:r>
                    <w:rPr>
                      <w:rFonts w:hint="eastAsia"/>
                      <w:color w:val="auto"/>
                      <w:sz w:val="18"/>
                      <w:szCs w:val="18"/>
                    </w:rPr>
                    <w:t>LU-2010</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二次成型</w:t>
                  </w:r>
                </w:p>
              </w:tc>
              <w:tc>
                <w:tcPr>
                  <w:tcW w:w="851" w:type="dxa"/>
                  <w:vAlign w:val="center"/>
                </w:tcPr>
                <w:p>
                  <w:pPr>
                    <w:jc w:val="center"/>
                    <w:rPr>
                      <w:color w:val="auto"/>
                      <w:sz w:val="18"/>
                      <w:szCs w:val="18"/>
                    </w:rPr>
                  </w:pPr>
                  <w:r>
                    <w:rPr>
                      <w:rFonts w:hint="eastAsia"/>
                      <w:color w:val="auto"/>
                      <w:sz w:val="18"/>
                      <w:szCs w:val="18"/>
                    </w:rPr>
                    <w:t>1</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0</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烘箱</w:t>
                  </w:r>
                </w:p>
              </w:tc>
              <w:tc>
                <w:tcPr>
                  <w:tcW w:w="1276" w:type="dxa"/>
                  <w:vAlign w:val="center"/>
                </w:tcPr>
                <w:p>
                  <w:pPr>
                    <w:jc w:val="center"/>
                    <w:rPr>
                      <w:color w:val="auto"/>
                      <w:sz w:val="18"/>
                      <w:szCs w:val="18"/>
                    </w:rPr>
                  </w:pPr>
                  <w:r>
                    <w:rPr>
                      <w:rFonts w:hint="eastAsia"/>
                      <w:color w:val="auto"/>
                      <w:sz w:val="18"/>
                      <w:szCs w:val="18"/>
                    </w:rPr>
                    <w:t>PH-2700</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二次成型</w:t>
                  </w:r>
                </w:p>
              </w:tc>
              <w:tc>
                <w:tcPr>
                  <w:tcW w:w="851" w:type="dxa"/>
                  <w:vAlign w:val="center"/>
                </w:tcPr>
                <w:p>
                  <w:pPr>
                    <w:jc w:val="center"/>
                    <w:rPr>
                      <w:color w:val="auto"/>
                      <w:sz w:val="18"/>
                      <w:szCs w:val="18"/>
                    </w:rPr>
                  </w:pPr>
                  <w:r>
                    <w:rPr>
                      <w:rFonts w:hint="eastAsia"/>
                      <w:color w:val="auto"/>
                      <w:sz w:val="18"/>
                      <w:szCs w:val="18"/>
                    </w:rPr>
                    <w:t>1</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0</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烘箱</w:t>
                  </w:r>
                </w:p>
              </w:tc>
              <w:tc>
                <w:tcPr>
                  <w:tcW w:w="1276" w:type="dxa"/>
                  <w:vAlign w:val="center"/>
                </w:tcPr>
                <w:p>
                  <w:pPr>
                    <w:jc w:val="center"/>
                    <w:rPr>
                      <w:color w:val="auto"/>
                      <w:sz w:val="18"/>
                      <w:szCs w:val="18"/>
                    </w:rPr>
                  </w:pPr>
                  <w:r>
                    <w:rPr>
                      <w:rFonts w:hint="eastAsia"/>
                      <w:color w:val="auto"/>
                      <w:sz w:val="18"/>
                      <w:szCs w:val="18"/>
                    </w:rPr>
                    <w:t>PH-1000</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二次成型</w:t>
                  </w:r>
                </w:p>
              </w:tc>
              <w:tc>
                <w:tcPr>
                  <w:tcW w:w="851" w:type="dxa"/>
                  <w:vAlign w:val="center"/>
                </w:tcPr>
                <w:p>
                  <w:pPr>
                    <w:jc w:val="center"/>
                    <w:rPr>
                      <w:color w:val="auto"/>
                      <w:sz w:val="18"/>
                      <w:szCs w:val="18"/>
                    </w:rPr>
                  </w:pPr>
                  <w:r>
                    <w:rPr>
                      <w:rFonts w:hint="eastAsia"/>
                      <w:color w:val="auto"/>
                      <w:sz w:val="18"/>
                      <w:szCs w:val="18"/>
                    </w:rPr>
                    <w:t>1</w:t>
                  </w:r>
                </w:p>
              </w:tc>
              <w:tc>
                <w:tcPr>
                  <w:tcW w:w="992" w:type="dxa"/>
                  <w:vAlign w:val="center"/>
                </w:tcPr>
                <w:p>
                  <w:pPr>
                    <w:jc w:val="center"/>
                    <w:rPr>
                      <w:color w:val="auto"/>
                      <w:sz w:val="18"/>
                      <w:szCs w:val="18"/>
                    </w:rPr>
                  </w:pPr>
                  <w:r>
                    <w:rPr>
                      <w:rFonts w:hint="eastAsia"/>
                      <w:color w:val="auto"/>
                      <w:sz w:val="18"/>
                      <w:szCs w:val="18"/>
                    </w:rPr>
                    <w:t>2</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烘箱</w:t>
                  </w:r>
                </w:p>
              </w:tc>
              <w:tc>
                <w:tcPr>
                  <w:tcW w:w="1276" w:type="dxa"/>
                  <w:vAlign w:val="center"/>
                </w:tcPr>
                <w:p>
                  <w:pPr>
                    <w:jc w:val="center"/>
                    <w:rPr>
                      <w:color w:val="auto"/>
                      <w:sz w:val="18"/>
                      <w:szCs w:val="18"/>
                    </w:rPr>
                  </w:pPr>
                  <w:r>
                    <w:rPr>
                      <w:rFonts w:hint="eastAsia"/>
                      <w:color w:val="auto"/>
                      <w:sz w:val="18"/>
                      <w:szCs w:val="18"/>
                    </w:rPr>
                    <w:t>PH-250</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二次成型</w:t>
                  </w:r>
                </w:p>
              </w:tc>
              <w:tc>
                <w:tcPr>
                  <w:tcW w:w="851" w:type="dxa"/>
                  <w:vAlign w:val="center"/>
                </w:tcPr>
                <w:p>
                  <w:pPr>
                    <w:jc w:val="center"/>
                    <w:rPr>
                      <w:color w:val="auto"/>
                      <w:sz w:val="18"/>
                      <w:szCs w:val="18"/>
                    </w:rPr>
                  </w:pPr>
                  <w:r>
                    <w:rPr>
                      <w:rFonts w:hint="eastAsia"/>
                      <w:color w:val="auto"/>
                      <w:sz w:val="18"/>
                      <w:szCs w:val="18"/>
                    </w:rPr>
                    <w:t>1</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0</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rFonts w:hint="eastAsia"/>
                      <w:color w:val="auto"/>
                      <w:sz w:val="18"/>
                      <w:szCs w:val="18"/>
                    </w:rPr>
                    <w:t>离心修边机</w:t>
                  </w:r>
                </w:p>
              </w:tc>
              <w:tc>
                <w:tcPr>
                  <w:tcW w:w="1276" w:type="dxa"/>
                  <w:vAlign w:val="center"/>
                </w:tcPr>
                <w:p>
                  <w:pPr>
                    <w:jc w:val="center"/>
                    <w:rPr>
                      <w:color w:val="auto"/>
                      <w:sz w:val="18"/>
                      <w:szCs w:val="18"/>
                    </w:rPr>
                  </w:pPr>
                  <w:r>
                    <w:rPr>
                      <w:color w:val="auto"/>
                      <w:sz w:val="18"/>
                      <w:szCs w:val="18"/>
                    </w:rPr>
                    <w:t>/</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修边</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rFonts w:hint="eastAsia"/>
                      <w:color w:val="auto"/>
                      <w:sz w:val="18"/>
                      <w:szCs w:val="18"/>
                    </w:rPr>
                    <w:t>切条机</w:t>
                  </w:r>
                </w:p>
              </w:tc>
              <w:tc>
                <w:tcPr>
                  <w:tcW w:w="1276" w:type="dxa"/>
                  <w:vAlign w:val="center"/>
                </w:tcPr>
                <w:p>
                  <w:pPr>
                    <w:jc w:val="center"/>
                    <w:rPr>
                      <w:color w:val="auto"/>
                      <w:sz w:val="18"/>
                      <w:szCs w:val="18"/>
                    </w:rPr>
                  </w:pPr>
                  <w:r>
                    <w:rPr>
                      <w:color w:val="auto"/>
                      <w:sz w:val="18"/>
                      <w:szCs w:val="18"/>
                    </w:rPr>
                    <w:t>/</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一次成型</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rFonts w:hint="eastAsia"/>
                      <w:color w:val="auto"/>
                      <w:sz w:val="18"/>
                      <w:szCs w:val="18"/>
                    </w:rPr>
                    <w:t>切胶机</w:t>
                  </w:r>
                </w:p>
              </w:tc>
              <w:tc>
                <w:tcPr>
                  <w:tcW w:w="1276" w:type="dxa"/>
                  <w:vAlign w:val="center"/>
                </w:tcPr>
                <w:p>
                  <w:pPr>
                    <w:jc w:val="center"/>
                    <w:rPr>
                      <w:color w:val="auto"/>
                      <w:sz w:val="18"/>
                      <w:szCs w:val="18"/>
                    </w:rPr>
                  </w:pPr>
                  <w:r>
                    <w:rPr>
                      <w:color w:val="auto"/>
                      <w:sz w:val="18"/>
                      <w:szCs w:val="18"/>
                    </w:rPr>
                    <w:t>/</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一次成型</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rFonts w:hint="eastAsia"/>
                      <w:color w:val="auto"/>
                      <w:sz w:val="18"/>
                      <w:szCs w:val="18"/>
                    </w:rPr>
                    <w:t>冷却塔</w:t>
                  </w:r>
                </w:p>
              </w:tc>
              <w:tc>
                <w:tcPr>
                  <w:tcW w:w="1276" w:type="dxa"/>
                  <w:vAlign w:val="center"/>
                </w:tcPr>
                <w:p>
                  <w:pPr>
                    <w:jc w:val="center"/>
                    <w:rPr>
                      <w:color w:val="auto"/>
                      <w:sz w:val="18"/>
                      <w:szCs w:val="18"/>
                      <w:highlight w:val="yellow"/>
                    </w:rPr>
                  </w:pPr>
                  <w:r>
                    <w:rPr>
                      <w:rFonts w:hint="eastAsia"/>
                      <w:color w:val="auto"/>
                      <w:sz w:val="18"/>
                      <w:szCs w:val="18"/>
                    </w:rPr>
                    <w:t>LBCM-30T，30m</w:t>
                  </w:r>
                  <w:r>
                    <w:rPr>
                      <w:rFonts w:hint="eastAsia"/>
                      <w:color w:val="auto"/>
                      <w:sz w:val="18"/>
                      <w:szCs w:val="18"/>
                      <w:vertAlign w:val="superscript"/>
                    </w:rPr>
                    <w:t>3</w:t>
                  </w:r>
                  <w:r>
                    <w:rPr>
                      <w:rFonts w:hint="eastAsia"/>
                      <w:color w:val="auto"/>
                      <w:sz w:val="18"/>
                      <w:szCs w:val="18"/>
                    </w:rPr>
                    <w:t>/H</w:t>
                  </w:r>
                </w:p>
              </w:tc>
              <w:tc>
                <w:tcPr>
                  <w:tcW w:w="1134" w:type="dxa"/>
                  <w:vAlign w:val="center"/>
                </w:tcPr>
                <w:p>
                  <w:pPr>
                    <w:jc w:val="center"/>
                    <w:rPr>
                      <w:color w:val="auto"/>
                      <w:sz w:val="18"/>
                      <w:szCs w:val="18"/>
                      <w:highlight w:val="yellow"/>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开炼</w:t>
                  </w:r>
                </w:p>
              </w:tc>
              <w:tc>
                <w:tcPr>
                  <w:tcW w:w="851" w:type="dxa"/>
                  <w:vAlign w:val="center"/>
                </w:tcPr>
                <w:p>
                  <w:pPr>
                    <w:jc w:val="center"/>
                    <w:rPr>
                      <w:color w:val="auto"/>
                      <w:sz w:val="18"/>
                      <w:szCs w:val="18"/>
                    </w:rPr>
                  </w:pPr>
                  <w:r>
                    <w:rPr>
                      <w:rFonts w:hint="eastAsia"/>
                      <w:color w:val="auto"/>
                      <w:sz w:val="18"/>
                      <w:szCs w:val="18"/>
                    </w:rPr>
                    <w:t>1</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0</w:t>
                  </w:r>
                </w:p>
              </w:tc>
              <w:tc>
                <w:tcPr>
                  <w:tcW w:w="578" w:type="dxa"/>
                  <w:vAlign w:val="center"/>
                </w:tcPr>
                <w:p>
                  <w:pPr>
                    <w:jc w:val="center"/>
                    <w:rPr>
                      <w:color w:val="auto"/>
                      <w:sz w:val="18"/>
                      <w:szCs w:val="18"/>
                    </w:rPr>
                  </w:pPr>
                  <w:r>
                    <w:rPr>
                      <w:rFonts w:hint="eastAsia"/>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color w:val="auto"/>
                      <w:sz w:val="18"/>
                      <w:szCs w:val="18"/>
                    </w:rPr>
                    <w:t>空压机</w:t>
                  </w:r>
                </w:p>
              </w:tc>
              <w:tc>
                <w:tcPr>
                  <w:tcW w:w="1276" w:type="dxa"/>
                  <w:vAlign w:val="center"/>
                </w:tcPr>
                <w:p>
                  <w:pPr>
                    <w:jc w:val="center"/>
                    <w:rPr>
                      <w:color w:val="auto"/>
                      <w:sz w:val="18"/>
                      <w:szCs w:val="18"/>
                      <w:highlight w:val="yellow"/>
                    </w:rPr>
                  </w:pPr>
                  <w:r>
                    <w:rPr>
                      <w:rStyle w:val="45"/>
                      <w:rFonts w:hint="eastAsia"/>
                      <w:color w:val="auto"/>
                      <w:kern w:val="0"/>
                      <w:sz w:val="18"/>
                      <w:szCs w:val="18"/>
                    </w:rPr>
                    <w:t>LGFD-3.4/0.8</w:t>
                  </w:r>
                </w:p>
              </w:tc>
              <w:tc>
                <w:tcPr>
                  <w:tcW w:w="1134" w:type="dxa"/>
                  <w:vAlign w:val="center"/>
                </w:tcPr>
                <w:p>
                  <w:pPr>
                    <w:jc w:val="center"/>
                    <w:rPr>
                      <w:color w:val="auto"/>
                      <w:sz w:val="18"/>
                      <w:szCs w:val="18"/>
                      <w:highlight w:val="yellow"/>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公辅设备</w:t>
                  </w:r>
                </w:p>
              </w:tc>
              <w:tc>
                <w:tcPr>
                  <w:tcW w:w="851" w:type="dxa"/>
                  <w:vAlign w:val="center"/>
                </w:tcPr>
                <w:p>
                  <w:pPr>
                    <w:jc w:val="center"/>
                    <w:rPr>
                      <w:color w:val="auto"/>
                      <w:sz w:val="18"/>
                      <w:szCs w:val="18"/>
                    </w:rPr>
                  </w:pPr>
                  <w:r>
                    <w:rPr>
                      <w:rFonts w:hint="eastAsia"/>
                      <w:color w:val="auto"/>
                      <w:sz w:val="18"/>
                      <w:szCs w:val="18"/>
                    </w:rPr>
                    <w:t>2</w:t>
                  </w:r>
                </w:p>
              </w:tc>
              <w:tc>
                <w:tcPr>
                  <w:tcW w:w="992" w:type="dxa"/>
                  <w:vAlign w:val="center"/>
                </w:tcPr>
                <w:p>
                  <w:pPr>
                    <w:jc w:val="center"/>
                    <w:rPr>
                      <w:color w:val="auto"/>
                      <w:sz w:val="18"/>
                      <w:szCs w:val="18"/>
                    </w:rPr>
                  </w:pPr>
                  <w:r>
                    <w:rPr>
                      <w:rFonts w:hint="eastAsia"/>
                      <w:color w:val="auto"/>
                      <w:sz w:val="18"/>
                      <w:szCs w:val="18"/>
                    </w:rPr>
                    <w:t>2</w:t>
                  </w:r>
                </w:p>
              </w:tc>
              <w:tc>
                <w:tcPr>
                  <w:tcW w:w="861" w:type="dxa"/>
                  <w:vAlign w:val="center"/>
                </w:tcPr>
                <w:p>
                  <w:pPr>
                    <w:jc w:val="center"/>
                    <w:rPr>
                      <w:color w:val="auto"/>
                      <w:sz w:val="18"/>
                      <w:szCs w:val="18"/>
                    </w:rPr>
                  </w:pPr>
                  <w:r>
                    <w:rPr>
                      <w:rFonts w:hint="eastAsia"/>
                      <w:color w:val="auto"/>
                      <w:sz w:val="18"/>
                      <w:szCs w:val="18"/>
                    </w:rPr>
                    <w:t>0</w:t>
                  </w:r>
                </w:p>
              </w:tc>
              <w:tc>
                <w:tcPr>
                  <w:tcW w:w="578" w:type="dxa"/>
                  <w:vAlign w:val="center"/>
                </w:tcPr>
                <w:p>
                  <w:pPr>
                    <w:jc w:val="center"/>
                    <w:rPr>
                      <w:color w:val="auto"/>
                      <w:sz w:val="18"/>
                      <w:szCs w:val="18"/>
                    </w:rPr>
                  </w:pPr>
                  <w:r>
                    <w:rPr>
                      <w:rFonts w:hint="eastAsia"/>
                      <w:color w:val="auto"/>
                      <w:sz w:val="18"/>
                      <w:szCs w:val="18"/>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PrEx>
              <w:trPr>
                <w:cantSplit/>
              </w:trPr>
              <w:tc>
                <w:tcPr>
                  <w:tcW w:w="993" w:type="dxa"/>
                  <w:vMerge w:val="restart"/>
                  <w:vAlign w:val="center"/>
                </w:tcPr>
                <w:p>
                  <w:pPr>
                    <w:jc w:val="center"/>
                    <w:rPr>
                      <w:color w:val="auto"/>
                      <w:sz w:val="18"/>
                      <w:szCs w:val="18"/>
                    </w:rPr>
                  </w:pPr>
                  <w:r>
                    <w:rPr>
                      <w:color w:val="auto"/>
                      <w:sz w:val="18"/>
                      <w:szCs w:val="18"/>
                    </w:rPr>
                    <w:t>塑料件生产线</w:t>
                  </w:r>
                </w:p>
              </w:tc>
              <w:tc>
                <w:tcPr>
                  <w:tcW w:w="1417" w:type="dxa"/>
                  <w:vAlign w:val="center"/>
                </w:tcPr>
                <w:p>
                  <w:pPr>
                    <w:jc w:val="center"/>
                    <w:rPr>
                      <w:color w:val="auto"/>
                      <w:sz w:val="18"/>
                      <w:szCs w:val="18"/>
                    </w:rPr>
                  </w:pPr>
                  <w:r>
                    <w:rPr>
                      <w:color w:val="auto"/>
                      <w:sz w:val="18"/>
                      <w:szCs w:val="18"/>
                    </w:rPr>
                    <w:t>注塑机</w:t>
                  </w:r>
                </w:p>
              </w:tc>
              <w:tc>
                <w:tcPr>
                  <w:tcW w:w="1276" w:type="dxa"/>
                  <w:vAlign w:val="center"/>
                </w:tcPr>
                <w:p>
                  <w:pPr>
                    <w:jc w:val="center"/>
                    <w:rPr>
                      <w:color w:val="auto"/>
                      <w:sz w:val="18"/>
                      <w:szCs w:val="18"/>
                    </w:rPr>
                  </w:pPr>
                  <w:r>
                    <w:rPr>
                      <w:rFonts w:hint="eastAsia"/>
                      <w:color w:val="auto"/>
                      <w:sz w:val="18"/>
                      <w:szCs w:val="18"/>
                    </w:rPr>
                    <w:t xml:space="preserve">HAITAN MA1200 </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注塑</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2</w:t>
                  </w:r>
                </w:p>
              </w:tc>
              <w:tc>
                <w:tcPr>
                  <w:tcW w:w="861" w:type="dxa"/>
                  <w:vAlign w:val="center"/>
                </w:tcPr>
                <w:p>
                  <w:pPr>
                    <w:jc w:val="center"/>
                    <w:rPr>
                      <w:color w:val="auto"/>
                      <w:sz w:val="18"/>
                      <w:szCs w:val="18"/>
                    </w:rPr>
                  </w:pPr>
                  <w:r>
                    <w:rPr>
                      <w:rFonts w:hint="eastAsia"/>
                      <w:color w:val="auto"/>
                      <w:sz w:val="18"/>
                      <w:szCs w:val="18"/>
                    </w:rPr>
                    <w:t>+2</w:t>
                  </w:r>
                </w:p>
              </w:tc>
              <w:tc>
                <w:tcPr>
                  <w:tcW w:w="578" w:type="dxa"/>
                  <w:vAlign w:val="center"/>
                </w:tcPr>
                <w:p>
                  <w:pPr>
                    <w:jc w:val="center"/>
                    <w:rPr>
                      <w:color w:val="auto"/>
                      <w:sz w:val="18"/>
                      <w:szCs w:val="18"/>
                    </w:rPr>
                  </w:pPr>
                  <w:r>
                    <w:rPr>
                      <w:rFonts w:hint="eastAsia"/>
                      <w:color w:val="auto"/>
                      <w:sz w:val="18"/>
                      <w:szCs w:val="18"/>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2" w:space="0"/>
                </w:tblBorders>
                <w:tblCellMar>
                  <w:top w:w="0" w:type="dxa"/>
                  <w:left w:w="108" w:type="dxa"/>
                  <w:bottom w:w="0" w:type="dxa"/>
                  <w:right w:w="108" w:type="dxa"/>
                </w:tblCellMar>
              </w:tblPrEx>
              <w:trPr>
                <w:cantSplit/>
              </w:trPr>
              <w:tc>
                <w:tcPr>
                  <w:tcW w:w="993" w:type="dxa"/>
                  <w:vMerge w:val="continue"/>
                  <w:vAlign w:val="center"/>
                </w:tcPr>
                <w:p>
                  <w:pPr>
                    <w:jc w:val="center"/>
                    <w:rPr>
                      <w:color w:val="auto"/>
                      <w:sz w:val="18"/>
                      <w:szCs w:val="18"/>
                    </w:rPr>
                  </w:pPr>
                </w:p>
              </w:tc>
              <w:tc>
                <w:tcPr>
                  <w:tcW w:w="1417" w:type="dxa"/>
                  <w:vAlign w:val="center"/>
                </w:tcPr>
                <w:p>
                  <w:pPr>
                    <w:jc w:val="center"/>
                    <w:rPr>
                      <w:color w:val="auto"/>
                      <w:sz w:val="18"/>
                      <w:szCs w:val="18"/>
                    </w:rPr>
                  </w:pPr>
                  <w:r>
                    <w:rPr>
                      <w:rFonts w:hint="eastAsia"/>
                      <w:color w:val="auto"/>
                      <w:sz w:val="18"/>
                      <w:szCs w:val="18"/>
                    </w:rPr>
                    <w:t>烘干机</w:t>
                  </w:r>
                </w:p>
              </w:tc>
              <w:tc>
                <w:tcPr>
                  <w:tcW w:w="1276" w:type="dxa"/>
                  <w:vAlign w:val="center"/>
                </w:tcPr>
                <w:p>
                  <w:pPr>
                    <w:jc w:val="center"/>
                    <w:rPr>
                      <w:color w:val="auto"/>
                      <w:sz w:val="18"/>
                      <w:szCs w:val="18"/>
                    </w:rPr>
                  </w:pPr>
                  <w:r>
                    <w:rPr>
                      <w:rFonts w:hint="eastAsia"/>
                      <w:color w:val="auto"/>
                      <w:sz w:val="18"/>
                      <w:szCs w:val="18"/>
                    </w:rPr>
                    <w:t>/</w:t>
                  </w:r>
                </w:p>
              </w:tc>
              <w:tc>
                <w:tcPr>
                  <w:tcW w:w="1134" w:type="dxa"/>
                  <w:vAlign w:val="center"/>
                </w:tcPr>
                <w:p>
                  <w:pPr>
                    <w:jc w:val="center"/>
                    <w:rPr>
                      <w:color w:val="auto"/>
                      <w:sz w:val="18"/>
                      <w:szCs w:val="18"/>
                    </w:rPr>
                  </w:pPr>
                  <w:r>
                    <w:rPr>
                      <w:rFonts w:hint="eastAsia"/>
                      <w:color w:val="auto"/>
                      <w:sz w:val="18"/>
                      <w:szCs w:val="18"/>
                    </w:rPr>
                    <w:t>一楼</w:t>
                  </w:r>
                </w:p>
              </w:tc>
              <w:tc>
                <w:tcPr>
                  <w:tcW w:w="992" w:type="dxa"/>
                  <w:vAlign w:val="center"/>
                </w:tcPr>
                <w:p>
                  <w:pPr>
                    <w:jc w:val="center"/>
                    <w:rPr>
                      <w:color w:val="auto"/>
                      <w:sz w:val="18"/>
                      <w:szCs w:val="18"/>
                    </w:rPr>
                  </w:pPr>
                  <w:r>
                    <w:rPr>
                      <w:rFonts w:hint="eastAsia"/>
                      <w:color w:val="auto"/>
                      <w:sz w:val="18"/>
                      <w:szCs w:val="18"/>
                    </w:rPr>
                    <w:t>烘干</w:t>
                  </w:r>
                </w:p>
              </w:tc>
              <w:tc>
                <w:tcPr>
                  <w:tcW w:w="851" w:type="dxa"/>
                  <w:vAlign w:val="center"/>
                </w:tcPr>
                <w:p>
                  <w:pPr>
                    <w:jc w:val="center"/>
                    <w:rPr>
                      <w:color w:val="auto"/>
                      <w:sz w:val="18"/>
                      <w:szCs w:val="18"/>
                    </w:rPr>
                  </w:pPr>
                  <w:r>
                    <w:rPr>
                      <w:rFonts w:hint="eastAsia"/>
                      <w:color w:val="auto"/>
                      <w:sz w:val="18"/>
                      <w:szCs w:val="18"/>
                    </w:rPr>
                    <w:t>0</w:t>
                  </w:r>
                </w:p>
              </w:tc>
              <w:tc>
                <w:tcPr>
                  <w:tcW w:w="992" w:type="dxa"/>
                  <w:vAlign w:val="center"/>
                </w:tcPr>
                <w:p>
                  <w:pPr>
                    <w:jc w:val="center"/>
                    <w:rPr>
                      <w:color w:val="auto"/>
                      <w:sz w:val="18"/>
                      <w:szCs w:val="18"/>
                    </w:rPr>
                  </w:pPr>
                  <w:r>
                    <w:rPr>
                      <w:rFonts w:hint="eastAsia"/>
                      <w:color w:val="auto"/>
                      <w:sz w:val="18"/>
                      <w:szCs w:val="18"/>
                    </w:rPr>
                    <w:t>1</w:t>
                  </w:r>
                </w:p>
              </w:tc>
              <w:tc>
                <w:tcPr>
                  <w:tcW w:w="861" w:type="dxa"/>
                  <w:vAlign w:val="center"/>
                </w:tcPr>
                <w:p>
                  <w:pPr>
                    <w:jc w:val="center"/>
                    <w:rPr>
                      <w:color w:val="auto"/>
                      <w:sz w:val="18"/>
                      <w:szCs w:val="18"/>
                    </w:rPr>
                  </w:pPr>
                  <w:r>
                    <w:rPr>
                      <w:rFonts w:hint="eastAsia"/>
                      <w:color w:val="auto"/>
                      <w:sz w:val="18"/>
                      <w:szCs w:val="18"/>
                    </w:rPr>
                    <w:t>+1</w:t>
                  </w:r>
                </w:p>
              </w:tc>
              <w:tc>
                <w:tcPr>
                  <w:tcW w:w="578" w:type="dxa"/>
                  <w:vAlign w:val="center"/>
                </w:tcPr>
                <w:p>
                  <w:pPr>
                    <w:jc w:val="center"/>
                    <w:rPr>
                      <w:color w:val="auto"/>
                      <w:sz w:val="18"/>
                      <w:szCs w:val="18"/>
                    </w:rPr>
                  </w:pPr>
                  <w:r>
                    <w:rPr>
                      <w:rFonts w:hint="eastAsia"/>
                      <w:color w:val="auto"/>
                      <w:sz w:val="18"/>
                      <w:szCs w:val="18"/>
                    </w:rPr>
                    <w:t>1</w:t>
                  </w:r>
                </w:p>
              </w:tc>
            </w:tr>
          </w:tbl>
          <w:p>
            <w:pPr>
              <w:jc w:val="left"/>
              <w:rPr>
                <w:b/>
                <w:bCs/>
                <w:color w:val="auto"/>
                <w:sz w:val="18"/>
                <w:szCs w:val="18"/>
              </w:rPr>
            </w:pPr>
            <w:r>
              <w:rPr>
                <w:rFonts w:hint="eastAsia"/>
                <w:b/>
                <w:bCs/>
                <w:color w:val="auto"/>
                <w:sz w:val="18"/>
                <w:szCs w:val="18"/>
              </w:rPr>
              <w:t>因橡胶件部分产品规格有所调整，故而新增部分模压成型机。</w:t>
            </w:r>
          </w:p>
          <w:p>
            <w:pPr>
              <w:ind w:firstLine="361" w:firstLineChars="200"/>
              <w:jc w:val="left"/>
              <w:rPr>
                <w:b/>
                <w:bCs/>
                <w:color w:val="auto"/>
                <w:sz w:val="18"/>
                <w:szCs w:val="18"/>
              </w:rPr>
            </w:pPr>
          </w:p>
          <w:p>
            <w:pPr>
              <w:adjustRightInd w:val="0"/>
              <w:snapToGrid w:val="0"/>
              <w:spacing w:line="360" w:lineRule="auto"/>
              <w:ind w:firstLine="422" w:firstLineChars="200"/>
              <w:jc w:val="left"/>
              <w:rPr>
                <w:b/>
                <w:color w:val="auto"/>
                <w:szCs w:val="21"/>
              </w:rPr>
            </w:pPr>
            <w:r>
              <w:rPr>
                <w:b/>
                <w:color w:val="auto"/>
                <w:szCs w:val="21"/>
              </w:rPr>
              <w:t>4、项目原辅材料消耗、理化性质</w:t>
            </w:r>
          </w:p>
          <w:p>
            <w:pPr>
              <w:spacing w:line="360" w:lineRule="auto"/>
              <w:ind w:firstLine="420" w:firstLineChars="200"/>
              <w:jc w:val="left"/>
              <w:rPr>
                <w:color w:val="auto"/>
                <w:szCs w:val="21"/>
              </w:rPr>
            </w:pPr>
            <w:r>
              <w:rPr>
                <w:color w:val="auto"/>
                <w:szCs w:val="21"/>
              </w:rPr>
              <w:t>（1）原辅材料消耗表</w:t>
            </w:r>
          </w:p>
          <w:p>
            <w:pPr>
              <w:adjustRightInd w:val="0"/>
              <w:snapToGrid w:val="0"/>
              <w:spacing w:line="360" w:lineRule="auto"/>
              <w:ind w:firstLine="420" w:firstLineChars="200"/>
              <w:jc w:val="left"/>
              <w:rPr>
                <w:color w:val="auto"/>
              </w:rPr>
            </w:pPr>
            <w:r>
              <w:rPr>
                <w:rFonts w:hint="eastAsia"/>
                <w:bCs/>
                <w:color w:val="auto"/>
                <w:szCs w:val="21"/>
              </w:rPr>
              <w:t>企业原辅料见下表。</w:t>
            </w:r>
          </w:p>
          <w:p>
            <w:pPr>
              <w:jc w:val="center"/>
              <w:rPr>
                <w:b/>
                <w:bCs/>
                <w:color w:val="auto"/>
                <w:szCs w:val="21"/>
              </w:rPr>
            </w:pPr>
            <w:r>
              <w:rPr>
                <w:b/>
                <w:bCs/>
                <w:color w:val="auto"/>
                <w:szCs w:val="21"/>
              </w:rPr>
              <w:t>表2-4  项目原辅材料消耗表</w:t>
            </w:r>
          </w:p>
          <w:tbl>
            <w:tblPr>
              <w:tblStyle w:val="37"/>
              <w:tblpPr w:leftFromText="180" w:rightFromText="180" w:vertAnchor="text" w:tblpXSpec="center" w:tblpY="1"/>
              <w:tblOverlap w:val="never"/>
              <w:tblW w:w="4996"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095"/>
              <w:gridCol w:w="2468"/>
              <w:gridCol w:w="821"/>
              <w:gridCol w:w="677"/>
              <w:gridCol w:w="679"/>
              <w:gridCol w:w="796"/>
              <w:gridCol w:w="651"/>
              <w:gridCol w:w="724"/>
              <w:gridCol w:w="89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68" w:type="pct"/>
                  <w:vMerge w:val="restart"/>
                  <w:vAlign w:val="center"/>
                </w:tcPr>
                <w:p>
                  <w:pPr>
                    <w:jc w:val="center"/>
                    <w:rPr>
                      <w:b/>
                      <w:color w:val="auto"/>
                      <w:sz w:val="18"/>
                      <w:szCs w:val="18"/>
                    </w:rPr>
                  </w:pPr>
                  <w:r>
                    <w:rPr>
                      <w:b/>
                      <w:color w:val="auto"/>
                      <w:sz w:val="18"/>
                      <w:szCs w:val="18"/>
                    </w:rPr>
                    <w:t>序号</w:t>
                  </w:r>
                </w:p>
              </w:tc>
              <w:tc>
                <w:tcPr>
                  <w:tcW w:w="588" w:type="pct"/>
                  <w:vMerge w:val="restart"/>
                  <w:vAlign w:val="center"/>
                </w:tcPr>
                <w:p>
                  <w:pPr>
                    <w:jc w:val="center"/>
                    <w:rPr>
                      <w:b/>
                      <w:color w:val="auto"/>
                      <w:sz w:val="18"/>
                      <w:szCs w:val="18"/>
                    </w:rPr>
                  </w:pPr>
                  <w:r>
                    <w:rPr>
                      <w:b/>
                      <w:color w:val="auto"/>
                      <w:sz w:val="18"/>
                      <w:szCs w:val="18"/>
                    </w:rPr>
                    <w:t>物料名称</w:t>
                  </w:r>
                </w:p>
              </w:tc>
              <w:tc>
                <w:tcPr>
                  <w:tcW w:w="1326" w:type="pct"/>
                  <w:vMerge w:val="restart"/>
                  <w:vAlign w:val="center"/>
                </w:tcPr>
                <w:p>
                  <w:pPr>
                    <w:jc w:val="center"/>
                    <w:rPr>
                      <w:b/>
                      <w:color w:val="auto"/>
                      <w:sz w:val="18"/>
                      <w:szCs w:val="18"/>
                    </w:rPr>
                  </w:pPr>
                  <w:r>
                    <w:rPr>
                      <w:b/>
                      <w:color w:val="auto"/>
                      <w:sz w:val="18"/>
                      <w:szCs w:val="18"/>
                    </w:rPr>
                    <w:t>规格/成分</w:t>
                  </w:r>
                </w:p>
              </w:tc>
              <w:tc>
                <w:tcPr>
                  <w:tcW w:w="1170" w:type="pct"/>
                  <w:gridSpan w:val="3"/>
                  <w:vAlign w:val="center"/>
                </w:tcPr>
                <w:p>
                  <w:pPr>
                    <w:jc w:val="center"/>
                    <w:rPr>
                      <w:b/>
                      <w:color w:val="auto"/>
                      <w:sz w:val="18"/>
                      <w:szCs w:val="18"/>
                    </w:rPr>
                  </w:pPr>
                  <w:r>
                    <w:rPr>
                      <w:b/>
                      <w:color w:val="auto"/>
                      <w:sz w:val="18"/>
                      <w:szCs w:val="18"/>
                    </w:rPr>
                    <w:t>年耗量</w:t>
                  </w:r>
                  <w:r>
                    <w:rPr>
                      <w:rFonts w:hint="eastAsia"/>
                      <w:b/>
                      <w:color w:val="auto"/>
                      <w:sz w:val="18"/>
                      <w:szCs w:val="18"/>
                    </w:rPr>
                    <w:t>（t</w:t>
                  </w:r>
                  <w:r>
                    <w:rPr>
                      <w:b/>
                      <w:color w:val="auto"/>
                      <w:sz w:val="18"/>
                      <w:szCs w:val="18"/>
                    </w:rPr>
                    <w:t>/a</w:t>
                  </w:r>
                  <w:r>
                    <w:rPr>
                      <w:rFonts w:hint="eastAsia"/>
                      <w:b/>
                      <w:color w:val="auto"/>
                      <w:sz w:val="18"/>
                      <w:szCs w:val="18"/>
                    </w:rPr>
                    <w:t>）</w:t>
                  </w:r>
                </w:p>
              </w:tc>
              <w:tc>
                <w:tcPr>
                  <w:tcW w:w="427" w:type="pct"/>
                  <w:vMerge w:val="restart"/>
                  <w:vAlign w:val="center"/>
                </w:tcPr>
                <w:p>
                  <w:pPr>
                    <w:jc w:val="center"/>
                    <w:rPr>
                      <w:b/>
                      <w:color w:val="auto"/>
                      <w:sz w:val="18"/>
                      <w:szCs w:val="18"/>
                    </w:rPr>
                  </w:pPr>
                  <w:r>
                    <w:rPr>
                      <w:rFonts w:hint="eastAsia"/>
                      <w:b/>
                      <w:color w:val="auto"/>
                      <w:sz w:val="18"/>
                      <w:szCs w:val="18"/>
                    </w:rPr>
                    <w:t>所用工序</w:t>
                  </w:r>
                </w:p>
              </w:tc>
              <w:tc>
                <w:tcPr>
                  <w:tcW w:w="349" w:type="pct"/>
                  <w:vMerge w:val="restart"/>
                  <w:vAlign w:val="center"/>
                </w:tcPr>
                <w:p>
                  <w:pPr>
                    <w:jc w:val="center"/>
                    <w:rPr>
                      <w:b/>
                      <w:color w:val="auto"/>
                      <w:sz w:val="18"/>
                      <w:szCs w:val="18"/>
                    </w:rPr>
                  </w:pPr>
                  <w:r>
                    <w:rPr>
                      <w:b/>
                      <w:color w:val="auto"/>
                      <w:sz w:val="18"/>
                      <w:szCs w:val="18"/>
                    </w:rPr>
                    <w:t>状态</w:t>
                  </w:r>
                </w:p>
              </w:tc>
              <w:tc>
                <w:tcPr>
                  <w:tcW w:w="389" w:type="pct"/>
                  <w:vMerge w:val="restart"/>
                  <w:vAlign w:val="center"/>
                </w:tcPr>
                <w:p>
                  <w:pPr>
                    <w:jc w:val="center"/>
                    <w:rPr>
                      <w:b/>
                      <w:color w:val="auto"/>
                      <w:sz w:val="18"/>
                      <w:szCs w:val="18"/>
                    </w:rPr>
                  </w:pPr>
                  <w:r>
                    <w:rPr>
                      <w:b/>
                      <w:color w:val="auto"/>
                      <w:sz w:val="18"/>
                      <w:szCs w:val="18"/>
                    </w:rPr>
                    <w:t>储存</w:t>
                  </w:r>
                </w:p>
                <w:p>
                  <w:pPr>
                    <w:jc w:val="center"/>
                    <w:rPr>
                      <w:b/>
                      <w:color w:val="auto"/>
                      <w:sz w:val="18"/>
                      <w:szCs w:val="18"/>
                    </w:rPr>
                  </w:pPr>
                  <w:r>
                    <w:rPr>
                      <w:b/>
                      <w:color w:val="auto"/>
                      <w:sz w:val="18"/>
                      <w:szCs w:val="18"/>
                    </w:rPr>
                    <w:t>位置</w:t>
                  </w:r>
                </w:p>
              </w:tc>
              <w:tc>
                <w:tcPr>
                  <w:tcW w:w="479" w:type="pct"/>
                  <w:vMerge w:val="restart"/>
                  <w:vAlign w:val="center"/>
                </w:tcPr>
                <w:p>
                  <w:pPr>
                    <w:jc w:val="center"/>
                    <w:rPr>
                      <w:b/>
                      <w:color w:val="auto"/>
                      <w:sz w:val="18"/>
                      <w:szCs w:val="18"/>
                    </w:rPr>
                  </w:pPr>
                  <w:r>
                    <w:rPr>
                      <w:b/>
                      <w:color w:val="auto"/>
                      <w:sz w:val="18"/>
                      <w:szCs w:val="18"/>
                    </w:rPr>
                    <w:t>最大存储量</w:t>
                  </w:r>
                  <w:r>
                    <w:rPr>
                      <w:rFonts w:hint="eastAsia"/>
                      <w:b/>
                      <w:color w:val="auto"/>
                      <w:sz w:val="18"/>
                      <w:szCs w:val="18"/>
                    </w:rPr>
                    <w:t>（t）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68" w:type="pct"/>
                  <w:vMerge w:val="continue"/>
                  <w:vAlign w:val="center"/>
                </w:tcPr>
                <w:p>
                  <w:pPr>
                    <w:jc w:val="center"/>
                    <w:rPr>
                      <w:b/>
                      <w:color w:val="auto"/>
                      <w:sz w:val="18"/>
                      <w:szCs w:val="18"/>
                    </w:rPr>
                  </w:pPr>
                </w:p>
              </w:tc>
              <w:tc>
                <w:tcPr>
                  <w:tcW w:w="588" w:type="pct"/>
                  <w:vMerge w:val="continue"/>
                  <w:vAlign w:val="center"/>
                </w:tcPr>
                <w:p>
                  <w:pPr>
                    <w:jc w:val="center"/>
                    <w:rPr>
                      <w:b/>
                      <w:color w:val="auto"/>
                      <w:sz w:val="18"/>
                      <w:szCs w:val="18"/>
                    </w:rPr>
                  </w:pPr>
                </w:p>
              </w:tc>
              <w:tc>
                <w:tcPr>
                  <w:tcW w:w="1326" w:type="pct"/>
                  <w:vMerge w:val="continue"/>
                  <w:vAlign w:val="center"/>
                </w:tcPr>
                <w:p>
                  <w:pPr>
                    <w:jc w:val="center"/>
                    <w:rPr>
                      <w:b/>
                      <w:color w:val="auto"/>
                      <w:sz w:val="18"/>
                      <w:szCs w:val="18"/>
                    </w:rPr>
                  </w:pPr>
                </w:p>
              </w:tc>
              <w:tc>
                <w:tcPr>
                  <w:tcW w:w="441" w:type="pct"/>
                  <w:vAlign w:val="center"/>
                </w:tcPr>
                <w:p>
                  <w:pPr>
                    <w:jc w:val="center"/>
                    <w:rPr>
                      <w:b/>
                      <w:color w:val="auto"/>
                      <w:sz w:val="18"/>
                      <w:szCs w:val="18"/>
                    </w:rPr>
                  </w:pPr>
                  <w:r>
                    <w:rPr>
                      <w:rFonts w:hint="eastAsia"/>
                      <w:b/>
                      <w:color w:val="auto"/>
                      <w:sz w:val="18"/>
                      <w:szCs w:val="18"/>
                    </w:rPr>
                    <w:t>迁建前</w:t>
                  </w:r>
                </w:p>
              </w:tc>
              <w:tc>
                <w:tcPr>
                  <w:tcW w:w="363" w:type="pct"/>
                  <w:vAlign w:val="center"/>
                </w:tcPr>
                <w:p>
                  <w:pPr>
                    <w:jc w:val="center"/>
                    <w:rPr>
                      <w:b/>
                      <w:color w:val="auto"/>
                      <w:sz w:val="18"/>
                      <w:szCs w:val="18"/>
                    </w:rPr>
                  </w:pPr>
                  <w:r>
                    <w:rPr>
                      <w:rFonts w:hint="eastAsia"/>
                      <w:b/>
                      <w:color w:val="auto"/>
                      <w:sz w:val="18"/>
                      <w:szCs w:val="18"/>
                    </w:rPr>
                    <w:t>迁建后</w:t>
                  </w:r>
                </w:p>
              </w:tc>
              <w:tc>
                <w:tcPr>
                  <w:tcW w:w="364" w:type="pct"/>
                  <w:vAlign w:val="center"/>
                </w:tcPr>
                <w:p>
                  <w:pPr>
                    <w:jc w:val="center"/>
                    <w:rPr>
                      <w:b/>
                      <w:color w:val="auto"/>
                      <w:sz w:val="18"/>
                      <w:szCs w:val="18"/>
                    </w:rPr>
                  </w:pPr>
                  <w:r>
                    <w:rPr>
                      <w:rFonts w:hint="eastAsia"/>
                      <w:b/>
                      <w:color w:val="auto"/>
                      <w:sz w:val="18"/>
                      <w:szCs w:val="18"/>
                    </w:rPr>
                    <w:t>变化量</w:t>
                  </w:r>
                </w:p>
              </w:tc>
              <w:tc>
                <w:tcPr>
                  <w:tcW w:w="427" w:type="pct"/>
                  <w:vMerge w:val="continue"/>
                  <w:vAlign w:val="center"/>
                </w:tcPr>
                <w:p>
                  <w:pPr>
                    <w:jc w:val="center"/>
                    <w:rPr>
                      <w:b/>
                      <w:color w:val="auto"/>
                      <w:sz w:val="18"/>
                      <w:szCs w:val="18"/>
                    </w:rPr>
                  </w:pPr>
                </w:p>
              </w:tc>
              <w:tc>
                <w:tcPr>
                  <w:tcW w:w="349" w:type="pct"/>
                  <w:vMerge w:val="continue"/>
                  <w:vAlign w:val="center"/>
                </w:tcPr>
                <w:p>
                  <w:pPr>
                    <w:jc w:val="center"/>
                    <w:rPr>
                      <w:b/>
                      <w:color w:val="auto"/>
                      <w:sz w:val="18"/>
                      <w:szCs w:val="18"/>
                    </w:rPr>
                  </w:pPr>
                </w:p>
              </w:tc>
              <w:tc>
                <w:tcPr>
                  <w:tcW w:w="389" w:type="pct"/>
                  <w:vMerge w:val="continue"/>
                  <w:vAlign w:val="center"/>
                </w:tcPr>
                <w:p>
                  <w:pPr>
                    <w:jc w:val="center"/>
                    <w:rPr>
                      <w:b/>
                      <w:color w:val="auto"/>
                      <w:sz w:val="18"/>
                      <w:szCs w:val="18"/>
                    </w:rPr>
                  </w:pPr>
                </w:p>
              </w:tc>
              <w:tc>
                <w:tcPr>
                  <w:tcW w:w="479" w:type="pct"/>
                  <w:vMerge w:val="continue"/>
                  <w:vAlign w:val="center"/>
                </w:tcPr>
                <w:p>
                  <w:pPr>
                    <w:jc w:val="center"/>
                    <w:rPr>
                      <w:b/>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68" w:type="pct"/>
                  <w:vAlign w:val="center"/>
                </w:tcPr>
                <w:p>
                  <w:pPr>
                    <w:jc w:val="center"/>
                    <w:rPr>
                      <w:bCs/>
                      <w:color w:val="auto"/>
                      <w:sz w:val="18"/>
                      <w:szCs w:val="18"/>
                    </w:rPr>
                  </w:pPr>
                  <w:r>
                    <w:rPr>
                      <w:bCs/>
                      <w:color w:val="auto"/>
                      <w:sz w:val="18"/>
                      <w:szCs w:val="18"/>
                    </w:rPr>
                    <w:t>1</w:t>
                  </w:r>
                </w:p>
              </w:tc>
              <w:tc>
                <w:tcPr>
                  <w:tcW w:w="588" w:type="pct"/>
                  <w:vAlign w:val="center"/>
                </w:tcPr>
                <w:p>
                  <w:pPr>
                    <w:pStyle w:val="87"/>
                    <w:spacing w:line="240" w:lineRule="auto"/>
                    <w:rPr>
                      <w:color w:val="auto"/>
                      <w:sz w:val="18"/>
                      <w:szCs w:val="18"/>
                    </w:rPr>
                  </w:pPr>
                  <w:r>
                    <w:rPr>
                      <w:color w:val="auto"/>
                      <w:sz w:val="18"/>
                      <w:szCs w:val="18"/>
                    </w:rPr>
                    <w:t>硅胶混炼胶</w:t>
                  </w:r>
                </w:p>
              </w:tc>
              <w:tc>
                <w:tcPr>
                  <w:tcW w:w="1326" w:type="pct"/>
                  <w:vAlign w:val="center"/>
                </w:tcPr>
                <w:p>
                  <w:pPr>
                    <w:jc w:val="center"/>
                    <w:rPr>
                      <w:bCs/>
                      <w:color w:val="auto"/>
                      <w:sz w:val="18"/>
                      <w:szCs w:val="18"/>
                    </w:rPr>
                  </w:pPr>
                  <w:r>
                    <w:rPr>
                      <w:color w:val="auto"/>
                      <w:sz w:val="18"/>
                      <w:szCs w:val="18"/>
                    </w:rPr>
                    <w:t>101生胶</w:t>
                  </w:r>
                  <w:r>
                    <w:rPr>
                      <w:rFonts w:hint="eastAsia"/>
                      <w:color w:val="auto"/>
                      <w:sz w:val="18"/>
                      <w:szCs w:val="18"/>
                    </w:rPr>
                    <w:t>5</w:t>
                  </w:r>
                  <w:r>
                    <w:rPr>
                      <w:color w:val="auto"/>
                      <w:sz w:val="18"/>
                      <w:szCs w:val="18"/>
                    </w:rPr>
                    <w:t>0%、白炭黑</w:t>
                  </w:r>
                  <w:r>
                    <w:rPr>
                      <w:rFonts w:hint="eastAsia"/>
                      <w:color w:val="auto"/>
                      <w:sz w:val="18"/>
                      <w:szCs w:val="18"/>
                    </w:rPr>
                    <w:t>2</w:t>
                  </w:r>
                  <w:r>
                    <w:rPr>
                      <w:color w:val="auto"/>
                      <w:sz w:val="18"/>
                      <w:szCs w:val="18"/>
                    </w:rPr>
                    <w:t>0%、</w:t>
                  </w:r>
                  <w:r>
                    <w:rPr>
                      <w:rFonts w:hint="eastAsia"/>
                      <w:color w:val="auto"/>
                      <w:sz w:val="18"/>
                      <w:szCs w:val="18"/>
                    </w:rPr>
                    <w:t>硅油3</w:t>
                  </w:r>
                  <w:r>
                    <w:rPr>
                      <w:color w:val="auto"/>
                      <w:sz w:val="18"/>
                      <w:szCs w:val="18"/>
                    </w:rPr>
                    <w:t>0</w:t>
                  </w:r>
                  <w:r>
                    <w:rPr>
                      <w:rFonts w:hint="eastAsia"/>
                      <w:color w:val="auto"/>
                      <w:sz w:val="18"/>
                      <w:szCs w:val="18"/>
                    </w:rPr>
                    <w:t>%</w:t>
                  </w:r>
                </w:p>
              </w:tc>
              <w:tc>
                <w:tcPr>
                  <w:tcW w:w="441" w:type="pct"/>
                  <w:vAlign w:val="center"/>
                </w:tcPr>
                <w:p>
                  <w:pPr>
                    <w:jc w:val="center"/>
                    <w:rPr>
                      <w:bCs/>
                      <w:color w:val="auto"/>
                      <w:sz w:val="18"/>
                      <w:szCs w:val="18"/>
                    </w:rPr>
                  </w:pPr>
                  <w:r>
                    <w:rPr>
                      <w:color w:val="auto"/>
                      <w:sz w:val="18"/>
                      <w:szCs w:val="18"/>
                    </w:rPr>
                    <w:t>50</w:t>
                  </w:r>
                </w:p>
              </w:tc>
              <w:tc>
                <w:tcPr>
                  <w:tcW w:w="363" w:type="pct"/>
                  <w:vAlign w:val="center"/>
                </w:tcPr>
                <w:p>
                  <w:pPr>
                    <w:jc w:val="center"/>
                    <w:rPr>
                      <w:bCs/>
                      <w:color w:val="auto"/>
                      <w:sz w:val="18"/>
                      <w:szCs w:val="18"/>
                    </w:rPr>
                  </w:pPr>
                  <w:r>
                    <w:rPr>
                      <w:color w:val="auto"/>
                      <w:sz w:val="18"/>
                      <w:szCs w:val="18"/>
                    </w:rPr>
                    <w:t>50</w:t>
                  </w:r>
                </w:p>
              </w:tc>
              <w:tc>
                <w:tcPr>
                  <w:tcW w:w="364" w:type="pct"/>
                  <w:vAlign w:val="center"/>
                </w:tcPr>
                <w:p>
                  <w:pPr>
                    <w:jc w:val="center"/>
                    <w:rPr>
                      <w:bCs/>
                      <w:color w:val="auto"/>
                      <w:sz w:val="18"/>
                      <w:szCs w:val="18"/>
                    </w:rPr>
                  </w:pPr>
                  <w:r>
                    <w:rPr>
                      <w:rFonts w:hint="eastAsia"/>
                      <w:bCs/>
                      <w:color w:val="auto"/>
                      <w:sz w:val="18"/>
                      <w:szCs w:val="18"/>
                    </w:rPr>
                    <w:t>0</w:t>
                  </w:r>
                </w:p>
              </w:tc>
              <w:tc>
                <w:tcPr>
                  <w:tcW w:w="427" w:type="pct"/>
                  <w:vMerge w:val="restart"/>
                  <w:vAlign w:val="center"/>
                </w:tcPr>
                <w:p>
                  <w:pPr>
                    <w:jc w:val="center"/>
                    <w:rPr>
                      <w:bCs/>
                      <w:color w:val="auto"/>
                      <w:sz w:val="18"/>
                      <w:szCs w:val="18"/>
                    </w:rPr>
                  </w:pPr>
                  <w:r>
                    <w:rPr>
                      <w:rFonts w:hint="eastAsia"/>
                      <w:bCs/>
                      <w:color w:val="auto"/>
                      <w:sz w:val="18"/>
                      <w:szCs w:val="18"/>
                    </w:rPr>
                    <w:t>密闭混合、开炼、一次和二次成型</w:t>
                  </w:r>
                </w:p>
              </w:tc>
              <w:tc>
                <w:tcPr>
                  <w:tcW w:w="349" w:type="pct"/>
                  <w:vAlign w:val="center"/>
                </w:tcPr>
                <w:p>
                  <w:pPr>
                    <w:jc w:val="center"/>
                    <w:rPr>
                      <w:bCs/>
                      <w:color w:val="auto"/>
                      <w:sz w:val="18"/>
                      <w:szCs w:val="18"/>
                    </w:rPr>
                  </w:pPr>
                  <w:r>
                    <w:rPr>
                      <w:bCs/>
                      <w:color w:val="auto"/>
                      <w:sz w:val="18"/>
                      <w:szCs w:val="18"/>
                    </w:rPr>
                    <w:t>固态</w:t>
                  </w:r>
                </w:p>
              </w:tc>
              <w:tc>
                <w:tcPr>
                  <w:tcW w:w="389" w:type="pct"/>
                  <w:vAlign w:val="center"/>
                </w:tcPr>
                <w:p>
                  <w:pPr>
                    <w:jc w:val="center"/>
                    <w:rPr>
                      <w:bCs/>
                      <w:color w:val="auto"/>
                      <w:sz w:val="18"/>
                      <w:szCs w:val="18"/>
                    </w:rPr>
                  </w:pPr>
                  <w:r>
                    <w:rPr>
                      <w:rFonts w:hint="eastAsia"/>
                      <w:bCs/>
                      <w:color w:val="auto"/>
                      <w:sz w:val="18"/>
                      <w:szCs w:val="18"/>
                    </w:rPr>
                    <w:t>原料仓库</w:t>
                  </w:r>
                </w:p>
              </w:tc>
              <w:tc>
                <w:tcPr>
                  <w:tcW w:w="479" w:type="pct"/>
                  <w:vAlign w:val="center"/>
                </w:tcPr>
                <w:p>
                  <w:pPr>
                    <w:jc w:val="center"/>
                    <w:rPr>
                      <w:bCs/>
                      <w:color w:val="auto"/>
                      <w:sz w:val="18"/>
                      <w:szCs w:val="18"/>
                    </w:rPr>
                  </w:pPr>
                  <w:r>
                    <w:rPr>
                      <w:rFonts w:hint="eastAsia"/>
                      <w:bCs/>
                      <w:color w:val="auto"/>
                      <w:sz w:val="18"/>
                      <w:szCs w:val="18"/>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68" w:type="pct"/>
                  <w:vAlign w:val="center"/>
                </w:tcPr>
                <w:p>
                  <w:pPr>
                    <w:jc w:val="center"/>
                    <w:rPr>
                      <w:bCs/>
                      <w:color w:val="auto"/>
                      <w:sz w:val="18"/>
                      <w:szCs w:val="18"/>
                    </w:rPr>
                  </w:pPr>
                  <w:r>
                    <w:rPr>
                      <w:bCs/>
                      <w:color w:val="auto"/>
                      <w:sz w:val="18"/>
                      <w:szCs w:val="18"/>
                    </w:rPr>
                    <w:t>2</w:t>
                  </w:r>
                </w:p>
              </w:tc>
              <w:tc>
                <w:tcPr>
                  <w:tcW w:w="588" w:type="pct"/>
                  <w:vAlign w:val="center"/>
                </w:tcPr>
                <w:p>
                  <w:pPr>
                    <w:pStyle w:val="87"/>
                    <w:spacing w:line="240" w:lineRule="auto"/>
                    <w:rPr>
                      <w:color w:val="auto"/>
                      <w:sz w:val="18"/>
                      <w:szCs w:val="18"/>
                    </w:rPr>
                  </w:pPr>
                  <w:r>
                    <w:rPr>
                      <w:color w:val="auto"/>
                      <w:sz w:val="18"/>
                      <w:szCs w:val="18"/>
                    </w:rPr>
                    <w:t>乙丙胶混炼胶</w:t>
                  </w:r>
                </w:p>
              </w:tc>
              <w:tc>
                <w:tcPr>
                  <w:tcW w:w="1326" w:type="pct"/>
                  <w:vAlign w:val="center"/>
                </w:tcPr>
                <w:p>
                  <w:pPr>
                    <w:jc w:val="center"/>
                    <w:rPr>
                      <w:bCs/>
                      <w:color w:val="auto"/>
                      <w:sz w:val="18"/>
                      <w:szCs w:val="18"/>
                    </w:rPr>
                  </w:pPr>
                  <w:r>
                    <w:rPr>
                      <w:color w:val="auto"/>
                      <w:sz w:val="18"/>
                      <w:szCs w:val="18"/>
                    </w:rPr>
                    <w:t>已丙胶</w:t>
                  </w:r>
                  <w:r>
                    <w:rPr>
                      <w:rFonts w:hint="eastAsia"/>
                      <w:color w:val="auto"/>
                      <w:sz w:val="18"/>
                      <w:szCs w:val="18"/>
                    </w:rPr>
                    <w:t>5</w:t>
                  </w:r>
                  <w:r>
                    <w:rPr>
                      <w:color w:val="auto"/>
                      <w:sz w:val="18"/>
                      <w:szCs w:val="18"/>
                    </w:rPr>
                    <w:t>0</w:t>
                  </w:r>
                  <w:r>
                    <w:rPr>
                      <w:rFonts w:hint="eastAsia"/>
                      <w:color w:val="auto"/>
                      <w:sz w:val="18"/>
                      <w:szCs w:val="18"/>
                    </w:rPr>
                    <w:t>%</w:t>
                  </w:r>
                  <w:r>
                    <w:rPr>
                      <w:color w:val="auto"/>
                      <w:sz w:val="18"/>
                      <w:szCs w:val="18"/>
                    </w:rPr>
                    <w:t>、</w:t>
                  </w:r>
                  <w:r>
                    <w:rPr>
                      <w:rFonts w:hint="eastAsia"/>
                      <w:color w:val="auto"/>
                      <w:sz w:val="18"/>
                      <w:szCs w:val="18"/>
                    </w:rPr>
                    <w:t>炭黑2</w:t>
                  </w:r>
                  <w:r>
                    <w:rPr>
                      <w:color w:val="auto"/>
                      <w:sz w:val="18"/>
                      <w:szCs w:val="18"/>
                    </w:rPr>
                    <w:t>0</w:t>
                  </w:r>
                  <w:r>
                    <w:rPr>
                      <w:rFonts w:hint="eastAsia"/>
                      <w:color w:val="auto"/>
                      <w:sz w:val="18"/>
                      <w:szCs w:val="18"/>
                    </w:rPr>
                    <w:t>%、</w:t>
                  </w:r>
                  <w:r>
                    <w:rPr>
                      <w:color w:val="auto"/>
                      <w:sz w:val="18"/>
                      <w:szCs w:val="18"/>
                    </w:rPr>
                    <w:t>环烷油</w:t>
                  </w:r>
                  <w:r>
                    <w:rPr>
                      <w:rFonts w:hint="eastAsia"/>
                      <w:color w:val="auto"/>
                      <w:sz w:val="18"/>
                      <w:szCs w:val="18"/>
                    </w:rPr>
                    <w:t>2</w:t>
                  </w:r>
                  <w:r>
                    <w:rPr>
                      <w:color w:val="auto"/>
                      <w:sz w:val="18"/>
                      <w:szCs w:val="18"/>
                    </w:rPr>
                    <w:t>8</w:t>
                  </w:r>
                  <w:r>
                    <w:rPr>
                      <w:rFonts w:hint="eastAsia"/>
                      <w:color w:val="auto"/>
                      <w:sz w:val="18"/>
                      <w:szCs w:val="18"/>
                    </w:rPr>
                    <w:t>%</w:t>
                  </w:r>
                  <w:r>
                    <w:rPr>
                      <w:color w:val="auto"/>
                      <w:sz w:val="18"/>
                      <w:szCs w:val="18"/>
                    </w:rPr>
                    <w:t>、氧化锌</w:t>
                  </w:r>
                  <w:r>
                    <w:rPr>
                      <w:rFonts w:hint="eastAsia"/>
                      <w:color w:val="auto"/>
                      <w:sz w:val="18"/>
                      <w:szCs w:val="18"/>
                    </w:rPr>
                    <w:t>2%</w:t>
                  </w:r>
                </w:p>
              </w:tc>
              <w:tc>
                <w:tcPr>
                  <w:tcW w:w="441" w:type="pct"/>
                  <w:vAlign w:val="center"/>
                </w:tcPr>
                <w:p>
                  <w:pPr>
                    <w:jc w:val="center"/>
                    <w:rPr>
                      <w:bCs/>
                      <w:color w:val="auto"/>
                      <w:sz w:val="18"/>
                      <w:szCs w:val="18"/>
                    </w:rPr>
                  </w:pPr>
                  <w:r>
                    <w:rPr>
                      <w:color w:val="auto"/>
                      <w:sz w:val="18"/>
                      <w:szCs w:val="18"/>
                    </w:rPr>
                    <w:t>15</w:t>
                  </w:r>
                </w:p>
              </w:tc>
              <w:tc>
                <w:tcPr>
                  <w:tcW w:w="363" w:type="pct"/>
                  <w:vAlign w:val="center"/>
                </w:tcPr>
                <w:p>
                  <w:pPr>
                    <w:jc w:val="center"/>
                    <w:rPr>
                      <w:bCs/>
                      <w:color w:val="auto"/>
                      <w:sz w:val="18"/>
                      <w:szCs w:val="18"/>
                    </w:rPr>
                  </w:pPr>
                  <w:r>
                    <w:rPr>
                      <w:color w:val="auto"/>
                      <w:sz w:val="18"/>
                      <w:szCs w:val="18"/>
                    </w:rPr>
                    <w:t>15</w:t>
                  </w:r>
                </w:p>
              </w:tc>
              <w:tc>
                <w:tcPr>
                  <w:tcW w:w="364" w:type="pct"/>
                  <w:vAlign w:val="center"/>
                </w:tcPr>
                <w:p>
                  <w:pPr>
                    <w:jc w:val="center"/>
                    <w:rPr>
                      <w:bCs/>
                      <w:color w:val="auto"/>
                      <w:sz w:val="18"/>
                      <w:szCs w:val="18"/>
                    </w:rPr>
                  </w:pPr>
                  <w:r>
                    <w:rPr>
                      <w:rFonts w:hint="eastAsia"/>
                      <w:bCs/>
                      <w:color w:val="auto"/>
                      <w:sz w:val="18"/>
                      <w:szCs w:val="18"/>
                    </w:rPr>
                    <w:t>0</w:t>
                  </w:r>
                </w:p>
              </w:tc>
              <w:tc>
                <w:tcPr>
                  <w:tcW w:w="427" w:type="pct"/>
                  <w:vMerge w:val="continue"/>
                  <w:vAlign w:val="center"/>
                </w:tcPr>
                <w:p>
                  <w:pPr>
                    <w:jc w:val="center"/>
                    <w:rPr>
                      <w:bCs/>
                      <w:color w:val="auto"/>
                      <w:sz w:val="18"/>
                      <w:szCs w:val="18"/>
                    </w:rPr>
                  </w:pPr>
                </w:p>
              </w:tc>
              <w:tc>
                <w:tcPr>
                  <w:tcW w:w="349" w:type="pct"/>
                  <w:vAlign w:val="center"/>
                </w:tcPr>
                <w:p>
                  <w:pPr>
                    <w:jc w:val="center"/>
                    <w:rPr>
                      <w:bCs/>
                      <w:color w:val="auto"/>
                      <w:sz w:val="18"/>
                      <w:szCs w:val="18"/>
                    </w:rPr>
                  </w:pPr>
                  <w:r>
                    <w:rPr>
                      <w:bCs/>
                      <w:color w:val="auto"/>
                      <w:sz w:val="18"/>
                      <w:szCs w:val="18"/>
                    </w:rPr>
                    <w:t>固态</w:t>
                  </w:r>
                </w:p>
              </w:tc>
              <w:tc>
                <w:tcPr>
                  <w:tcW w:w="389" w:type="pct"/>
                  <w:vAlign w:val="center"/>
                </w:tcPr>
                <w:p>
                  <w:pPr>
                    <w:jc w:val="center"/>
                    <w:rPr>
                      <w:bCs/>
                      <w:color w:val="auto"/>
                      <w:sz w:val="18"/>
                      <w:szCs w:val="18"/>
                    </w:rPr>
                  </w:pPr>
                  <w:r>
                    <w:rPr>
                      <w:rFonts w:hint="eastAsia"/>
                      <w:bCs/>
                      <w:color w:val="auto"/>
                      <w:sz w:val="18"/>
                      <w:szCs w:val="18"/>
                    </w:rPr>
                    <w:t>原料仓库</w:t>
                  </w:r>
                </w:p>
              </w:tc>
              <w:tc>
                <w:tcPr>
                  <w:tcW w:w="479" w:type="pct"/>
                  <w:vAlign w:val="center"/>
                </w:tcPr>
                <w:p>
                  <w:pPr>
                    <w:jc w:val="center"/>
                    <w:rPr>
                      <w:bCs/>
                      <w:color w:val="auto"/>
                      <w:sz w:val="18"/>
                      <w:szCs w:val="18"/>
                    </w:rPr>
                  </w:pPr>
                  <w:r>
                    <w:rPr>
                      <w:rFonts w:hint="eastAsia"/>
                      <w:bCs/>
                      <w:color w:val="auto"/>
                      <w:sz w:val="18"/>
                      <w:szCs w:val="18"/>
                    </w:rPr>
                    <w:t>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68" w:type="pct"/>
                  <w:vAlign w:val="center"/>
                </w:tcPr>
                <w:p>
                  <w:pPr>
                    <w:jc w:val="center"/>
                    <w:rPr>
                      <w:bCs/>
                      <w:color w:val="auto"/>
                      <w:sz w:val="18"/>
                      <w:szCs w:val="18"/>
                    </w:rPr>
                  </w:pPr>
                  <w:r>
                    <w:rPr>
                      <w:bCs/>
                      <w:color w:val="auto"/>
                      <w:sz w:val="18"/>
                      <w:szCs w:val="18"/>
                    </w:rPr>
                    <w:t>3</w:t>
                  </w:r>
                </w:p>
              </w:tc>
              <w:tc>
                <w:tcPr>
                  <w:tcW w:w="588" w:type="pct"/>
                  <w:vAlign w:val="center"/>
                </w:tcPr>
                <w:p>
                  <w:pPr>
                    <w:pStyle w:val="87"/>
                    <w:spacing w:line="240" w:lineRule="auto"/>
                    <w:rPr>
                      <w:color w:val="auto"/>
                      <w:sz w:val="18"/>
                      <w:szCs w:val="18"/>
                      <w:highlight w:val="none"/>
                    </w:rPr>
                  </w:pPr>
                  <w:r>
                    <w:rPr>
                      <w:rFonts w:hint="eastAsia"/>
                      <w:color w:val="auto"/>
                      <w:sz w:val="18"/>
                      <w:szCs w:val="18"/>
                      <w:highlight w:val="none"/>
                      <w:lang w:val="en-US" w:eastAsia="zh-CN"/>
                    </w:rPr>
                    <w:t>丁基</w:t>
                  </w:r>
                  <w:r>
                    <w:rPr>
                      <w:color w:val="auto"/>
                      <w:sz w:val="18"/>
                      <w:szCs w:val="18"/>
                      <w:highlight w:val="none"/>
                    </w:rPr>
                    <w:t>胶混炼胶</w:t>
                  </w:r>
                </w:p>
              </w:tc>
              <w:tc>
                <w:tcPr>
                  <w:tcW w:w="1326" w:type="pct"/>
                  <w:vAlign w:val="center"/>
                </w:tcPr>
                <w:p>
                  <w:pPr>
                    <w:jc w:val="center"/>
                    <w:rPr>
                      <w:bCs/>
                      <w:color w:val="auto"/>
                      <w:sz w:val="18"/>
                      <w:szCs w:val="18"/>
                      <w:highlight w:val="none"/>
                    </w:rPr>
                  </w:pPr>
                  <w:r>
                    <w:rPr>
                      <w:rFonts w:hint="eastAsia"/>
                      <w:color w:val="auto"/>
                      <w:sz w:val="18"/>
                      <w:szCs w:val="18"/>
                      <w:highlight w:val="none"/>
                      <w:lang w:val="en-US" w:eastAsia="zh-CN"/>
                    </w:rPr>
                    <w:t>丁基</w:t>
                  </w:r>
                  <w:r>
                    <w:rPr>
                      <w:color w:val="auto"/>
                      <w:sz w:val="18"/>
                      <w:szCs w:val="18"/>
                      <w:highlight w:val="none"/>
                    </w:rPr>
                    <w:t>胶</w:t>
                  </w:r>
                  <w:r>
                    <w:rPr>
                      <w:rFonts w:hint="eastAsia"/>
                      <w:color w:val="auto"/>
                      <w:sz w:val="18"/>
                      <w:szCs w:val="18"/>
                      <w:highlight w:val="none"/>
                    </w:rPr>
                    <w:t>5</w:t>
                  </w:r>
                  <w:r>
                    <w:rPr>
                      <w:color w:val="auto"/>
                      <w:sz w:val="18"/>
                      <w:szCs w:val="18"/>
                      <w:highlight w:val="none"/>
                    </w:rPr>
                    <w:t>0</w:t>
                  </w:r>
                  <w:r>
                    <w:rPr>
                      <w:rFonts w:hint="eastAsia"/>
                      <w:color w:val="auto"/>
                      <w:sz w:val="18"/>
                      <w:szCs w:val="18"/>
                      <w:highlight w:val="none"/>
                    </w:rPr>
                    <w:t>%</w:t>
                  </w:r>
                  <w:r>
                    <w:rPr>
                      <w:color w:val="auto"/>
                      <w:sz w:val="18"/>
                      <w:szCs w:val="18"/>
                      <w:highlight w:val="none"/>
                    </w:rPr>
                    <w:t>、</w:t>
                  </w:r>
                  <w:r>
                    <w:rPr>
                      <w:rFonts w:hint="eastAsia"/>
                      <w:color w:val="auto"/>
                      <w:sz w:val="18"/>
                      <w:szCs w:val="18"/>
                      <w:highlight w:val="none"/>
                    </w:rPr>
                    <w:t>炭黑2</w:t>
                  </w:r>
                  <w:r>
                    <w:rPr>
                      <w:color w:val="auto"/>
                      <w:sz w:val="18"/>
                      <w:szCs w:val="18"/>
                      <w:highlight w:val="none"/>
                    </w:rPr>
                    <w:t>0</w:t>
                  </w:r>
                  <w:r>
                    <w:rPr>
                      <w:rFonts w:hint="eastAsia"/>
                      <w:color w:val="auto"/>
                      <w:sz w:val="18"/>
                      <w:szCs w:val="18"/>
                      <w:highlight w:val="none"/>
                    </w:rPr>
                    <w:t>%、</w:t>
                  </w:r>
                  <w:r>
                    <w:rPr>
                      <w:color w:val="auto"/>
                      <w:sz w:val="18"/>
                      <w:szCs w:val="18"/>
                      <w:highlight w:val="none"/>
                    </w:rPr>
                    <w:t>油类</w:t>
                  </w:r>
                  <w:r>
                    <w:rPr>
                      <w:rFonts w:hint="eastAsia"/>
                      <w:color w:val="auto"/>
                      <w:sz w:val="18"/>
                      <w:szCs w:val="18"/>
                      <w:highlight w:val="none"/>
                    </w:rPr>
                    <w:t>2</w:t>
                  </w:r>
                  <w:r>
                    <w:rPr>
                      <w:color w:val="auto"/>
                      <w:sz w:val="18"/>
                      <w:szCs w:val="18"/>
                      <w:highlight w:val="none"/>
                    </w:rPr>
                    <w:t>5</w:t>
                  </w:r>
                  <w:r>
                    <w:rPr>
                      <w:rFonts w:hint="eastAsia"/>
                      <w:color w:val="auto"/>
                      <w:sz w:val="18"/>
                      <w:szCs w:val="18"/>
                      <w:highlight w:val="none"/>
                    </w:rPr>
                    <w:t>%</w:t>
                  </w:r>
                  <w:r>
                    <w:rPr>
                      <w:color w:val="auto"/>
                      <w:sz w:val="18"/>
                      <w:szCs w:val="18"/>
                      <w:highlight w:val="none"/>
                    </w:rPr>
                    <w:t>、碳酸钙</w:t>
                  </w:r>
                  <w:r>
                    <w:rPr>
                      <w:rFonts w:hint="eastAsia"/>
                      <w:color w:val="auto"/>
                      <w:sz w:val="18"/>
                      <w:szCs w:val="18"/>
                      <w:highlight w:val="none"/>
                    </w:rPr>
                    <w:t>5%</w:t>
                  </w:r>
                </w:p>
              </w:tc>
              <w:tc>
                <w:tcPr>
                  <w:tcW w:w="441" w:type="pct"/>
                  <w:vAlign w:val="center"/>
                </w:tcPr>
                <w:p>
                  <w:pPr>
                    <w:jc w:val="center"/>
                    <w:rPr>
                      <w:rFonts w:hint="default" w:eastAsia="宋体"/>
                      <w:bCs/>
                      <w:color w:val="auto"/>
                      <w:sz w:val="18"/>
                      <w:szCs w:val="18"/>
                      <w:lang w:val="en-US" w:eastAsia="zh-CN"/>
                    </w:rPr>
                  </w:pPr>
                  <w:r>
                    <w:rPr>
                      <w:rFonts w:hint="eastAsia"/>
                      <w:color w:val="auto"/>
                      <w:sz w:val="18"/>
                      <w:szCs w:val="18"/>
                      <w:lang w:val="en-US" w:eastAsia="zh-CN"/>
                    </w:rPr>
                    <w:t>25</w:t>
                  </w:r>
                </w:p>
              </w:tc>
              <w:tc>
                <w:tcPr>
                  <w:tcW w:w="363" w:type="pct"/>
                  <w:vAlign w:val="center"/>
                </w:tcPr>
                <w:p>
                  <w:pPr>
                    <w:jc w:val="center"/>
                    <w:rPr>
                      <w:rFonts w:hint="default" w:eastAsia="宋体"/>
                      <w:bCs/>
                      <w:color w:val="auto"/>
                      <w:sz w:val="18"/>
                      <w:szCs w:val="18"/>
                      <w:lang w:val="en-US" w:eastAsia="zh-CN"/>
                    </w:rPr>
                  </w:pPr>
                  <w:r>
                    <w:rPr>
                      <w:rFonts w:hint="eastAsia"/>
                      <w:color w:val="auto"/>
                      <w:sz w:val="18"/>
                      <w:szCs w:val="18"/>
                      <w:lang w:val="en-US" w:eastAsia="zh-CN"/>
                    </w:rPr>
                    <w:t>25</w:t>
                  </w:r>
                </w:p>
              </w:tc>
              <w:tc>
                <w:tcPr>
                  <w:tcW w:w="364" w:type="pct"/>
                  <w:vAlign w:val="center"/>
                </w:tcPr>
                <w:p>
                  <w:pPr>
                    <w:jc w:val="center"/>
                    <w:rPr>
                      <w:bCs/>
                      <w:color w:val="auto"/>
                      <w:sz w:val="18"/>
                      <w:szCs w:val="18"/>
                    </w:rPr>
                  </w:pPr>
                  <w:r>
                    <w:rPr>
                      <w:rFonts w:hint="eastAsia"/>
                      <w:bCs/>
                      <w:color w:val="auto"/>
                      <w:sz w:val="18"/>
                      <w:szCs w:val="18"/>
                    </w:rPr>
                    <w:t>0</w:t>
                  </w:r>
                </w:p>
              </w:tc>
              <w:tc>
                <w:tcPr>
                  <w:tcW w:w="427" w:type="pct"/>
                  <w:vMerge w:val="continue"/>
                  <w:vAlign w:val="center"/>
                </w:tcPr>
                <w:p>
                  <w:pPr>
                    <w:jc w:val="center"/>
                    <w:rPr>
                      <w:bCs/>
                      <w:color w:val="auto"/>
                      <w:sz w:val="18"/>
                      <w:szCs w:val="18"/>
                    </w:rPr>
                  </w:pPr>
                </w:p>
              </w:tc>
              <w:tc>
                <w:tcPr>
                  <w:tcW w:w="349" w:type="pct"/>
                  <w:vAlign w:val="center"/>
                </w:tcPr>
                <w:p>
                  <w:pPr>
                    <w:jc w:val="center"/>
                    <w:rPr>
                      <w:bCs/>
                      <w:color w:val="auto"/>
                      <w:sz w:val="18"/>
                      <w:szCs w:val="18"/>
                    </w:rPr>
                  </w:pPr>
                  <w:r>
                    <w:rPr>
                      <w:bCs/>
                      <w:color w:val="auto"/>
                      <w:sz w:val="18"/>
                      <w:szCs w:val="18"/>
                    </w:rPr>
                    <w:t>固态</w:t>
                  </w:r>
                </w:p>
              </w:tc>
              <w:tc>
                <w:tcPr>
                  <w:tcW w:w="389" w:type="pct"/>
                  <w:vAlign w:val="center"/>
                </w:tcPr>
                <w:p>
                  <w:pPr>
                    <w:jc w:val="center"/>
                    <w:rPr>
                      <w:bCs/>
                      <w:color w:val="auto"/>
                      <w:sz w:val="18"/>
                      <w:szCs w:val="18"/>
                    </w:rPr>
                  </w:pPr>
                  <w:r>
                    <w:rPr>
                      <w:rFonts w:hint="eastAsia"/>
                      <w:bCs/>
                      <w:color w:val="auto"/>
                      <w:sz w:val="18"/>
                      <w:szCs w:val="18"/>
                    </w:rPr>
                    <w:t>原料仓库</w:t>
                  </w:r>
                </w:p>
              </w:tc>
              <w:tc>
                <w:tcPr>
                  <w:tcW w:w="479" w:type="pct"/>
                  <w:vAlign w:val="center"/>
                </w:tcPr>
                <w:p>
                  <w:pPr>
                    <w:jc w:val="center"/>
                    <w:rPr>
                      <w:bCs/>
                      <w:color w:val="auto"/>
                      <w:sz w:val="18"/>
                      <w:szCs w:val="18"/>
                    </w:rPr>
                  </w:pPr>
                  <w:r>
                    <w:rPr>
                      <w:rFonts w:hint="eastAsia"/>
                      <w:bCs/>
                      <w:color w:val="auto"/>
                      <w:sz w:val="18"/>
                      <w:szCs w:val="18"/>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68" w:type="pct"/>
                  <w:vAlign w:val="center"/>
                </w:tcPr>
                <w:p>
                  <w:pPr>
                    <w:jc w:val="center"/>
                    <w:rPr>
                      <w:bCs/>
                      <w:color w:val="auto"/>
                      <w:sz w:val="18"/>
                      <w:szCs w:val="18"/>
                    </w:rPr>
                  </w:pPr>
                </w:p>
              </w:tc>
              <w:tc>
                <w:tcPr>
                  <w:tcW w:w="588" w:type="pct"/>
                  <w:vAlign w:val="center"/>
                </w:tcPr>
                <w:p>
                  <w:pPr>
                    <w:pStyle w:val="87"/>
                    <w:spacing w:line="240" w:lineRule="auto"/>
                    <w:rPr>
                      <w:color w:val="auto"/>
                      <w:sz w:val="18"/>
                      <w:szCs w:val="18"/>
                    </w:rPr>
                  </w:pPr>
                  <w:r>
                    <w:rPr>
                      <w:rFonts w:hint="eastAsia"/>
                      <w:color w:val="auto"/>
                      <w:sz w:val="18"/>
                      <w:szCs w:val="18"/>
                    </w:rPr>
                    <w:t>硫化剂</w:t>
                  </w:r>
                </w:p>
              </w:tc>
              <w:tc>
                <w:tcPr>
                  <w:tcW w:w="1326" w:type="pct"/>
                  <w:vAlign w:val="center"/>
                </w:tcPr>
                <w:p>
                  <w:pPr>
                    <w:jc w:val="center"/>
                    <w:rPr>
                      <w:color w:val="auto"/>
                      <w:sz w:val="18"/>
                      <w:szCs w:val="18"/>
                    </w:rPr>
                  </w:pPr>
                  <w:r>
                    <w:rPr>
                      <w:rFonts w:hint="eastAsia"/>
                      <w:color w:val="auto"/>
                      <w:sz w:val="18"/>
                      <w:szCs w:val="18"/>
                    </w:rPr>
                    <w:t>硫磺</w:t>
                  </w:r>
                </w:p>
              </w:tc>
              <w:tc>
                <w:tcPr>
                  <w:tcW w:w="441" w:type="pct"/>
                  <w:vAlign w:val="center"/>
                </w:tcPr>
                <w:p>
                  <w:pPr>
                    <w:jc w:val="center"/>
                    <w:rPr>
                      <w:color w:val="auto"/>
                      <w:sz w:val="18"/>
                      <w:szCs w:val="18"/>
                    </w:rPr>
                  </w:pPr>
                  <w:r>
                    <w:rPr>
                      <w:rFonts w:hint="eastAsia"/>
                      <w:color w:val="auto"/>
                      <w:sz w:val="18"/>
                      <w:szCs w:val="18"/>
                    </w:rPr>
                    <w:t>0</w:t>
                  </w:r>
                </w:p>
              </w:tc>
              <w:tc>
                <w:tcPr>
                  <w:tcW w:w="363" w:type="pct"/>
                  <w:vAlign w:val="center"/>
                </w:tcPr>
                <w:p>
                  <w:pPr>
                    <w:jc w:val="center"/>
                    <w:rPr>
                      <w:color w:val="auto"/>
                      <w:sz w:val="18"/>
                      <w:szCs w:val="18"/>
                    </w:rPr>
                  </w:pPr>
                  <w:r>
                    <w:rPr>
                      <w:rFonts w:hint="eastAsia"/>
                      <w:color w:val="auto"/>
                      <w:sz w:val="18"/>
                      <w:szCs w:val="18"/>
                    </w:rPr>
                    <w:t>0.5</w:t>
                  </w:r>
                </w:p>
              </w:tc>
              <w:tc>
                <w:tcPr>
                  <w:tcW w:w="364" w:type="pct"/>
                  <w:vAlign w:val="center"/>
                </w:tcPr>
                <w:p>
                  <w:pPr>
                    <w:jc w:val="center"/>
                    <w:rPr>
                      <w:bCs/>
                      <w:color w:val="auto"/>
                      <w:sz w:val="18"/>
                      <w:szCs w:val="18"/>
                    </w:rPr>
                  </w:pPr>
                  <w:r>
                    <w:rPr>
                      <w:rFonts w:hint="eastAsia"/>
                      <w:bCs/>
                      <w:color w:val="auto"/>
                      <w:sz w:val="18"/>
                      <w:szCs w:val="18"/>
                    </w:rPr>
                    <w:t>+0.5</w:t>
                  </w:r>
                </w:p>
              </w:tc>
              <w:tc>
                <w:tcPr>
                  <w:tcW w:w="427" w:type="pct"/>
                  <w:vMerge w:val="continue"/>
                  <w:vAlign w:val="center"/>
                </w:tcPr>
                <w:p>
                  <w:pPr>
                    <w:jc w:val="center"/>
                    <w:rPr>
                      <w:bCs/>
                      <w:color w:val="auto"/>
                      <w:sz w:val="18"/>
                      <w:szCs w:val="18"/>
                    </w:rPr>
                  </w:pPr>
                </w:p>
              </w:tc>
              <w:tc>
                <w:tcPr>
                  <w:tcW w:w="349" w:type="pct"/>
                  <w:vAlign w:val="center"/>
                </w:tcPr>
                <w:p>
                  <w:pPr>
                    <w:jc w:val="center"/>
                    <w:rPr>
                      <w:bCs/>
                      <w:color w:val="auto"/>
                      <w:sz w:val="18"/>
                      <w:szCs w:val="18"/>
                    </w:rPr>
                  </w:pPr>
                  <w:r>
                    <w:rPr>
                      <w:bCs/>
                      <w:color w:val="auto"/>
                      <w:sz w:val="18"/>
                      <w:szCs w:val="18"/>
                    </w:rPr>
                    <w:t>固态</w:t>
                  </w:r>
                </w:p>
              </w:tc>
              <w:tc>
                <w:tcPr>
                  <w:tcW w:w="389" w:type="pct"/>
                  <w:vAlign w:val="center"/>
                </w:tcPr>
                <w:p>
                  <w:pPr>
                    <w:jc w:val="center"/>
                    <w:rPr>
                      <w:bCs/>
                      <w:color w:val="auto"/>
                      <w:sz w:val="18"/>
                      <w:szCs w:val="18"/>
                    </w:rPr>
                  </w:pPr>
                  <w:r>
                    <w:rPr>
                      <w:rFonts w:hint="eastAsia"/>
                      <w:bCs/>
                      <w:color w:val="auto"/>
                      <w:sz w:val="18"/>
                      <w:szCs w:val="18"/>
                    </w:rPr>
                    <w:t>原料仓库</w:t>
                  </w:r>
                </w:p>
              </w:tc>
              <w:tc>
                <w:tcPr>
                  <w:tcW w:w="479" w:type="pct"/>
                  <w:vAlign w:val="center"/>
                </w:tcPr>
                <w:p>
                  <w:pPr>
                    <w:jc w:val="center"/>
                    <w:rPr>
                      <w:bCs/>
                      <w:color w:val="auto"/>
                      <w:sz w:val="18"/>
                      <w:szCs w:val="18"/>
                    </w:rPr>
                  </w:pPr>
                  <w:r>
                    <w:rPr>
                      <w:rFonts w:hint="eastAsia"/>
                      <w:bCs/>
                      <w:color w:val="auto"/>
                      <w:sz w:val="18"/>
                      <w:szCs w:val="18"/>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41" w:hRule="atLeast"/>
                <w:tblHeader/>
                <w:jc w:val="center"/>
              </w:trPr>
              <w:tc>
                <w:tcPr>
                  <w:tcW w:w="500" w:type="dxa"/>
                  <w:vAlign w:val="center"/>
                </w:tcPr>
                <w:p>
                  <w:pPr>
                    <w:jc w:val="center"/>
                    <w:rPr>
                      <w:bCs/>
                      <w:color w:val="auto"/>
                      <w:sz w:val="18"/>
                      <w:szCs w:val="18"/>
                    </w:rPr>
                  </w:pPr>
                  <w:r>
                    <w:rPr>
                      <w:rFonts w:hint="eastAsia"/>
                      <w:bCs/>
                      <w:color w:val="auto"/>
                      <w:sz w:val="18"/>
                      <w:szCs w:val="18"/>
                    </w:rPr>
                    <w:t>5</w:t>
                  </w:r>
                </w:p>
              </w:tc>
              <w:tc>
                <w:tcPr>
                  <w:tcW w:w="588" w:type="pct"/>
                  <w:vAlign w:val="center"/>
                </w:tcPr>
                <w:p>
                  <w:pPr>
                    <w:pStyle w:val="87"/>
                    <w:spacing w:line="240" w:lineRule="auto"/>
                    <w:rPr>
                      <w:color w:val="auto"/>
                      <w:sz w:val="18"/>
                      <w:szCs w:val="18"/>
                    </w:rPr>
                  </w:pPr>
                  <w:r>
                    <w:rPr>
                      <w:rFonts w:hint="eastAsia"/>
                      <w:color w:val="auto"/>
                      <w:sz w:val="18"/>
                      <w:szCs w:val="18"/>
                    </w:rPr>
                    <w:t>双二五硫化剂</w:t>
                  </w:r>
                </w:p>
              </w:tc>
              <w:tc>
                <w:tcPr>
                  <w:tcW w:w="1326" w:type="pct"/>
                  <w:vAlign w:val="center"/>
                </w:tcPr>
                <w:p>
                  <w:pPr>
                    <w:jc w:val="center"/>
                    <w:rPr>
                      <w:color w:val="auto"/>
                      <w:sz w:val="18"/>
                      <w:szCs w:val="18"/>
                    </w:rPr>
                  </w:pPr>
                  <w:r>
                    <w:rPr>
                      <w:rFonts w:hint="eastAsia"/>
                      <w:color w:val="auto"/>
                      <w:sz w:val="18"/>
                      <w:szCs w:val="18"/>
                    </w:rPr>
                    <w:t>2，5-二甲基-2，5-双(叔丁基过氧基)己烷</w:t>
                  </w:r>
                </w:p>
              </w:tc>
              <w:tc>
                <w:tcPr>
                  <w:tcW w:w="441" w:type="pct"/>
                  <w:vAlign w:val="center"/>
                </w:tcPr>
                <w:p>
                  <w:pPr>
                    <w:jc w:val="center"/>
                    <w:rPr>
                      <w:color w:val="auto"/>
                      <w:sz w:val="18"/>
                      <w:szCs w:val="18"/>
                    </w:rPr>
                  </w:pPr>
                  <w:r>
                    <w:rPr>
                      <w:rFonts w:hint="eastAsia"/>
                      <w:color w:val="auto"/>
                      <w:sz w:val="18"/>
                      <w:szCs w:val="18"/>
                    </w:rPr>
                    <w:t>0</w:t>
                  </w:r>
                </w:p>
              </w:tc>
              <w:tc>
                <w:tcPr>
                  <w:tcW w:w="363" w:type="pct"/>
                  <w:vAlign w:val="center"/>
                </w:tcPr>
                <w:p>
                  <w:pPr>
                    <w:jc w:val="center"/>
                    <w:rPr>
                      <w:color w:val="auto"/>
                      <w:sz w:val="18"/>
                      <w:szCs w:val="18"/>
                    </w:rPr>
                  </w:pPr>
                  <w:r>
                    <w:rPr>
                      <w:rFonts w:hint="eastAsia"/>
                      <w:color w:val="auto"/>
                      <w:sz w:val="18"/>
                      <w:szCs w:val="18"/>
                    </w:rPr>
                    <w:t>0.5</w:t>
                  </w:r>
                </w:p>
              </w:tc>
              <w:tc>
                <w:tcPr>
                  <w:tcW w:w="364" w:type="pct"/>
                  <w:vAlign w:val="center"/>
                </w:tcPr>
                <w:p>
                  <w:pPr>
                    <w:jc w:val="center"/>
                    <w:rPr>
                      <w:bCs/>
                      <w:color w:val="auto"/>
                      <w:sz w:val="18"/>
                      <w:szCs w:val="18"/>
                    </w:rPr>
                  </w:pPr>
                  <w:r>
                    <w:rPr>
                      <w:rFonts w:hint="eastAsia"/>
                      <w:bCs/>
                      <w:color w:val="auto"/>
                      <w:sz w:val="18"/>
                      <w:szCs w:val="18"/>
                    </w:rPr>
                    <w:t>+0.5</w:t>
                  </w:r>
                </w:p>
              </w:tc>
              <w:tc>
                <w:tcPr>
                  <w:tcW w:w="427" w:type="pct"/>
                  <w:vMerge w:val="continue"/>
                  <w:vAlign w:val="center"/>
                </w:tcPr>
                <w:p>
                  <w:pPr>
                    <w:jc w:val="center"/>
                    <w:rPr>
                      <w:bCs/>
                      <w:color w:val="auto"/>
                      <w:sz w:val="18"/>
                      <w:szCs w:val="18"/>
                    </w:rPr>
                  </w:pPr>
                </w:p>
              </w:tc>
              <w:tc>
                <w:tcPr>
                  <w:tcW w:w="349" w:type="pct"/>
                  <w:vAlign w:val="center"/>
                </w:tcPr>
                <w:p>
                  <w:pPr>
                    <w:jc w:val="center"/>
                    <w:rPr>
                      <w:bCs/>
                      <w:color w:val="auto"/>
                      <w:sz w:val="18"/>
                      <w:szCs w:val="18"/>
                    </w:rPr>
                  </w:pPr>
                  <w:r>
                    <w:rPr>
                      <w:bCs/>
                      <w:color w:val="auto"/>
                      <w:sz w:val="18"/>
                      <w:szCs w:val="18"/>
                    </w:rPr>
                    <w:t>固态</w:t>
                  </w:r>
                </w:p>
              </w:tc>
              <w:tc>
                <w:tcPr>
                  <w:tcW w:w="389" w:type="pct"/>
                  <w:vAlign w:val="center"/>
                </w:tcPr>
                <w:p>
                  <w:pPr>
                    <w:jc w:val="center"/>
                    <w:rPr>
                      <w:bCs/>
                      <w:color w:val="auto"/>
                      <w:sz w:val="18"/>
                      <w:szCs w:val="18"/>
                    </w:rPr>
                  </w:pPr>
                  <w:r>
                    <w:rPr>
                      <w:rFonts w:hint="eastAsia"/>
                      <w:bCs/>
                      <w:color w:val="auto"/>
                      <w:sz w:val="18"/>
                      <w:szCs w:val="18"/>
                    </w:rPr>
                    <w:t>原料仓库</w:t>
                  </w:r>
                </w:p>
              </w:tc>
              <w:tc>
                <w:tcPr>
                  <w:tcW w:w="479" w:type="pct"/>
                  <w:vAlign w:val="center"/>
                </w:tcPr>
                <w:p>
                  <w:pPr>
                    <w:jc w:val="center"/>
                    <w:rPr>
                      <w:bCs/>
                      <w:color w:val="auto"/>
                      <w:sz w:val="18"/>
                      <w:szCs w:val="18"/>
                    </w:rPr>
                  </w:pPr>
                  <w:r>
                    <w:rPr>
                      <w:rFonts w:hint="eastAsia"/>
                      <w:bCs/>
                      <w:color w:val="auto"/>
                      <w:sz w:val="18"/>
                      <w:szCs w:val="18"/>
                    </w:rPr>
                    <w:t>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00" w:type="dxa"/>
                  <w:vAlign w:val="center"/>
                </w:tcPr>
                <w:p>
                  <w:pPr>
                    <w:jc w:val="center"/>
                    <w:rPr>
                      <w:bCs/>
                      <w:color w:val="auto"/>
                      <w:sz w:val="18"/>
                      <w:szCs w:val="18"/>
                    </w:rPr>
                  </w:pPr>
                  <w:r>
                    <w:rPr>
                      <w:rFonts w:hint="eastAsia"/>
                      <w:bCs/>
                      <w:color w:val="auto"/>
                      <w:sz w:val="18"/>
                      <w:szCs w:val="18"/>
                    </w:rPr>
                    <w:t>6</w:t>
                  </w:r>
                </w:p>
              </w:tc>
              <w:tc>
                <w:tcPr>
                  <w:tcW w:w="588" w:type="pct"/>
                  <w:vAlign w:val="center"/>
                </w:tcPr>
                <w:p>
                  <w:pPr>
                    <w:pStyle w:val="87"/>
                    <w:spacing w:line="240" w:lineRule="auto"/>
                    <w:rPr>
                      <w:color w:val="auto"/>
                      <w:sz w:val="18"/>
                      <w:szCs w:val="18"/>
                    </w:rPr>
                  </w:pPr>
                  <w:r>
                    <w:rPr>
                      <w:rFonts w:hint="eastAsia"/>
                      <w:color w:val="auto"/>
                      <w:sz w:val="18"/>
                      <w:szCs w:val="18"/>
                    </w:rPr>
                    <w:t>PP</w:t>
                  </w:r>
                </w:p>
              </w:tc>
              <w:tc>
                <w:tcPr>
                  <w:tcW w:w="1326" w:type="pct"/>
                  <w:vAlign w:val="center"/>
                </w:tcPr>
                <w:p>
                  <w:pPr>
                    <w:jc w:val="center"/>
                    <w:rPr>
                      <w:bCs/>
                      <w:color w:val="auto"/>
                      <w:sz w:val="18"/>
                      <w:szCs w:val="18"/>
                    </w:rPr>
                  </w:pPr>
                  <w:r>
                    <w:rPr>
                      <w:rFonts w:hint="eastAsia"/>
                      <w:color w:val="auto"/>
                      <w:sz w:val="18"/>
                      <w:szCs w:val="18"/>
                    </w:rPr>
                    <w:t>聚丙烯</w:t>
                  </w:r>
                </w:p>
              </w:tc>
              <w:tc>
                <w:tcPr>
                  <w:tcW w:w="441" w:type="pct"/>
                  <w:vAlign w:val="center"/>
                </w:tcPr>
                <w:p>
                  <w:pPr>
                    <w:jc w:val="center"/>
                    <w:rPr>
                      <w:bCs/>
                      <w:color w:val="auto"/>
                      <w:sz w:val="18"/>
                      <w:szCs w:val="18"/>
                    </w:rPr>
                  </w:pPr>
                  <w:r>
                    <w:rPr>
                      <w:rFonts w:hint="eastAsia"/>
                      <w:bCs/>
                      <w:color w:val="auto"/>
                      <w:sz w:val="18"/>
                      <w:szCs w:val="18"/>
                    </w:rPr>
                    <w:t>0</w:t>
                  </w:r>
                </w:p>
              </w:tc>
              <w:tc>
                <w:tcPr>
                  <w:tcW w:w="363" w:type="pct"/>
                  <w:vAlign w:val="center"/>
                </w:tcPr>
                <w:p>
                  <w:pPr>
                    <w:jc w:val="center"/>
                    <w:rPr>
                      <w:bCs/>
                      <w:color w:val="auto"/>
                      <w:sz w:val="18"/>
                      <w:szCs w:val="18"/>
                    </w:rPr>
                  </w:pPr>
                  <w:r>
                    <w:rPr>
                      <w:rFonts w:hint="eastAsia"/>
                      <w:bCs/>
                      <w:color w:val="auto"/>
                      <w:sz w:val="18"/>
                      <w:szCs w:val="18"/>
                    </w:rPr>
                    <w:t>15</w:t>
                  </w:r>
                </w:p>
              </w:tc>
              <w:tc>
                <w:tcPr>
                  <w:tcW w:w="364" w:type="pct"/>
                  <w:vAlign w:val="center"/>
                </w:tcPr>
                <w:p>
                  <w:pPr>
                    <w:jc w:val="center"/>
                    <w:rPr>
                      <w:bCs/>
                      <w:color w:val="auto"/>
                      <w:sz w:val="18"/>
                      <w:szCs w:val="18"/>
                    </w:rPr>
                  </w:pPr>
                  <w:r>
                    <w:rPr>
                      <w:rFonts w:hint="eastAsia"/>
                      <w:bCs/>
                      <w:color w:val="auto"/>
                      <w:sz w:val="18"/>
                      <w:szCs w:val="18"/>
                    </w:rPr>
                    <w:t>+15</w:t>
                  </w:r>
                </w:p>
              </w:tc>
              <w:tc>
                <w:tcPr>
                  <w:tcW w:w="427" w:type="pct"/>
                  <w:vMerge w:val="restart"/>
                  <w:vAlign w:val="center"/>
                </w:tcPr>
                <w:p>
                  <w:pPr>
                    <w:jc w:val="center"/>
                    <w:rPr>
                      <w:bCs/>
                      <w:color w:val="auto"/>
                      <w:sz w:val="18"/>
                      <w:szCs w:val="18"/>
                    </w:rPr>
                  </w:pPr>
                  <w:r>
                    <w:rPr>
                      <w:rFonts w:hint="eastAsia"/>
                      <w:bCs/>
                      <w:color w:val="auto"/>
                      <w:sz w:val="18"/>
                      <w:szCs w:val="18"/>
                    </w:rPr>
                    <w:t>注塑</w:t>
                  </w:r>
                </w:p>
              </w:tc>
              <w:tc>
                <w:tcPr>
                  <w:tcW w:w="349" w:type="pct"/>
                  <w:vAlign w:val="center"/>
                </w:tcPr>
                <w:p>
                  <w:pPr>
                    <w:jc w:val="center"/>
                    <w:rPr>
                      <w:bCs/>
                      <w:color w:val="auto"/>
                      <w:sz w:val="18"/>
                      <w:szCs w:val="18"/>
                    </w:rPr>
                  </w:pPr>
                  <w:r>
                    <w:rPr>
                      <w:rFonts w:hint="eastAsia"/>
                      <w:bCs/>
                      <w:color w:val="auto"/>
                      <w:sz w:val="18"/>
                      <w:szCs w:val="18"/>
                    </w:rPr>
                    <w:t>固态</w:t>
                  </w:r>
                </w:p>
              </w:tc>
              <w:tc>
                <w:tcPr>
                  <w:tcW w:w="389" w:type="pct"/>
                  <w:vAlign w:val="center"/>
                </w:tcPr>
                <w:p>
                  <w:pPr>
                    <w:jc w:val="center"/>
                    <w:rPr>
                      <w:bCs/>
                      <w:color w:val="auto"/>
                      <w:sz w:val="18"/>
                      <w:szCs w:val="18"/>
                    </w:rPr>
                  </w:pPr>
                  <w:r>
                    <w:rPr>
                      <w:rFonts w:hint="eastAsia"/>
                      <w:bCs/>
                      <w:color w:val="auto"/>
                      <w:sz w:val="18"/>
                      <w:szCs w:val="18"/>
                    </w:rPr>
                    <w:t>原料仓库</w:t>
                  </w:r>
                </w:p>
              </w:tc>
              <w:tc>
                <w:tcPr>
                  <w:tcW w:w="479" w:type="pct"/>
                  <w:vAlign w:val="center"/>
                </w:tcPr>
                <w:p>
                  <w:pPr>
                    <w:jc w:val="center"/>
                    <w:rPr>
                      <w:bCs/>
                      <w:color w:val="auto"/>
                      <w:sz w:val="18"/>
                      <w:szCs w:val="18"/>
                    </w:rPr>
                  </w:pPr>
                  <w:r>
                    <w:rPr>
                      <w:rFonts w:hint="eastAsia"/>
                      <w:bCs/>
                      <w:color w:val="auto"/>
                      <w:sz w:val="18"/>
                      <w:szCs w:val="18"/>
                    </w:rPr>
                    <w:t>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00" w:type="dxa"/>
                  <w:vAlign w:val="center"/>
                </w:tcPr>
                <w:p>
                  <w:pPr>
                    <w:jc w:val="center"/>
                    <w:rPr>
                      <w:bCs/>
                      <w:color w:val="auto"/>
                      <w:sz w:val="18"/>
                      <w:szCs w:val="18"/>
                    </w:rPr>
                  </w:pPr>
                  <w:r>
                    <w:rPr>
                      <w:rFonts w:hint="eastAsia"/>
                      <w:bCs/>
                      <w:color w:val="auto"/>
                      <w:sz w:val="18"/>
                      <w:szCs w:val="18"/>
                    </w:rPr>
                    <w:t>7</w:t>
                  </w:r>
                </w:p>
              </w:tc>
              <w:tc>
                <w:tcPr>
                  <w:tcW w:w="588" w:type="pct"/>
                  <w:vAlign w:val="center"/>
                </w:tcPr>
                <w:p>
                  <w:pPr>
                    <w:pStyle w:val="87"/>
                    <w:spacing w:line="240" w:lineRule="auto"/>
                    <w:rPr>
                      <w:rFonts w:hint="default" w:eastAsia="宋体"/>
                      <w:color w:val="auto"/>
                      <w:sz w:val="18"/>
                      <w:szCs w:val="18"/>
                      <w:highlight w:val="none"/>
                      <w:lang w:val="en-US" w:eastAsia="zh-CN"/>
                    </w:rPr>
                  </w:pPr>
                  <w:r>
                    <w:rPr>
                      <w:rFonts w:hint="eastAsia"/>
                      <w:color w:val="auto"/>
                      <w:sz w:val="18"/>
                      <w:szCs w:val="18"/>
                      <w:highlight w:val="none"/>
                      <w:lang w:val="en-US" w:eastAsia="zh-CN"/>
                    </w:rPr>
                    <w:t>PE</w:t>
                  </w:r>
                </w:p>
              </w:tc>
              <w:tc>
                <w:tcPr>
                  <w:tcW w:w="1326" w:type="pct"/>
                  <w:vAlign w:val="center"/>
                </w:tcPr>
                <w:p>
                  <w:pPr>
                    <w:jc w:val="center"/>
                    <w:rPr>
                      <w:color w:val="auto"/>
                      <w:sz w:val="18"/>
                      <w:szCs w:val="18"/>
                      <w:highlight w:val="none"/>
                    </w:rPr>
                  </w:pPr>
                  <w:r>
                    <w:rPr>
                      <w:rFonts w:hint="eastAsia"/>
                      <w:color w:val="auto"/>
                      <w:sz w:val="18"/>
                      <w:szCs w:val="18"/>
                      <w:highlight w:val="none"/>
                    </w:rPr>
                    <w:t>聚</w:t>
                  </w:r>
                  <w:r>
                    <w:rPr>
                      <w:rFonts w:hint="eastAsia"/>
                      <w:color w:val="auto"/>
                      <w:sz w:val="18"/>
                      <w:szCs w:val="18"/>
                      <w:highlight w:val="none"/>
                      <w:lang w:val="en-US" w:eastAsia="zh-CN"/>
                    </w:rPr>
                    <w:t>乙烯</w:t>
                  </w:r>
                </w:p>
              </w:tc>
              <w:tc>
                <w:tcPr>
                  <w:tcW w:w="441" w:type="pct"/>
                  <w:vAlign w:val="center"/>
                </w:tcPr>
                <w:p>
                  <w:pPr>
                    <w:jc w:val="center"/>
                    <w:rPr>
                      <w:bCs/>
                      <w:color w:val="auto"/>
                      <w:sz w:val="18"/>
                      <w:szCs w:val="18"/>
                    </w:rPr>
                  </w:pPr>
                  <w:r>
                    <w:rPr>
                      <w:rFonts w:hint="eastAsia"/>
                      <w:bCs/>
                      <w:color w:val="auto"/>
                      <w:sz w:val="18"/>
                      <w:szCs w:val="18"/>
                    </w:rPr>
                    <w:t>0</w:t>
                  </w:r>
                </w:p>
              </w:tc>
              <w:tc>
                <w:tcPr>
                  <w:tcW w:w="363" w:type="pct"/>
                  <w:vAlign w:val="center"/>
                </w:tcPr>
                <w:p>
                  <w:pPr>
                    <w:jc w:val="center"/>
                    <w:rPr>
                      <w:bCs/>
                      <w:color w:val="auto"/>
                      <w:sz w:val="18"/>
                      <w:szCs w:val="18"/>
                    </w:rPr>
                  </w:pPr>
                  <w:r>
                    <w:rPr>
                      <w:rFonts w:hint="eastAsia"/>
                      <w:bCs/>
                      <w:color w:val="auto"/>
                      <w:sz w:val="18"/>
                      <w:szCs w:val="18"/>
                    </w:rPr>
                    <w:t>15</w:t>
                  </w:r>
                </w:p>
              </w:tc>
              <w:tc>
                <w:tcPr>
                  <w:tcW w:w="364" w:type="pct"/>
                  <w:vAlign w:val="center"/>
                </w:tcPr>
                <w:p>
                  <w:pPr>
                    <w:jc w:val="center"/>
                    <w:rPr>
                      <w:bCs/>
                      <w:color w:val="auto"/>
                      <w:sz w:val="18"/>
                      <w:szCs w:val="18"/>
                    </w:rPr>
                  </w:pPr>
                  <w:r>
                    <w:rPr>
                      <w:rFonts w:hint="eastAsia"/>
                      <w:bCs/>
                      <w:color w:val="auto"/>
                      <w:sz w:val="18"/>
                      <w:szCs w:val="18"/>
                    </w:rPr>
                    <w:t>+15</w:t>
                  </w:r>
                </w:p>
              </w:tc>
              <w:tc>
                <w:tcPr>
                  <w:tcW w:w="427" w:type="pct"/>
                  <w:vMerge w:val="continue"/>
                  <w:vAlign w:val="center"/>
                </w:tcPr>
                <w:p>
                  <w:pPr>
                    <w:jc w:val="center"/>
                    <w:rPr>
                      <w:bCs/>
                      <w:color w:val="auto"/>
                      <w:sz w:val="18"/>
                      <w:szCs w:val="18"/>
                    </w:rPr>
                  </w:pPr>
                </w:p>
              </w:tc>
              <w:tc>
                <w:tcPr>
                  <w:tcW w:w="349" w:type="pct"/>
                  <w:vAlign w:val="center"/>
                </w:tcPr>
                <w:p>
                  <w:pPr>
                    <w:jc w:val="center"/>
                    <w:rPr>
                      <w:bCs/>
                      <w:color w:val="auto"/>
                      <w:sz w:val="18"/>
                      <w:szCs w:val="18"/>
                    </w:rPr>
                  </w:pPr>
                  <w:r>
                    <w:rPr>
                      <w:rFonts w:hint="eastAsia"/>
                      <w:bCs/>
                      <w:color w:val="auto"/>
                      <w:sz w:val="18"/>
                      <w:szCs w:val="18"/>
                    </w:rPr>
                    <w:t>固态</w:t>
                  </w:r>
                </w:p>
              </w:tc>
              <w:tc>
                <w:tcPr>
                  <w:tcW w:w="389" w:type="pct"/>
                  <w:vAlign w:val="center"/>
                </w:tcPr>
                <w:p>
                  <w:pPr>
                    <w:jc w:val="center"/>
                    <w:rPr>
                      <w:bCs/>
                      <w:color w:val="auto"/>
                      <w:sz w:val="18"/>
                      <w:szCs w:val="18"/>
                    </w:rPr>
                  </w:pPr>
                  <w:r>
                    <w:rPr>
                      <w:rFonts w:hint="eastAsia"/>
                      <w:bCs/>
                      <w:color w:val="auto"/>
                      <w:sz w:val="18"/>
                      <w:szCs w:val="18"/>
                    </w:rPr>
                    <w:t>原料仓库</w:t>
                  </w:r>
                </w:p>
              </w:tc>
              <w:tc>
                <w:tcPr>
                  <w:tcW w:w="479" w:type="pct"/>
                  <w:vAlign w:val="center"/>
                </w:tcPr>
                <w:p>
                  <w:pPr>
                    <w:jc w:val="center"/>
                    <w:rPr>
                      <w:bCs/>
                      <w:color w:val="auto"/>
                      <w:sz w:val="18"/>
                      <w:szCs w:val="18"/>
                    </w:rPr>
                  </w:pPr>
                  <w:r>
                    <w:rPr>
                      <w:rFonts w:hint="eastAsia"/>
                      <w:bCs/>
                      <w:color w:val="auto"/>
                      <w:sz w:val="18"/>
                      <w:szCs w:val="18"/>
                    </w:rPr>
                    <w:t>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500" w:type="dxa"/>
                  <w:vAlign w:val="center"/>
                </w:tcPr>
                <w:p>
                  <w:pPr>
                    <w:jc w:val="center"/>
                    <w:rPr>
                      <w:bCs/>
                      <w:color w:val="auto"/>
                      <w:sz w:val="18"/>
                      <w:szCs w:val="18"/>
                    </w:rPr>
                  </w:pPr>
                  <w:r>
                    <w:rPr>
                      <w:rFonts w:hint="eastAsia"/>
                      <w:bCs/>
                      <w:color w:val="auto"/>
                      <w:sz w:val="18"/>
                      <w:szCs w:val="18"/>
                    </w:rPr>
                    <w:t>8</w:t>
                  </w:r>
                </w:p>
              </w:tc>
              <w:tc>
                <w:tcPr>
                  <w:tcW w:w="588" w:type="pct"/>
                  <w:vAlign w:val="center"/>
                </w:tcPr>
                <w:p>
                  <w:pPr>
                    <w:pStyle w:val="87"/>
                    <w:spacing w:line="240" w:lineRule="auto"/>
                    <w:rPr>
                      <w:color w:val="auto"/>
                      <w:sz w:val="18"/>
                      <w:szCs w:val="18"/>
                    </w:rPr>
                  </w:pPr>
                  <w:r>
                    <w:rPr>
                      <w:rFonts w:hint="eastAsia"/>
                      <w:color w:val="auto"/>
                      <w:sz w:val="18"/>
                      <w:szCs w:val="18"/>
                    </w:rPr>
                    <w:t>色母粒</w:t>
                  </w:r>
                </w:p>
              </w:tc>
              <w:tc>
                <w:tcPr>
                  <w:tcW w:w="1326" w:type="pct"/>
                  <w:vAlign w:val="center"/>
                </w:tcPr>
                <w:p>
                  <w:pPr>
                    <w:jc w:val="center"/>
                    <w:rPr>
                      <w:bCs/>
                      <w:color w:val="auto"/>
                      <w:sz w:val="18"/>
                      <w:szCs w:val="18"/>
                    </w:rPr>
                  </w:pPr>
                  <w:r>
                    <w:rPr>
                      <w:color w:val="auto"/>
                      <w:sz w:val="18"/>
                      <w:szCs w:val="18"/>
                    </w:rPr>
                    <w:t>含颜料成分的塑料颗粒</w:t>
                  </w:r>
                </w:p>
              </w:tc>
              <w:tc>
                <w:tcPr>
                  <w:tcW w:w="441" w:type="pct"/>
                  <w:vAlign w:val="center"/>
                </w:tcPr>
                <w:p>
                  <w:pPr>
                    <w:jc w:val="center"/>
                    <w:rPr>
                      <w:bCs/>
                      <w:color w:val="auto"/>
                      <w:sz w:val="18"/>
                      <w:szCs w:val="18"/>
                    </w:rPr>
                  </w:pPr>
                  <w:r>
                    <w:rPr>
                      <w:rFonts w:hint="eastAsia"/>
                      <w:bCs/>
                      <w:color w:val="auto"/>
                      <w:sz w:val="18"/>
                      <w:szCs w:val="18"/>
                    </w:rPr>
                    <w:t>0</w:t>
                  </w:r>
                </w:p>
              </w:tc>
              <w:tc>
                <w:tcPr>
                  <w:tcW w:w="363" w:type="pct"/>
                  <w:vAlign w:val="center"/>
                </w:tcPr>
                <w:p>
                  <w:pPr>
                    <w:jc w:val="center"/>
                    <w:rPr>
                      <w:bCs/>
                      <w:color w:val="auto"/>
                      <w:sz w:val="18"/>
                      <w:szCs w:val="18"/>
                    </w:rPr>
                  </w:pPr>
                  <w:r>
                    <w:rPr>
                      <w:rFonts w:hint="eastAsia"/>
                      <w:bCs/>
                      <w:color w:val="auto"/>
                      <w:sz w:val="18"/>
                      <w:szCs w:val="18"/>
                    </w:rPr>
                    <w:t>1</w:t>
                  </w:r>
                </w:p>
              </w:tc>
              <w:tc>
                <w:tcPr>
                  <w:tcW w:w="364" w:type="pct"/>
                  <w:vAlign w:val="center"/>
                </w:tcPr>
                <w:p>
                  <w:pPr>
                    <w:jc w:val="center"/>
                    <w:rPr>
                      <w:bCs/>
                      <w:color w:val="auto"/>
                      <w:sz w:val="18"/>
                      <w:szCs w:val="18"/>
                    </w:rPr>
                  </w:pPr>
                  <w:r>
                    <w:rPr>
                      <w:rFonts w:hint="eastAsia"/>
                      <w:bCs/>
                      <w:color w:val="auto"/>
                      <w:sz w:val="18"/>
                      <w:szCs w:val="18"/>
                    </w:rPr>
                    <w:t>+1</w:t>
                  </w:r>
                </w:p>
              </w:tc>
              <w:tc>
                <w:tcPr>
                  <w:tcW w:w="427" w:type="pct"/>
                  <w:vMerge w:val="continue"/>
                  <w:vAlign w:val="center"/>
                </w:tcPr>
                <w:p>
                  <w:pPr>
                    <w:jc w:val="center"/>
                    <w:rPr>
                      <w:bCs/>
                      <w:color w:val="auto"/>
                      <w:sz w:val="18"/>
                      <w:szCs w:val="18"/>
                    </w:rPr>
                  </w:pPr>
                </w:p>
              </w:tc>
              <w:tc>
                <w:tcPr>
                  <w:tcW w:w="349" w:type="pct"/>
                  <w:vAlign w:val="center"/>
                </w:tcPr>
                <w:p>
                  <w:pPr>
                    <w:jc w:val="center"/>
                    <w:rPr>
                      <w:bCs/>
                      <w:color w:val="auto"/>
                      <w:sz w:val="18"/>
                      <w:szCs w:val="18"/>
                    </w:rPr>
                  </w:pPr>
                  <w:r>
                    <w:rPr>
                      <w:rFonts w:hint="eastAsia"/>
                      <w:bCs/>
                      <w:color w:val="auto"/>
                      <w:sz w:val="18"/>
                      <w:szCs w:val="18"/>
                    </w:rPr>
                    <w:t>固态</w:t>
                  </w:r>
                </w:p>
              </w:tc>
              <w:tc>
                <w:tcPr>
                  <w:tcW w:w="389" w:type="pct"/>
                  <w:vAlign w:val="center"/>
                </w:tcPr>
                <w:p>
                  <w:pPr>
                    <w:jc w:val="center"/>
                    <w:rPr>
                      <w:bCs/>
                      <w:color w:val="auto"/>
                      <w:sz w:val="18"/>
                      <w:szCs w:val="18"/>
                    </w:rPr>
                  </w:pPr>
                  <w:r>
                    <w:rPr>
                      <w:rFonts w:hint="eastAsia"/>
                      <w:bCs/>
                      <w:color w:val="auto"/>
                      <w:sz w:val="18"/>
                      <w:szCs w:val="18"/>
                    </w:rPr>
                    <w:t>原料仓库</w:t>
                  </w:r>
                </w:p>
              </w:tc>
              <w:tc>
                <w:tcPr>
                  <w:tcW w:w="479" w:type="pct"/>
                  <w:vAlign w:val="center"/>
                </w:tcPr>
                <w:p>
                  <w:pPr>
                    <w:jc w:val="center"/>
                    <w:rPr>
                      <w:bCs/>
                      <w:color w:val="auto"/>
                      <w:sz w:val="18"/>
                      <w:szCs w:val="18"/>
                    </w:rPr>
                  </w:pPr>
                  <w:r>
                    <w:rPr>
                      <w:rFonts w:hint="eastAsia"/>
                      <w:bCs/>
                      <w:color w:val="auto"/>
                      <w:sz w:val="18"/>
                      <w:szCs w:val="18"/>
                    </w:rPr>
                    <w:t>0.5</w:t>
                  </w:r>
                </w:p>
              </w:tc>
            </w:tr>
          </w:tbl>
          <w:p>
            <w:pPr>
              <w:adjustRightInd w:val="0"/>
              <w:snapToGrid w:val="0"/>
              <w:spacing w:before="120" w:beforeLines="50" w:line="360" w:lineRule="auto"/>
              <w:ind w:firstLine="420" w:firstLineChars="200"/>
              <w:jc w:val="left"/>
              <w:rPr>
                <w:color w:val="auto"/>
                <w:szCs w:val="21"/>
              </w:rPr>
            </w:pPr>
            <w:r>
              <w:rPr>
                <w:bCs/>
                <w:color w:val="auto"/>
                <w:szCs w:val="21"/>
              </w:rPr>
              <w:t>（2）</w:t>
            </w:r>
            <w:r>
              <w:rPr>
                <w:color w:val="auto"/>
                <w:szCs w:val="21"/>
              </w:rPr>
              <w:t>理化性质</w:t>
            </w:r>
          </w:p>
          <w:p>
            <w:pPr>
              <w:jc w:val="center"/>
              <w:rPr>
                <w:b/>
                <w:color w:val="auto"/>
                <w:szCs w:val="21"/>
              </w:rPr>
            </w:pPr>
            <w:r>
              <w:rPr>
                <w:b/>
                <w:color w:val="auto"/>
                <w:szCs w:val="21"/>
              </w:rPr>
              <w:t>表2-5  本项目原辅材料理化性质表</w:t>
            </w:r>
          </w:p>
          <w:tbl>
            <w:tblPr>
              <w:tblStyle w:val="37"/>
              <w:tblpPr w:leftFromText="180" w:rightFromText="180" w:vertAnchor="text" w:tblpXSpec="center" w:tblpY="1"/>
              <w:tblOverlap w:val="never"/>
              <w:tblW w:w="4993"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97"/>
              <w:gridCol w:w="1162"/>
              <w:gridCol w:w="4842"/>
              <w:gridCol w:w="1242"/>
              <w:gridCol w:w="165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0" w:hRule="atLeast"/>
              </w:trPr>
              <w:tc>
                <w:tcPr>
                  <w:tcW w:w="213" w:type="pct"/>
                  <w:vAlign w:val="center"/>
                </w:tcPr>
                <w:p>
                  <w:pPr>
                    <w:spacing w:line="240" w:lineRule="exact"/>
                    <w:jc w:val="center"/>
                    <w:rPr>
                      <w:rFonts w:ascii="宋体" w:hAnsi="宋体"/>
                      <w:b/>
                      <w:bCs/>
                      <w:color w:val="auto"/>
                      <w:sz w:val="18"/>
                      <w:szCs w:val="18"/>
                    </w:rPr>
                  </w:pPr>
                  <w:r>
                    <w:rPr>
                      <w:rFonts w:hint="eastAsia" w:ascii="宋体" w:hAnsi="宋体"/>
                      <w:b/>
                      <w:bCs/>
                      <w:color w:val="auto"/>
                      <w:sz w:val="18"/>
                      <w:szCs w:val="18"/>
                    </w:rPr>
                    <w:t>序号</w:t>
                  </w:r>
                </w:p>
              </w:tc>
              <w:tc>
                <w:tcPr>
                  <w:tcW w:w="625" w:type="pct"/>
                  <w:vAlign w:val="center"/>
                </w:tcPr>
                <w:p>
                  <w:pPr>
                    <w:spacing w:line="240" w:lineRule="exact"/>
                    <w:jc w:val="center"/>
                    <w:rPr>
                      <w:rFonts w:ascii="宋体" w:hAnsi="宋体"/>
                      <w:b/>
                      <w:bCs/>
                      <w:color w:val="auto"/>
                      <w:sz w:val="18"/>
                      <w:szCs w:val="18"/>
                    </w:rPr>
                  </w:pPr>
                  <w:r>
                    <w:rPr>
                      <w:rFonts w:hint="eastAsia" w:ascii="宋体" w:hAnsi="宋体"/>
                      <w:b/>
                      <w:bCs/>
                      <w:color w:val="auto"/>
                      <w:sz w:val="18"/>
                      <w:szCs w:val="18"/>
                    </w:rPr>
                    <w:t>原料名称</w:t>
                  </w:r>
                </w:p>
              </w:tc>
              <w:tc>
                <w:tcPr>
                  <w:tcW w:w="2603" w:type="pct"/>
                  <w:vAlign w:val="center"/>
                </w:tcPr>
                <w:p>
                  <w:pPr>
                    <w:spacing w:line="240" w:lineRule="exact"/>
                    <w:jc w:val="center"/>
                    <w:rPr>
                      <w:rFonts w:ascii="宋体" w:hAnsi="宋体"/>
                      <w:b/>
                      <w:bCs/>
                      <w:color w:val="auto"/>
                      <w:sz w:val="18"/>
                      <w:szCs w:val="18"/>
                    </w:rPr>
                  </w:pPr>
                  <w:r>
                    <w:rPr>
                      <w:rFonts w:hint="eastAsia" w:ascii="宋体" w:hAnsi="宋体"/>
                      <w:b/>
                      <w:bCs/>
                      <w:color w:val="auto"/>
                      <w:sz w:val="18"/>
                      <w:szCs w:val="18"/>
                    </w:rPr>
                    <w:t>理化特性</w:t>
                  </w:r>
                </w:p>
              </w:tc>
              <w:tc>
                <w:tcPr>
                  <w:tcW w:w="668" w:type="pct"/>
                  <w:vAlign w:val="center"/>
                </w:tcPr>
                <w:p>
                  <w:pPr>
                    <w:spacing w:line="240" w:lineRule="exact"/>
                    <w:jc w:val="center"/>
                    <w:rPr>
                      <w:rFonts w:ascii="宋体" w:hAnsi="宋体"/>
                      <w:b/>
                      <w:bCs/>
                      <w:color w:val="auto"/>
                      <w:sz w:val="18"/>
                      <w:szCs w:val="18"/>
                    </w:rPr>
                  </w:pPr>
                  <w:r>
                    <w:rPr>
                      <w:rFonts w:hint="eastAsia" w:ascii="宋体" w:hAnsi="宋体"/>
                      <w:b/>
                      <w:bCs/>
                      <w:color w:val="auto"/>
                      <w:sz w:val="18"/>
                      <w:szCs w:val="18"/>
                    </w:rPr>
                    <w:t>燃烧爆炸性</w:t>
                  </w:r>
                </w:p>
              </w:tc>
              <w:tc>
                <w:tcPr>
                  <w:tcW w:w="890" w:type="pct"/>
                  <w:vAlign w:val="center"/>
                </w:tcPr>
                <w:p>
                  <w:pPr>
                    <w:spacing w:line="240" w:lineRule="exact"/>
                    <w:jc w:val="center"/>
                    <w:rPr>
                      <w:rFonts w:ascii="宋体" w:hAnsi="宋体"/>
                      <w:b/>
                      <w:bCs/>
                      <w:color w:val="auto"/>
                      <w:sz w:val="18"/>
                      <w:szCs w:val="18"/>
                    </w:rPr>
                  </w:pPr>
                  <w:r>
                    <w:rPr>
                      <w:rFonts w:hint="eastAsia" w:ascii="宋体" w:hAnsi="宋体"/>
                      <w:b/>
                      <w:bCs/>
                      <w:color w:val="auto"/>
                      <w:sz w:val="18"/>
                      <w:szCs w:val="18"/>
                    </w:rPr>
                    <w:t>毒性毒理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13" w:type="pct"/>
                  <w:vAlign w:val="center"/>
                </w:tcPr>
                <w:p>
                  <w:pPr>
                    <w:spacing w:line="240" w:lineRule="exact"/>
                    <w:jc w:val="center"/>
                    <w:rPr>
                      <w:rFonts w:ascii="宋体" w:hAnsi="宋体"/>
                      <w:color w:val="auto"/>
                      <w:sz w:val="18"/>
                      <w:szCs w:val="18"/>
                    </w:rPr>
                  </w:pPr>
                  <w:r>
                    <w:rPr>
                      <w:rFonts w:hint="eastAsia" w:ascii="宋体" w:hAnsi="宋体"/>
                      <w:color w:val="auto"/>
                      <w:sz w:val="18"/>
                      <w:szCs w:val="18"/>
                    </w:rPr>
                    <w:t>1</w:t>
                  </w:r>
                </w:p>
              </w:tc>
              <w:tc>
                <w:tcPr>
                  <w:tcW w:w="625" w:type="pct"/>
                  <w:vAlign w:val="center"/>
                </w:tcPr>
                <w:p>
                  <w:pPr>
                    <w:spacing w:line="240" w:lineRule="exact"/>
                    <w:jc w:val="center"/>
                    <w:rPr>
                      <w:rFonts w:ascii="宋体" w:hAnsi="宋体"/>
                      <w:color w:val="auto"/>
                      <w:sz w:val="18"/>
                      <w:szCs w:val="18"/>
                    </w:rPr>
                  </w:pPr>
                  <w:r>
                    <w:rPr>
                      <w:rFonts w:hint="eastAsia" w:ascii="宋体" w:hAnsi="宋体"/>
                      <w:color w:val="auto"/>
                      <w:sz w:val="18"/>
                      <w:szCs w:val="18"/>
                      <w:lang w:val="en-US" w:eastAsia="zh-CN"/>
                    </w:rPr>
                    <w:t>丁基</w:t>
                  </w:r>
                  <w:r>
                    <w:rPr>
                      <w:rFonts w:hint="eastAsia" w:ascii="宋体" w:hAnsi="宋体"/>
                      <w:color w:val="auto"/>
                      <w:sz w:val="18"/>
                      <w:szCs w:val="18"/>
                    </w:rPr>
                    <w:t>胶</w:t>
                  </w:r>
                </w:p>
              </w:tc>
              <w:tc>
                <w:tcPr>
                  <w:tcW w:w="2603" w:type="pct"/>
                  <w:vAlign w:val="center"/>
                </w:tcPr>
                <w:p>
                  <w:pPr>
                    <w:spacing w:line="240" w:lineRule="exact"/>
                    <w:rPr>
                      <w:rFonts w:hint="eastAsia" w:ascii="宋体" w:hAnsi="宋体" w:eastAsia="宋体"/>
                      <w:color w:val="auto"/>
                      <w:sz w:val="18"/>
                      <w:szCs w:val="18"/>
                      <w:lang w:eastAsia="zh-CN"/>
                    </w:rPr>
                  </w:pPr>
                  <w:r>
                    <w:rPr>
                      <w:rFonts w:hint="eastAsia" w:ascii="宋体" w:hAnsi="宋体"/>
                      <w:color w:val="auto"/>
                      <w:sz w:val="18"/>
                      <w:szCs w:val="18"/>
                    </w:rPr>
                    <w:t>由异丁烯和少量异戊二烯合成。气密性好。它还能耐热、耐臭氧、耐老化、耐化学药品，并有吸震、电绝缘性能。互粘性差，须借助于增粘剂、增粘层改善与其它橡胶的粘合， 且粘合力较低</w:t>
                  </w:r>
                  <w:r>
                    <w:rPr>
                      <w:rFonts w:hint="eastAsia" w:ascii="宋体" w:hAnsi="宋体"/>
                      <w:color w:val="auto"/>
                      <w:sz w:val="18"/>
                      <w:szCs w:val="18"/>
                      <w:lang w:eastAsia="zh-CN"/>
                    </w:rPr>
                    <w:t>。</w:t>
                  </w:r>
                </w:p>
              </w:tc>
              <w:tc>
                <w:tcPr>
                  <w:tcW w:w="668" w:type="pct"/>
                  <w:vAlign w:val="center"/>
                </w:tcPr>
                <w:p>
                  <w:pPr>
                    <w:spacing w:line="240" w:lineRule="exact"/>
                    <w:jc w:val="center"/>
                    <w:rPr>
                      <w:rFonts w:ascii="宋体" w:hAnsi="宋体"/>
                      <w:color w:val="auto"/>
                      <w:sz w:val="18"/>
                      <w:szCs w:val="18"/>
                    </w:rPr>
                  </w:pPr>
                  <w:r>
                    <w:rPr>
                      <w:rFonts w:hint="eastAsia" w:ascii="宋体" w:hAnsi="宋体"/>
                      <w:color w:val="auto"/>
                      <w:sz w:val="18"/>
                      <w:szCs w:val="18"/>
                    </w:rPr>
                    <w:t>可燃</w:t>
                  </w:r>
                </w:p>
              </w:tc>
              <w:tc>
                <w:tcPr>
                  <w:tcW w:w="890" w:type="pct"/>
                  <w:vAlign w:val="center"/>
                </w:tcPr>
                <w:p>
                  <w:pPr>
                    <w:spacing w:line="240" w:lineRule="exact"/>
                    <w:jc w:val="center"/>
                    <w:rPr>
                      <w:rFonts w:ascii="宋体" w:hAnsi="宋体"/>
                      <w:color w:val="auto"/>
                      <w:sz w:val="18"/>
                      <w:szCs w:val="18"/>
                    </w:rPr>
                  </w:pPr>
                  <w:r>
                    <w:rPr>
                      <w:rFonts w:hint="eastAsia" w:ascii="宋体" w:hAnsi="宋体"/>
                      <w:color w:val="auto"/>
                      <w:sz w:val="18"/>
                      <w:szCs w:val="18"/>
                    </w:rPr>
                    <w:t>无毒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13" w:type="pct"/>
                  <w:vAlign w:val="center"/>
                </w:tcPr>
                <w:p>
                  <w:pPr>
                    <w:spacing w:line="240" w:lineRule="exact"/>
                    <w:jc w:val="center"/>
                    <w:rPr>
                      <w:rFonts w:ascii="宋体" w:hAnsi="宋体"/>
                      <w:color w:val="auto"/>
                      <w:sz w:val="18"/>
                      <w:szCs w:val="18"/>
                    </w:rPr>
                  </w:pPr>
                  <w:r>
                    <w:rPr>
                      <w:rFonts w:hint="eastAsia" w:ascii="宋体" w:hAnsi="宋体"/>
                      <w:color w:val="auto"/>
                      <w:sz w:val="18"/>
                      <w:szCs w:val="18"/>
                    </w:rPr>
                    <w:t>2</w:t>
                  </w:r>
                </w:p>
              </w:tc>
              <w:tc>
                <w:tcPr>
                  <w:tcW w:w="625" w:type="pct"/>
                  <w:vAlign w:val="center"/>
                </w:tcPr>
                <w:p>
                  <w:pPr>
                    <w:jc w:val="center"/>
                    <w:rPr>
                      <w:rFonts w:ascii="宋体" w:hAnsi="宋体"/>
                      <w:color w:val="auto"/>
                      <w:sz w:val="18"/>
                      <w:szCs w:val="18"/>
                    </w:rPr>
                  </w:pPr>
                  <w:r>
                    <w:rPr>
                      <w:rFonts w:hint="eastAsia" w:ascii="宋体" w:hAnsi="宋体"/>
                      <w:color w:val="auto"/>
                      <w:sz w:val="18"/>
                      <w:szCs w:val="18"/>
                    </w:rPr>
                    <w:t>硬脂酸</w:t>
                  </w:r>
                </w:p>
              </w:tc>
              <w:tc>
                <w:tcPr>
                  <w:tcW w:w="2603" w:type="pct"/>
                  <w:vAlign w:val="center"/>
                </w:tcPr>
                <w:p>
                  <w:pPr>
                    <w:widowControl/>
                    <w:shd w:val="clear" w:color="auto" w:fill="FFFFFF"/>
                    <w:autoSpaceDE w:val="0"/>
                    <w:jc w:val="left"/>
                    <w:rPr>
                      <w:color w:val="auto"/>
                      <w:sz w:val="18"/>
                      <w:szCs w:val="18"/>
                    </w:rPr>
                  </w:pPr>
                  <w:r>
                    <w:rPr>
                      <w:rFonts w:ascii="宋体" w:hAnsi="宋体"/>
                      <w:color w:val="auto"/>
                      <w:kern w:val="0"/>
                      <w:sz w:val="18"/>
                      <w:szCs w:val="18"/>
                      <w:shd w:val="clear" w:color="auto" w:fill="FFFFFF"/>
                    </w:rPr>
                    <w:t>性状：白色蜡状透明固体或微黄色蜡状固体。能分散成粉末，微带牛油气味；密度：</w:t>
                  </w:r>
                  <w:r>
                    <w:rPr>
                      <w:color w:val="auto"/>
                      <w:kern w:val="0"/>
                      <w:sz w:val="18"/>
                      <w:szCs w:val="18"/>
                      <w:shd w:val="clear" w:color="auto" w:fill="FFFFFF"/>
                    </w:rPr>
                    <w:t>0.84g/cm</w:t>
                  </w:r>
                  <w:r>
                    <w:rPr>
                      <w:color w:val="auto"/>
                      <w:kern w:val="0"/>
                      <w:sz w:val="18"/>
                      <w:szCs w:val="18"/>
                      <w:shd w:val="clear" w:color="auto" w:fill="FFFFFF"/>
                      <w:vertAlign w:val="superscript"/>
                    </w:rPr>
                    <w:t>3</w:t>
                  </w:r>
                  <w:r>
                    <w:rPr>
                      <w:rFonts w:ascii="宋体" w:hAnsi="宋体"/>
                      <w:color w:val="auto"/>
                      <w:kern w:val="0"/>
                      <w:sz w:val="18"/>
                      <w:szCs w:val="18"/>
                      <w:shd w:val="clear" w:color="auto" w:fill="FFFFFF"/>
                    </w:rPr>
                    <w:t>；熔点：</w:t>
                  </w:r>
                  <w:r>
                    <w:rPr>
                      <w:color w:val="auto"/>
                      <w:kern w:val="0"/>
                      <w:sz w:val="18"/>
                      <w:szCs w:val="18"/>
                      <w:shd w:val="clear" w:color="auto" w:fill="FFFFFF"/>
                    </w:rPr>
                    <w:t>67~72℃</w:t>
                  </w:r>
                  <w:r>
                    <w:rPr>
                      <w:rFonts w:ascii="宋体" w:hAnsi="宋体"/>
                      <w:color w:val="auto"/>
                      <w:kern w:val="0"/>
                      <w:sz w:val="18"/>
                      <w:szCs w:val="18"/>
                      <w:shd w:val="clear" w:color="auto" w:fill="FFFFFF"/>
                    </w:rPr>
                    <w:t>；沸点：</w:t>
                  </w:r>
                  <w:r>
                    <w:rPr>
                      <w:color w:val="auto"/>
                      <w:kern w:val="0"/>
                      <w:sz w:val="18"/>
                      <w:szCs w:val="18"/>
                      <w:shd w:val="clear" w:color="auto" w:fill="FFFFFF"/>
                    </w:rPr>
                    <w:t>361℃</w:t>
                  </w:r>
                  <w:r>
                    <w:rPr>
                      <w:rFonts w:ascii="宋体" w:hAnsi="宋体"/>
                      <w:color w:val="auto"/>
                      <w:kern w:val="0"/>
                      <w:sz w:val="18"/>
                      <w:szCs w:val="18"/>
                      <w:shd w:val="clear" w:color="auto" w:fill="FFFFFF"/>
                    </w:rPr>
                    <w:t>；折射率（</w:t>
                  </w:r>
                  <w:r>
                    <w:rPr>
                      <w:i/>
                      <w:iCs/>
                      <w:color w:val="auto"/>
                      <w:kern w:val="0"/>
                      <w:sz w:val="18"/>
                      <w:szCs w:val="18"/>
                      <w:shd w:val="clear" w:color="auto" w:fill="FFFFFF"/>
                    </w:rPr>
                    <w:t>n</w:t>
                  </w:r>
                  <w:r>
                    <w:rPr>
                      <w:i/>
                      <w:iCs/>
                      <w:color w:val="auto"/>
                      <w:kern w:val="0"/>
                      <w:sz w:val="18"/>
                      <w:szCs w:val="18"/>
                      <w:shd w:val="clear" w:color="auto" w:fill="FFFFFF"/>
                      <w:vertAlign w:val="superscript"/>
                    </w:rPr>
                    <w:t>20</w:t>
                  </w:r>
                  <w:r>
                    <w:rPr>
                      <w:color w:val="auto"/>
                      <w:kern w:val="0"/>
                      <w:sz w:val="18"/>
                      <w:szCs w:val="18"/>
                      <w:shd w:val="clear" w:color="auto" w:fill="FFFFFF"/>
                    </w:rPr>
                    <w:t>D</w:t>
                  </w:r>
                  <w:r>
                    <w:rPr>
                      <w:rFonts w:ascii="宋体" w:hAnsi="宋体"/>
                      <w:color w:val="auto"/>
                      <w:kern w:val="0"/>
                      <w:sz w:val="18"/>
                      <w:szCs w:val="18"/>
                      <w:shd w:val="clear" w:color="auto" w:fill="FFFFFF"/>
                    </w:rPr>
                    <w:t>）：</w:t>
                  </w:r>
                  <w:r>
                    <w:rPr>
                      <w:color w:val="auto"/>
                      <w:kern w:val="0"/>
                      <w:sz w:val="18"/>
                      <w:szCs w:val="18"/>
                      <w:shd w:val="clear" w:color="auto" w:fill="FFFFFF"/>
                    </w:rPr>
                    <w:t>1.455</w:t>
                  </w:r>
                  <w:r>
                    <w:rPr>
                      <w:rFonts w:ascii="宋体" w:hAnsi="宋体"/>
                      <w:color w:val="auto"/>
                      <w:kern w:val="0"/>
                      <w:sz w:val="18"/>
                      <w:szCs w:val="18"/>
                      <w:shd w:val="clear" w:color="auto" w:fill="FFFFFF"/>
                    </w:rPr>
                    <w:t>；气相标准燃烧热（焓）：</w:t>
                  </w:r>
                  <w:r>
                    <w:rPr>
                      <w:color w:val="auto"/>
                      <w:kern w:val="0"/>
                      <w:sz w:val="18"/>
                      <w:szCs w:val="18"/>
                      <w:shd w:val="clear" w:color="auto" w:fill="FFFFFF"/>
                    </w:rPr>
                    <w:t>-11446.9 kJ·mol</w:t>
                  </w:r>
                  <w:r>
                    <w:rPr>
                      <w:color w:val="auto"/>
                      <w:kern w:val="0"/>
                      <w:sz w:val="18"/>
                      <w:szCs w:val="18"/>
                      <w:shd w:val="clear" w:color="auto" w:fill="FFFFFF"/>
                      <w:vertAlign w:val="superscript"/>
                    </w:rPr>
                    <w:t>-1</w:t>
                  </w:r>
                  <w:r>
                    <w:rPr>
                      <w:rFonts w:ascii="宋体" w:hAnsi="宋体"/>
                      <w:color w:val="auto"/>
                      <w:kern w:val="0"/>
                      <w:sz w:val="18"/>
                      <w:szCs w:val="18"/>
                      <w:shd w:val="clear" w:color="auto" w:fill="FFFFFF"/>
                    </w:rPr>
                    <w:t>；气相标准生成热（焓）：</w:t>
                  </w:r>
                  <w:r>
                    <w:rPr>
                      <w:color w:val="auto"/>
                      <w:kern w:val="0"/>
                      <w:sz w:val="18"/>
                      <w:szCs w:val="18"/>
                      <w:shd w:val="clear" w:color="auto" w:fill="FFFFFF"/>
                    </w:rPr>
                    <w:t>-781.2 kJ·mol</w:t>
                  </w:r>
                  <w:r>
                    <w:rPr>
                      <w:color w:val="auto"/>
                      <w:kern w:val="0"/>
                      <w:sz w:val="18"/>
                      <w:szCs w:val="18"/>
                      <w:shd w:val="clear" w:color="auto" w:fill="FFFFFF"/>
                      <w:vertAlign w:val="superscript"/>
                    </w:rPr>
                    <w:t>-1</w:t>
                  </w:r>
                  <w:r>
                    <w:rPr>
                      <w:rFonts w:ascii="宋体" w:hAnsi="宋体"/>
                      <w:color w:val="auto"/>
                      <w:kern w:val="0"/>
                      <w:sz w:val="18"/>
                      <w:szCs w:val="18"/>
                      <w:shd w:val="clear" w:color="auto" w:fill="FFFFFF"/>
                    </w:rPr>
                    <w:t>；液相标准燃烧热（焓）：</w:t>
                  </w:r>
                  <w:r>
                    <w:rPr>
                      <w:color w:val="auto"/>
                      <w:kern w:val="0"/>
                      <w:sz w:val="18"/>
                      <w:szCs w:val="18"/>
                      <w:shd w:val="clear" w:color="auto" w:fill="FFFFFF"/>
                    </w:rPr>
                    <w:t>-11343.4 kJ·mol</w:t>
                  </w:r>
                  <w:r>
                    <w:rPr>
                      <w:color w:val="auto"/>
                      <w:kern w:val="0"/>
                      <w:sz w:val="18"/>
                      <w:szCs w:val="18"/>
                      <w:shd w:val="clear" w:color="auto" w:fill="FFFFFF"/>
                      <w:vertAlign w:val="superscript"/>
                    </w:rPr>
                    <w:t>-1</w:t>
                  </w:r>
                  <w:r>
                    <w:rPr>
                      <w:rFonts w:ascii="宋体" w:hAnsi="宋体"/>
                      <w:color w:val="auto"/>
                      <w:kern w:val="0"/>
                      <w:sz w:val="18"/>
                      <w:szCs w:val="18"/>
                      <w:shd w:val="clear" w:color="auto" w:fill="FFFFFF"/>
                    </w:rPr>
                    <w:t>；液相标准生成热（焓）：</w:t>
                  </w:r>
                  <w:r>
                    <w:rPr>
                      <w:color w:val="auto"/>
                      <w:kern w:val="0"/>
                      <w:sz w:val="18"/>
                      <w:szCs w:val="18"/>
                      <w:shd w:val="clear" w:color="auto" w:fill="FFFFFF"/>
                    </w:rPr>
                    <w:t>-884.7 kJ·mo</w:t>
                  </w:r>
                  <w:r>
                    <w:rPr>
                      <w:color w:val="auto"/>
                      <w:kern w:val="0"/>
                      <w:sz w:val="18"/>
                      <w:szCs w:val="18"/>
                      <w:shd w:val="clear" w:color="auto" w:fill="FFFFFF"/>
                      <w:vertAlign w:val="superscript"/>
                    </w:rPr>
                    <w:t>l-1</w:t>
                  </w:r>
                  <w:r>
                    <w:rPr>
                      <w:rFonts w:ascii="宋体" w:hAnsi="宋体"/>
                      <w:color w:val="auto"/>
                      <w:kern w:val="0"/>
                      <w:sz w:val="18"/>
                      <w:szCs w:val="18"/>
                      <w:shd w:val="clear" w:color="auto" w:fill="FFFFFF"/>
                    </w:rPr>
                    <w:t>；晶相相标准燃烧热（焓）：</w:t>
                  </w:r>
                  <w:r>
                    <w:rPr>
                      <w:color w:val="auto"/>
                      <w:kern w:val="0"/>
                      <w:sz w:val="18"/>
                      <w:szCs w:val="18"/>
                      <w:shd w:val="clear" w:color="auto" w:fill="FFFFFF"/>
                    </w:rPr>
                    <w:t>-11280.4 kJ·mol</w:t>
                  </w:r>
                  <w:r>
                    <w:rPr>
                      <w:color w:val="auto"/>
                      <w:kern w:val="0"/>
                      <w:sz w:val="18"/>
                      <w:szCs w:val="18"/>
                      <w:shd w:val="clear" w:color="auto" w:fill="FFFFFF"/>
                      <w:vertAlign w:val="superscript"/>
                    </w:rPr>
                    <w:t>-1</w:t>
                  </w:r>
                  <w:r>
                    <w:rPr>
                      <w:rFonts w:ascii="宋体" w:hAnsi="宋体"/>
                      <w:color w:val="auto"/>
                      <w:kern w:val="0"/>
                      <w:sz w:val="18"/>
                      <w:szCs w:val="18"/>
                      <w:shd w:val="clear" w:color="auto" w:fill="FFFFFF"/>
                    </w:rPr>
                    <w:t>；晶相标准生成热（焓）：</w:t>
                  </w:r>
                  <w:r>
                    <w:rPr>
                      <w:color w:val="auto"/>
                      <w:kern w:val="0"/>
                      <w:sz w:val="18"/>
                      <w:szCs w:val="18"/>
                      <w:shd w:val="clear" w:color="auto" w:fill="FFFFFF"/>
                    </w:rPr>
                    <w:t>-947.7 kJ·mol</w:t>
                  </w:r>
                  <w:r>
                    <w:rPr>
                      <w:color w:val="auto"/>
                      <w:kern w:val="0"/>
                      <w:sz w:val="18"/>
                      <w:szCs w:val="18"/>
                      <w:shd w:val="clear" w:color="auto" w:fill="FFFFFF"/>
                      <w:vertAlign w:val="superscript"/>
                    </w:rPr>
                    <w:t>-1</w:t>
                  </w:r>
                  <w:r>
                    <w:rPr>
                      <w:rFonts w:ascii="宋体" w:hAnsi="宋体"/>
                      <w:color w:val="auto"/>
                      <w:kern w:val="0"/>
                      <w:sz w:val="18"/>
                      <w:szCs w:val="18"/>
                      <w:shd w:val="clear" w:color="auto" w:fill="FFFFFF"/>
                    </w:rPr>
                    <w:t>；溶解性：不溶于水，稍溶于冷乙醇，加热时较易溶解。微溶于丙酮、苯，易溶于乙醚、氯仿、热乙醇、</w:t>
                  </w:r>
                  <w:r>
                    <w:rPr>
                      <w:rFonts w:ascii="宋体" w:hAnsi="宋体"/>
                      <w:color w:val="auto"/>
                      <w:sz w:val="18"/>
                      <w:szCs w:val="18"/>
                      <w:shd w:val="clear" w:color="auto" w:fill="FFFFFF"/>
                    </w:rPr>
                    <w:t>四氯化碳</w:t>
                  </w:r>
                  <w:r>
                    <w:rPr>
                      <w:rFonts w:ascii="宋体" w:hAnsi="宋体"/>
                      <w:color w:val="auto"/>
                      <w:kern w:val="0"/>
                      <w:sz w:val="18"/>
                      <w:szCs w:val="18"/>
                      <w:shd w:val="clear" w:color="auto" w:fill="FFFFFF"/>
                    </w:rPr>
                    <w:t>、</w:t>
                  </w:r>
                  <w:r>
                    <w:rPr>
                      <w:rFonts w:ascii="宋体" w:hAnsi="宋体"/>
                      <w:color w:val="auto"/>
                      <w:sz w:val="18"/>
                      <w:szCs w:val="18"/>
                      <w:shd w:val="clear" w:color="auto" w:fill="FFFFFF"/>
                    </w:rPr>
                    <w:t>二硫化碳</w:t>
                  </w:r>
                  <w:r>
                    <w:rPr>
                      <w:rFonts w:ascii="宋体" w:hAnsi="宋体"/>
                      <w:color w:val="auto"/>
                      <w:kern w:val="0"/>
                      <w:sz w:val="18"/>
                      <w:szCs w:val="18"/>
                      <w:shd w:val="clear" w:color="auto" w:fill="FFFFFF"/>
                    </w:rPr>
                    <w:t>。</w:t>
                  </w:r>
                </w:p>
              </w:tc>
              <w:tc>
                <w:tcPr>
                  <w:tcW w:w="668" w:type="pct"/>
                  <w:vAlign w:val="center"/>
                </w:tcPr>
                <w:p>
                  <w:pPr>
                    <w:spacing w:line="240" w:lineRule="exact"/>
                    <w:jc w:val="center"/>
                    <w:rPr>
                      <w:color w:val="auto"/>
                      <w:sz w:val="18"/>
                      <w:szCs w:val="18"/>
                    </w:rPr>
                  </w:pPr>
                  <w:r>
                    <w:rPr>
                      <w:color w:val="auto"/>
                      <w:sz w:val="18"/>
                      <w:szCs w:val="18"/>
                    </w:rPr>
                    <w:t>可燃</w:t>
                  </w:r>
                </w:p>
              </w:tc>
              <w:tc>
                <w:tcPr>
                  <w:tcW w:w="890" w:type="pct"/>
                  <w:vAlign w:val="center"/>
                </w:tcPr>
                <w:p>
                  <w:pPr>
                    <w:spacing w:line="240" w:lineRule="exact"/>
                    <w:jc w:val="center"/>
                    <w:rPr>
                      <w:color w:val="auto"/>
                      <w:sz w:val="18"/>
                      <w:szCs w:val="18"/>
                    </w:rPr>
                  </w:pPr>
                  <w:r>
                    <w:rPr>
                      <w:color w:val="auto"/>
                      <w:sz w:val="18"/>
                      <w:szCs w:val="18"/>
                    </w:rPr>
                    <w:t>小鼠、大鼠静脉注射LC</w:t>
                  </w:r>
                  <w:r>
                    <w:rPr>
                      <w:color w:val="auto"/>
                      <w:sz w:val="18"/>
                      <w:szCs w:val="18"/>
                      <w:vertAlign w:val="subscript"/>
                    </w:rPr>
                    <w:t>50</w:t>
                  </w:r>
                  <w:r>
                    <w:rPr>
                      <w:color w:val="auto"/>
                      <w:sz w:val="18"/>
                      <w:szCs w:val="18"/>
                    </w:rPr>
                    <w:t>：(23±0.7)mg/kg、(21.5±1.8)mg/kg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13" w:type="pct"/>
                  <w:vAlign w:val="center"/>
                </w:tcPr>
                <w:p>
                  <w:pPr>
                    <w:jc w:val="center"/>
                    <w:rPr>
                      <w:rFonts w:ascii="宋体" w:hAnsi="宋体"/>
                      <w:color w:val="auto"/>
                      <w:sz w:val="18"/>
                      <w:szCs w:val="18"/>
                    </w:rPr>
                  </w:pPr>
                  <w:r>
                    <w:rPr>
                      <w:rFonts w:hint="eastAsia" w:ascii="宋体" w:hAnsi="宋体"/>
                      <w:color w:val="auto"/>
                      <w:sz w:val="18"/>
                      <w:szCs w:val="18"/>
                    </w:rPr>
                    <w:t>3</w:t>
                  </w:r>
                </w:p>
              </w:tc>
              <w:tc>
                <w:tcPr>
                  <w:tcW w:w="625" w:type="pct"/>
                  <w:vAlign w:val="center"/>
                </w:tcPr>
                <w:p>
                  <w:pPr>
                    <w:widowControl/>
                    <w:shd w:val="clear" w:color="auto" w:fill="FFFFFF"/>
                    <w:autoSpaceDE w:val="0"/>
                    <w:jc w:val="center"/>
                    <w:rPr>
                      <w:rFonts w:ascii="宋体" w:hAnsi="宋体"/>
                      <w:color w:val="auto"/>
                      <w:kern w:val="0"/>
                      <w:sz w:val="18"/>
                      <w:szCs w:val="18"/>
                      <w:shd w:val="clear" w:color="auto" w:fill="FFFFFF"/>
                    </w:rPr>
                  </w:pPr>
                  <w:r>
                    <w:rPr>
                      <w:rFonts w:hint="eastAsia" w:ascii="宋体" w:hAnsi="宋体"/>
                      <w:color w:val="auto"/>
                      <w:kern w:val="0"/>
                      <w:sz w:val="18"/>
                      <w:szCs w:val="18"/>
                      <w:shd w:val="clear" w:color="auto" w:fill="FFFFFF"/>
                    </w:rPr>
                    <w:t>硫磺</w:t>
                  </w:r>
                </w:p>
              </w:tc>
              <w:tc>
                <w:tcPr>
                  <w:tcW w:w="2603" w:type="pct"/>
                  <w:vAlign w:val="center"/>
                </w:tcPr>
                <w:p>
                  <w:pPr>
                    <w:rPr>
                      <w:color w:val="auto"/>
                      <w:sz w:val="18"/>
                      <w:szCs w:val="18"/>
                    </w:rPr>
                  </w:pPr>
                  <w:r>
                    <w:rPr>
                      <w:color w:val="auto"/>
                      <w:sz w:val="18"/>
                      <w:szCs w:val="18"/>
                    </w:rPr>
                    <w:t>性状： 淡黄色脆性结晶或粉末，有特殊臭味。溶解性：不溶于水，微溶于乙醇、醚，易溶于二硫化碳。熔点（℃）：119；沸点（℃）：444.6</w:t>
                  </w:r>
                  <w:r>
                    <w:rPr>
                      <w:color w:val="auto"/>
                      <w:sz w:val="18"/>
                      <w:szCs w:val="18"/>
                    </w:rPr>
                    <w:tab/>
                  </w:r>
                  <w:r>
                    <w:rPr>
                      <w:color w:val="auto"/>
                      <w:sz w:val="18"/>
                      <w:szCs w:val="18"/>
                    </w:rPr>
                    <w:t>；相对密度（水＝1）：2.0；临界温度（℃）：1040；临界压力（MPa）：11.75</w:t>
                  </w:r>
                  <w:r>
                    <w:rPr>
                      <w:color w:val="auto"/>
                      <w:sz w:val="18"/>
                      <w:szCs w:val="18"/>
                    </w:rPr>
                    <w:tab/>
                  </w:r>
                  <w:r>
                    <w:rPr>
                      <w:color w:val="auto"/>
                      <w:sz w:val="18"/>
                      <w:szCs w:val="18"/>
                    </w:rPr>
                    <w:t>；</w:t>
                  </w:r>
                </w:p>
              </w:tc>
              <w:tc>
                <w:tcPr>
                  <w:tcW w:w="668" w:type="pct"/>
                  <w:vAlign w:val="center"/>
                </w:tcPr>
                <w:p>
                  <w:pPr>
                    <w:spacing w:line="240" w:lineRule="exact"/>
                    <w:jc w:val="center"/>
                    <w:rPr>
                      <w:color w:val="auto"/>
                      <w:sz w:val="18"/>
                      <w:szCs w:val="18"/>
                    </w:rPr>
                  </w:pPr>
                  <w:r>
                    <w:rPr>
                      <w:color w:val="auto"/>
                      <w:sz w:val="18"/>
                      <w:szCs w:val="18"/>
                    </w:rPr>
                    <w:t>爆炸下限（％）：35mg/m</w:t>
                  </w:r>
                  <w:r>
                    <w:rPr>
                      <w:color w:val="auto"/>
                      <w:sz w:val="18"/>
                      <w:szCs w:val="18"/>
                      <w:vertAlign w:val="superscript"/>
                    </w:rPr>
                    <w:t>3</w:t>
                  </w:r>
                </w:p>
              </w:tc>
              <w:tc>
                <w:tcPr>
                  <w:tcW w:w="890" w:type="pct"/>
                  <w:vAlign w:val="center"/>
                </w:tcPr>
                <w:p>
                  <w:pPr>
                    <w:spacing w:line="240" w:lineRule="exact"/>
                    <w:jc w:val="center"/>
                    <w:rPr>
                      <w:color w:val="auto"/>
                      <w:sz w:val="18"/>
                      <w:szCs w:val="18"/>
                    </w:rPr>
                  </w:pPr>
                  <w:r>
                    <w:rPr>
                      <w:color w:val="auto"/>
                      <w:sz w:val="18"/>
                      <w:szCs w:val="18"/>
                    </w:rPr>
                    <w:t>前苏联 MAC（mg/m</w:t>
                  </w:r>
                  <w:r>
                    <w:rPr>
                      <w:color w:val="auto"/>
                      <w:sz w:val="18"/>
                      <w:szCs w:val="18"/>
                      <w:vertAlign w:val="superscript"/>
                    </w:rPr>
                    <w:t>3</w:t>
                  </w:r>
                  <w:r>
                    <w:rPr>
                      <w:color w:val="auto"/>
                      <w:sz w:val="18"/>
                      <w:szCs w:val="18"/>
                    </w:rPr>
                    <w:t>）： 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13" w:type="pct"/>
                  <w:vAlign w:val="center"/>
                </w:tcPr>
                <w:p>
                  <w:pPr>
                    <w:jc w:val="center"/>
                    <w:rPr>
                      <w:rFonts w:ascii="宋体" w:hAnsi="宋体"/>
                      <w:color w:val="auto"/>
                      <w:sz w:val="18"/>
                      <w:szCs w:val="18"/>
                    </w:rPr>
                  </w:pPr>
                  <w:r>
                    <w:rPr>
                      <w:rFonts w:hint="eastAsia" w:ascii="宋体" w:hAnsi="宋体"/>
                      <w:color w:val="auto"/>
                      <w:sz w:val="18"/>
                      <w:szCs w:val="18"/>
                    </w:rPr>
                    <w:t>4</w:t>
                  </w:r>
                </w:p>
              </w:tc>
              <w:tc>
                <w:tcPr>
                  <w:tcW w:w="625" w:type="pct"/>
                  <w:vAlign w:val="center"/>
                </w:tcPr>
                <w:p>
                  <w:pPr>
                    <w:widowControl/>
                    <w:shd w:val="clear" w:color="auto" w:fill="FFFFFF"/>
                    <w:autoSpaceDE w:val="0"/>
                    <w:jc w:val="center"/>
                    <w:rPr>
                      <w:color w:val="auto"/>
                      <w:kern w:val="0"/>
                      <w:sz w:val="18"/>
                      <w:szCs w:val="18"/>
                      <w:shd w:val="clear" w:color="auto" w:fill="FFFFFF"/>
                    </w:rPr>
                  </w:pPr>
                  <w:r>
                    <w:rPr>
                      <w:color w:val="auto"/>
                      <w:kern w:val="0"/>
                      <w:sz w:val="18"/>
                      <w:szCs w:val="18"/>
                      <w:shd w:val="clear" w:color="auto" w:fill="FFFFFF"/>
                    </w:rPr>
                    <w:t>2，5-二甲基-2，5-双己烷</w:t>
                  </w:r>
                </w:p>
              </w:tc>
              <w:tc>
                <w:tcPr>
                  <w:tcW w:w="2603" w:type="pct"/>
                </w:tcPr>
                <w:p>
                  <w:pPr>
                    <w:jc w:val="center"/>
                    <w:rPr>
                      <w:color w:val="auto"/>
                      <w:sz w:val="18"/>
                      <w:szCs w:val="18"/>
                    </w:rPr>
                  </w:pPr>
                  <w:r>
                    <w:rPr>
                      <w:color w:val="auto"/>
                      <w:sz w:val="18"/>
                      <w:szCs w:val="18"/>
                    </w:rPr>
                    <w:t>双二五硫化剂 ，简称DBPH，化学名称2，5-二甲基-2，5-双(叔丁基过氧基)己烷，分子量290.44。淡黄色液体及膏状和乳白粉状，相对密度0.8650。凝固点8℃。沸点50～52℃(13Pa)。折射率1.418~1.419。液体黏度6.5mPa.s。闪点(开杯)58℃。溶于大部分醇、醚、酮、酯、芳香烃等有机溶剂，不溶于水。</w:t>
                  </w:r>
                </w:p>
              </w:tc>
              <w:tc>
                <w:tcPr>
                  <w:tcW w:w="668" w:type="pct"/>
                  <w:vAlign w:val="center"/>
                </w:tcPr>
                <w:p>
                  <w:pPr>
                    <w:jc w:val="center"/>
                    <w:rPr>
                      <w:color w:val="auto"/>
                      <w:sz w:val="18"/>
                      <w:szCs w:val="18"/>
                    </w:rPr>
                  </w:pPr>
                  <w:r>
                    <w:rPr>
                      <w:color w:val="auto"/>
                      <w:sz w:val="18"/>
                      <w:szCs w:val="18"/>
                    </w:rPr>
                    <w:t>易燃</w:t>
                  </w:r>
                </w:p>
              </w:tc>
              <w:tc>
                <w:tcPr>
                  <w:tcW w:w="890" w:type="pct"/>
                  <w:vAlign w:val="center"/>
                </w:tcPr>
                <w:p>
                  <w:pPr>
                    <w:jc w:val="center"/>
                    <w:rPr>
                      <w:color w:val="auto"/>
                      <w:sz w:val="18"/>
                      <w:szCs w:val="18"/>
                    </w:rPr>
                  </w:pPr>
                  <w:r>
                    <w:rPr>
                      <w:color w:val="auto"/>
                      <w:sz w:val="18"/>
                      <w:szCs w:val="18"/>
                    </w:rPr>
                    <w:t>LD</w:t>
                  </w:r>
                  <w:r>
                    <w:rPr>
                      <w:color w:val="auto"/>
                      <w:sz w:val="18"/>
                      <w:szCs w:val="18"/>
                      <w:vertAlign w:val="subscript"/>
                    </w:rPr>
                    <w:t>50</w:t>
                  </w:r>
                  <w:r>
                    <w:rPr>
                      <w:color w:val="auto"/>
                      <w:sz w:val="18"/>
                      <w:szCs w:val="18"/>
                    </w:rPr>
                    <w:t>：1700mg/kg(小鼠腹腔)LC</w:t>
                  </w:r>
                  <w:r>
                    <w:rPr>
                      <w:color w:val="auto"/>
                      <w:sz w:val="18"/>
                      <w:szCs w:val="18"/>
                      <w:vertAlign w:val="subscript"/>
                    </w:rPr>
                    <w:t>50</w:t>
                  </w:r>
                  <w:r>
                    <w:rPr>
                      <w:color w:val="auto"/>
                      <w:sz w:val="18"/>
                      <w:szCs w:val="18"/>
                    </w:rPr>
                    <w:t>：无资料</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13" w:type="pct"/>
                  <w:vAlign w:val="center"/>
                </w:tcPr>
                <w:p>
                  <w:pPr>
                    <w:jc w:val="center"/>
                    <w:rPr>
                      <w:rFonts w:ascii="宋体" w:hAnsi="宋体"/>
                      <w:color w:val="auto"/>
                      <w:sz w:val="18"/>
                      <w:szCs w:val="18"/>
                    </w:rPr>
                  </w:pPr>
                  <w:r>
                    <w:rPr>
                      <w:rFonts w:hint="eastAsia" w:ascii="宋体" w:hAnsi="宋体"/>
                      <w:color w:val="auto"/>
                      <w:sz w:val="18"/>
                      <w:szCs w:val="18"/>
                    </w:rPr>
                    <w:t>5</w:t>
                  </w:r>
                </w:p>
              </w:tc>
              <w:tc>
                <w:tcPr>
                  <w:tcW w:w="625" w:type="pct"/>
                  <w:vAlign w:val="center"/>
                </w:tcPr>
                <w:p>
                  <w:pPr>
                    <w:jc w:val="center"/>
                    <w:rPr>
                      <w:rFonts w:ascii="宋体" w:hAnsi="宋体"/>
                      <w:color w:val="auto"/>
                      <w:sz w:val="18"/>
                      <w:szCs w:val="18"/>
                      <w:highlight w:val="yellow"/>
                    </w:rPr>
                  </w:pPr>
                  <w:r>
                    <w:rPr>
                      <w:rFonts w:hint="eastAsia"/>
                      <w:color w:val="auto"/>
                      <w:sz w:val="18"/>
                      <w:szCs w:val="18"/>
                    </w:rPr>
                    <w:t>聚丙烯</w:t>
                  </w:r>
                </w:p>
              </w:tc>
              <w:tc>
                <w:tcPr>
                  <w:tcW w:w="2603" w:type="pct"/>
                  <w:vAlign w:val="center"/>
                </w:tcPr>
                <w:p>
                  <w:pPr>
                    <w:spacing w:line="240" w:lineRule="exact"/>
                    <w:rPr>
                      <w:rFonts w:ascii="宋体" w:hAnsi="宋体"/>
                      <w:color w:val="auto"/>
                      <w:sz w:val="18"/>
                      <w:szCs w:val="18"/>
                    </w:rPr>
                  </w:pPr>
                  <w:r>
                    <w:rPr>
                      <w:rFonts w:hint="eastAsia" w:ascii="宋体" w:hAnsi="宋体"/>
                      <w:color w:val="auto"/>
                      <w:sz w:val="18"/>
                      <w:szCs w:val="18"/>
                    </w:rPr>
                    <w:t>聚丙烯为无毒、无臭、无味的乳白色高结晶的聚合物，密度只有0.90~0.91g/cm</w:t>
                  </w:r>
                  <w:r>
                    <w:rPr>
                      <w:rFonts w:hint="eastAsia" w:ascii="宋体" w:hAnsi="宋体"/>
                      <w:color w:val="auto"/>
                      <w:sz w:val="18"/>
                      <w:szCs w:val="18"/>
                      <w:vertAlign w:val="superscript"/>
                    </w:rPr>
                    <w:t>3</w:t>
                  </w:r>
                  <w:r>
                    <w:rPr>
                      <w:rFonts w:hint="eastAsia" w:ascii="宋体" w:hAnsi="宋体"/>
                      <w:color w:val="auto"/>
                      <w:sz w:val="18"/>
                      <w:szCs w:val="18"/>
                    </w:rPr>
                    <w:t>，是所有塑料中最轻的品种之一。它对水特别稳定，在水中的吸水率仅为0.01%，分子量约8万一15万。</w:t>
                  </w:r>
                </w:p>
              </w:tc>
              <w:tc>
                <w:tcPr>
                  <w:tcW w:w="668" w:type="pct"/>
                  <w:vAlign w:val="center"/>
                </w:tcPr>
                <w:p>
                  <w:pPr>
                    <w:spacing w:line="240" w:lineRule="exact"/>
                    <w:jc w:val="center"/>
                    <w:rPr>
                      <w:rFonts w:ascii="宋体" w:hAnsi="宋体"/>
                      <w:color w:val="auto"/>
                      <w:sz w:val="18"/>
                      <w:szCs w:val="18"/>
                    </w:rPr>
                  </w:pPr>
                  <w:r>
                    <w:rPr>
                      <w:rFonts w:hint="eastAsia" w:ascii="宋体" w:hAnsi="宋体"/>
                      <w:color w:val="auto"/>
                      <w:sz w:val="18"/>
                      <w:szCs w:val="18"/>
                    </w:rPr>
                    <w:t>可燃</w:t>
                  </w:r>
                </w:p>
              </w:tc>
              <w:tc>
                <w:tcPr>
                  <w:tcW w:w="890" w:type="pct"/>
                  <w:vAlign w:val="center"/>
                </w:tcPr>
                <w:p>
                  <w:pPr>
                    <w:spacing w:line="240" w:lineRule="exact"/>
                    <w:jc w:val="center"/>
                    <w:rPr>
                      <w:rFonts w:ascii="宋体" w:hAnsi="宋体"/>
                      <w:color w:val="auto"/>
                      <w:sz w:val="18"/>
                      <w:szCs w:val="18"/>
                    </w:rPr>
                  </w:pPr>
                  <w:r>
                    <w:rPr>
                      <w:rFonts w:hint="eastAsia" w:ascii="宋体" w:hAnsi="宋体"/>
                      <w:color w:val="auto"/>
                      <w:sz w:val="18"/>
                      <w:szCs w:val="18"/>
                    </w:rPr>
                    <w:t>无毒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20" w:hRule="atLeast"/>
              </w:trPr>
              <w:tc>
                <w:tcPr>
                  <w:tcW w:w="213" w:type="pct"/>
                  <w:vAlign w:val="center"/>
                </w:tcPr>
                <w:p>
                  <w:pPr>
                    <w:jc w:val="center"/>
                    <w:rPr>
                      <w:rFonts w:ascii="宋体" w:hAnsi="宋体"/>
                      <w:color w:val="auto"/>
                      <w:sz w:val="18"/>
                      <w:szCs w:val="18"/>
                    </w:rPr>
                  </w:pPr>
                  <w:r>
                    <w:rPr>
                      <w:rFonts w:hint="eastAsia" w:ascii="宋体" w:hAnsi="宋体"/>
                      <w:color w:val="auto"/>
                      <w:sz w:val="18"/>
                      <w:szCs w:val="18"/>
                    </w:rPr>
                    <w:t>6</w:t>
                  </w:r>
                </w:p>
              </w:tc>
              <w:tc>
                <w:tcPr>
                  <w:tcW w:w="625" w:type="pct"/>
                  <w:vAlign w:val="center"/>
                </w:tcPr>
                <w:p>
                  <w:pPr>
                    <w:jc w:val="center"/>
                    <w:rPr>
                      <w:rFonts w:hint="eastAsia" w:eastAsia="宋体"/>
                      <w:color w:val="auto"/>
                      <w:sz w:val="18"/>
                      <w:szCs w:val="18"/>
                      <w:lang w:eastAsia="zh-CN"/>
                    </w:rPr>
                  </w:pPr>
                  <w:r>
                    <w:rPr>
                      <w:rFonts w:hint="eastAsia"/>
                      <w:color w:val="auto"/>
                      <w:sz w:val="18"/>
                      <w:szCs w:val="18"/>
                    </w:rPr>
                    <w:t>聚</w:t>
                  </w:r>
                  <w:r>
                    <w:rPr>
                      <w:rFonts w:hint="eastAsia"/>
                      <w:color w:val="auto"/>
                      <w:sz w:val="18"/>
                      <w:szCs w:val="18"/>
                      <w:lang w:val="en-US" w:eastAsia="zh-CN"/>
                    </w:rPr>
                    <w:t>乙烯</w:t>
                  </w:r>
                </w:p>
              </w:tc>
              <w:tc>
                <w:tcPr>
                  <w:tcW w:w="2603" w:type="pct"/>
                  <w:vAlign w:val="center"/>
                </w:tcPr>
                <w:p>
                  <w:pPr>
                    <w:rPr>
                      <w:rFonts w:hint="eastAsia" w:eastAsia="宋体"/>
                      <w:color w:val="auto"/>
                      <w:sz w:val="18"/>
                      <w:szCs w:val="18"/>
                      <w:lang w:eastAsia="zh-CN"/>
                    </w:rPr>
                  </w:pPr>
                  <w:r>
                    <w:rPr>
                      <w:rFonts w:hint="eastAsia"/>
                      <w:color w:val="auto"/>
                      <w:sz w:val="18"/>
                      <w:szCs w:val="18"/>
                    </w:rPr>
                    <w:t>聚乙烯树脂为无毒、无味的白色粉末或颗粒，外观呈乳白色，有似蜡的手感，吸水率低，小于0.01%。聚乙烯膜透明，并随结晶度的提高而降低。聚乙烯膜的透水率低但透气性较大</w:t>
                  </w:r>
                  <w:r>
                    <w:rPr>
                      <w:rFonts w:hint="eastAsia"/>
                      <w:color w:val="auto"/>
                      <w:sz w:val="18"/>
                      <w:szCs w:val="18"/>
                      <w:lang w:eastAsia="zh-CN"/>
                    </w:rPr>
                    <w:t>。其分子量在1万～10万范围内。分子量超过10万的则为超高分子量聚乙烯。分子量越高，其物理力学性能越好，越接近工程材料的要求水平。但分子量越高，其加工的难度也随之增大。聚乙烯熔点为100～130℃其耐低温性能优良。在-60℃下仍可保持良好的力学性能，但使用温度在80~110℃。</w:t>
                  </w:r>
                </w:p>
              </w:tc>
              <w:tc>
                <w:tcPr>
                  <w:tcW w:w="668" w:type="pct"/>
                  <w:vAlign w:val="center"/>
                </w:tcPr>
                <w:p>
                  <w:pPr>
                    <w:jc w:val="center"/>
                    <w:rPr>
                      <w:color w:val="auto"/>
                      <w:sz w:val="18"/>
                      <w:szCs w:val="18"/>
                    </w:rPr>
                  </w:pPr>
                  <w:r>
                    <w:rPr>
                      <w:rFonts w:hint="eastAsia"/>
                      <w:color w:val="auto"/>
                      <w:sz w:val="18"/>
                      <w:szCs w:val="18"/>
                    </w:rPr>
                    <w:t>可燃</w:t>
                  </w:r>
                </w:p>
              </w:tc>
              <w:tc>
                <w:tcPr>
                  <w:tcW w:w="890" w:type="pct"/>
                  <w:vAlign w:val="center"/>
                </w:tcPr>
                <w:p>
                  <w:pPr>
                    <w:jc w:val="center"/>
                    <w:rPr>
                      <w:color w:val="auto"/>
                      <w:sz w:val="18"/>
                      <w:szCs w:val="18"/>
                    </w:rPr>
                  </w:pPr>
                  <w:r>
                    <w:rPr>
                      <w:rFonts w:hint="eastAsia"/>
                      <w:color w:val="auto"/>
                      <w:sz w:val="18"/>
                      <w:szCs w:val="18"/>
                    </w:rPr>
                    <w:t>无毒</w:t>
                  </w:r>
                </w:p>
              </w:tc>
            </w:tr>
          </w:tbl>
          <w:p>
            <w:pPr>
              <w:adjustRightInd w:val="0"/>
              <w:snapToGrid w:val="0"/>
              <w:spacing w:before="120" w:beforeLines="50" w:line="360" w:lineRule="auto"/>
              <w:ind w:firstLine="422" w:firstLineChars="200"/>
              <w:jc w:val="left"/>
              <w:rPr>
                <w:b/>
                <w:bCs/>
                <w:color w:val="auto"/>
                <w:szCs w:val="22"/>
              </w:rPr>
            </w:pPr>
            <w:r>
              <w:rPr>
                <w:b/>
                <w:color w:val="auto"/>
                <w:szCs w:val="21"/>
              </w:rPr>
              <w:t>5、</w:t>
            </w:r>
            <w:r>
              <w:rPr>
                <w:b/>
                <w:bCs/>
                <w:color w:val="auto"/>
                <w:szCs w:val="22"/>
              </w:rPr>
              <w:t>项目工程组成表</w:t>
            </w:r>
          </w:p>
          <w:p>
            <w:pPr>
              <w:jc w:val="center"/>
              <w:rPr>
                <w:b/>
                <w:bCs/>
                <w:color w:val="auto"/>
                <w:szCs w:val="22"/>
              </w:rPr>
            </w:pPr>
            <w:r>
              <w:rPr>
                <w:b/>
                <w:bCs/>
                <w:color w:val="auto"/>
                <w:szCs w:val="22"/>
              </w:rPr>
              <w:t>表2-6  本项目工程组成情况表</w:t>
            </w:r>
          </w:p>
          <w:tbl>
            <w:tblPr>
              <w:tblStyle w:val="37"/>
              <w:tblpPr w:leftFromText="180" w:rightFromText="180" w:vertAnchor="text" w:tblpXSpec="center" w:tblpY="1"/>
              <w:tblOverlap w:val="never"/>
              <w:tblW w:w="9114"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602"/>
              <w:gridCol w:w="420"/>
              <w:gridCol w:w="1575"/>
              <w:gridCol w:w="1710"/>
              <w:gridCol w:w="2565"/>
              <w:gridCol w:w="2222"/>
              <w:gridCol w:w="2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gridAfter w:val="1"/>
                <w:wAfter w:w="20" w:type="dxa"/>
                <w:cantSplit/>
                <w:trHeight w:val="238" w:hRule="atLeast"/>
              </w:trPr>
              <w:tc>
                <w:tcPr>
                  <w:tcW w:w="602" w:type="dxa"/>
                  <w:vMerge w:val="restart"/>
                  <w:vAlign w:val="center"/>
                </w:tcPr>
                <w:p>
                  <w:pPr>
                    <w:adjustRightInd w:val="0"/>
                    <w:snapToGrid w:val="0"/>
                    <w:jc w:val="center"/>
                    <w:rPr>
                      <w:b/>
                      <w:bCs/>
                      <w:color w:val="auto"/>
                      <w:sz w:val="18"/>
                      <w:szCs w:val="18"/>
                    </w:rPr>
                  </w:pPr>
                  <w:r>
                    <w:rPr>
                      <w:b/>
                      <w:bCs/>
                      <w:color w:val="auto"/>
                      <w:sz w:val="18"/>
                      <w:szCs w:val="18"/>
                    </w:rPr>
                    <w:t>工程</w:t>
                  </w:r>
                </w:p>
                <w:p>
                  <w:pPr>
                    <w:adjustRightInd w:val="0"/>
                    <w:snapToGrid w:val="0"/>
                    <w:jc w:val="center"/>
                    <w:rPr>
                      <w:b/>
                      <w:bCs/>
                      <w:color w:val="auto"/>
                      <w:sz w:val="18"/>
                      <w:szCs w:val="18"/>
                    </w:rPr>
                  </w:pPr>
                  <w:r>
                    <w:rPr>
                      <w:b/>
                      <w:bCs/>
                      <w:color w:val="auto"/>
                      <w:sz w:val="18"/>
                      <w:szCs w:val="18"/>
                    </w:rPr>
                    <w:t>名称</w:t>
                  </w:r>
                </w:p>
              </w:tc>
              <w:tc>
                <w:tcPr>
                  <w:tcW w:w="1995" w:type="dxa"/>
                  <w:gridSpan w:val="2"/>
                  <w:vMerge w:val="restart"/>
                  <w:vAlign w:val="center"/>
                </w:tcPr>
                <w:p>
                  <w:pPr>
                    <w:adjustRightInd w:val="0"/>
                    <w:snapToGrid w:val="0"/>
                    <w:jc w:val="center"/>
                    <w:rPr>
                      <w:b/>
                      <w:bCs/>
                      <w:color w:val="auto"/>
                      <w:sz w:val="18"/>
                      <w:szCs w:val="18"/>
                    </w:rPr>
                  </w:pPr>
                  <w:r>
                    <w:rPr>
                      <w:b/>
                      <w:bCs/>
                      <w:color w:val="auto"/>
                      <w:sz w:val="18"/>
                      <w:szCs w:val="18"/>
                    </w:rPr>
                    <w:t>建设名称</w:t>
                  </w:r>
                </w:p>
              </w:tc>
              <w:tc>
                <w:tcPr>
                  <w:tcW w:w="4275" w:type="dxa"/>
                  <w:gridSpan w:val="2"/>
                  <w:vAlign w:val="center"/>
                </w:tcPr>
                <w:p>
                  <w:pPr>
                    <w:adjustRightInd w:val="0"/>
                    <w:snapToGrid w:val="0"/>
                    <w:jc w:val="center"/>
                    <w:rPr>
                      <w:b/>
                      <w:color w:val="auto"/>
                      <w:sz w:val="18"/>
                      <w:szCs w:val="18"/>
                    </w:rPr>
                  </w:pPr>
                  <w:r>
                    <w:rPr>
                      <w:b/>
                      <w:color w:val="auto"/>
                      <w:sz w:val="18"/>
                      <w:szCs w:val="18"/>
                    </w:rPr>
                    <w:t>设计能力</w:t>
                  </w:r>
                </w:p>
              </w:tc>
              <w:tc>
                <w:tcPr>
                  <w:tcW w:w="2222" w:type="dxa"/>
                  <w:vMerge w:val="restart"/>
                  <w:vAlign w:val="center"/>
                </w:tcPr>
                <w:p>
                  <w:pPr>
                    <w:adjustRightInd w:val="0"/>
                    <w:snapToGrid w:val="0"/>
                    <w:jc w:val="center"/>
                    <w:rPr>
                      <w:b/>
                      <w:bCs/>
                      <w:color w:val="auto"/>
                      <w:sz w:val="18"/>
                      <w:szCs w:val="18"/>
                    </w:rPr>
                  </w:pPr>
                  <w:r>
                    <w:rPr>
                      <w:b/>
                      <w:bCs/>
                      <w:color w:val="auto"/>
                      <w:sz w:val="18"/>
                      <w:szCs w:val="18"/>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gridAfter w:val="1"/>
                <w:wAfter w:w="20" w:type="dxa"/>
                <w:cantSplit/>
                <w:trHeight w:val="238" w:hRule="atLeast"/>
              </w:trPr>
              <w:tc>
                <w:tcPr>
                  <w:tcW w:w="602" w:type="dxa"/>
                  <w:vMerge w:val="continue"/>
                  <w:vAlign w:val="center"/>
                </w:tcPr>
                <w:p>
                  <w:pPr>
                    <w:adjustRightInd w:val="0"/>
                    <w:snapToGrid w:val="0"/>
                    <w:jc w:val="center"/>
                    <w:rPr>
                      <w:color w:val="auto"/>
                    </w:rPr>
                  </w:pPr>
                </w:p>
              </w:tc>
              <w:tc>
                <w:tcPr>
                  <w:tcW w:w="1995" w:type="dxa"/>
                  <w:gridSpan w:val="2"/>
                  <w:vMerge w:val="continue"/>
                  <w:vAlign w:val="center"/>
                </w:tcPr>
                <w:p>
                  <w:pPr>
                    <w:adjustRightInd w:val="0"/>
                    <w:snapToGrid w:val="0"/>
                    <w:jc w:val="center"/>
                    <w:rPr>
                      <w:color w:val="auto"/>
                    </w:rPr>
                  </w:pPr>
                </w:p>
              </w:tc>
              <w:tc>
                <w:tcPr>
                  <w:tcW w:w="1710" w:type="dxa"/>
                  <w:vAlign w:val="center"/>
                </w:tcPr>
                <w:p>
                  <w:pPr>
                    <w:adjustRightInd w:val="0"/>
                    <w:snapToGrid w:val="0"/>
                    <w:jc w:val="center"/>
                    <w:rPr>
                      <w:b/>
                      <w:color w:val="auto"/>
                      <w:sz w:val="18"/>
                      <w:szCs w:val="18"/>
                    </w:rPr>
                  </w:pPr>
                  <w:r>
                    <w:rPr>
                      <w:rFonts w:hint="eastAsia"/>
                      <w:b/>
                      <w:color w:val="auto"/>
                      <w:sz w:val="18"/>
                      <w:szCs w:val="18"/>
                    </w:rPr>
                    <w:t>迁建前</w:t>
                  </w:r>
                </w:p>
              </w:tc>
              <w:tc>
                <w:tcPr>
                  <w:tcW w:w="2565" w:type="dxa"/>
                  <w:vAlign w:val="center"/>
                </w:tcPr>
                <w:p>
                  <w:pPr>
                    <w:adjustRightInd w:val="0"/>
                    <w:snapToGrid w:val="0"/>
                    <w:jc w:val="center"/>
                    <w:rPr>
                      <w:b/>
                      <w:color w:val="auto"/>
                      <w:sz w:val="18"/>
                      <w:szCs w:val="18"/>
                    </w:rPr>
                  </w:pPr>
                  <w:r>
                    <w:rPr>
                      <w:rFonts w:hint="eastAsia"/>
                      <w:b/>
                      <w:color w:val="auto"/>
                      <w:sz w:val="18"/>
                      <w:szCs w:val="18"/>
                    </w:rPr>
                    <w:t>迁建后</w:t>
                  </w:r>
                </w:p>
              </w:tc>
              <w:tc>
                <w:tcPr>
                  <w:tcW w:w="2222" w:type="dxa"/>
                  <w:vMerge w:val="continue"/>
                  <w:vAlign w:val="center"/>
                </w:tcPr>
                <w:p>
                  <w:pPr>
                    <w:adjustRightInd w:val="0"/>
                    <w:snapToGrid w:val="0"/>
                    <w:jc w:val="center"/>
                    <w:rPr>
                      <w:b/>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gridAfter w:val="1"/>
                <w:wAfter w:w="20" w:type="dxa"/>
                <w:cantSplit/>
                <w:trHeight w:val="20" w:hRule="atLeast"/>
              </w:trPr>
              <w:tc>
                <w:tcPr>
                  <w:tcW w:w="602" w:type="dxa"/>
                  <w:vMerge w:val="restart"/>
                  <w:vAlign w:val="center"/>
                </w:tcPr>
                <w:p>
                  <w:pPr>
                    <w:adjustRightInd w:val="0"/>
                    <w:snapToGrid w:val="0"/>
                    <w:jc w:val="center"/>
                    <w:rPr>
                      <w:color w:val="auto"/>
                      <w:sz w:val="18"/>
                      <w:szCs w:val="18"/>
                    </w:rPr>
                  </w:pPr>
                  <w:r>
                    <w:rPr>
                      <w:color w:val="auto"/>
                      <w:sz w:val="18"/>
                      <w:szCs w:val="18"/>
                    </w:rPr>
                    <w:t>主体</w:t>
                  </w:r>
                </w:p>
                <w:p>
                  <w:pPr>
                    <w:adjustRightInd w:val="0"/>
                    <w:snapToGrid w:val="0"/>
                    <w:jc w:val="center"/>
                    <w:rPr>
                      <w:color w:val="auto"/>
                      <w:sz w:val="18"/>
                      <w:szCs w:val="18"/>
                    </w:rPr>
                  </w:pPr>
                  <w:r>
                    <w:rPr>
                      <w:color w:val="auto"/>
                      <w:sz w:val="18"/>
                      <w:szCs w:val="18"/>
                    </w:rPr>
                    <w:t>工程</w:t>
                  </w:r>
                </w:p>
              </w:tc>
              <w:tc>
                <w:tcPr>
                  <w:tcW w:w="1995" w:type="dxa"/>
                  <w:gridSpan w:val="2"/>
                  <w:vAlign w:val="center"/>
                </w:tcPr>
                <w:p>
                  <w:pPr>
                    <w:adjustRightInd w:val="0"/>
                    <w:snapToGrid w:val="0"/>
                    <w:jc w:val="center"/>
                    <w:rPr>
                      <w:color w:val="auto"/>
                      <w:sz w:val="18"/>
                      <w:szCs w:val="18"/>
                    </w:rPr>
                  </w:pPr>
                  <w:r>
                    <w:rPr>
                      <w:rFonts w:hint="eastAsia"/>
                      <w:color w:val="auto"/>
                      <w:sz w:val="18"/>
                      <w:szCs w:val="18"/>
                    </w:rPr>
                    <w:t>一层车间</w:t>
                  </w:r>
                </w:p>
              </w:tc>
              <w:tc>
                <w:tcPr>
                  <w:tcW w:w="1710" w:type="dxa"/>
                  <w:vAlign w:val="center"/>
                </w:tcPr>
                <w:p>
                  <w:pPr>
                    <w:adjustRightInd w:val="0"/>
                    <w:snapToGrid w:val="0"/>
                    <w:jc w:val="center"/>
                    <w:rPr>
                      <w:color w:val="auto"/>
                      <w:sz w:val="18"/>
                      <w:szCs w:val="18"/>
                    </w:rPr>
                  </w:pPr>
                  <w:r>
                    <w:rPr>
                      <w:rFonts w:hint="eastAsia"/>
                      <w:color w:val="auto"/>
                      <w:sz w:val="18"/>
                      <w:szCs w:val="18"/>
                    </w:rPr>
                    <w:t>1200</w:t>
                  </w:r>
                  <w:r>
                    <w:rPr>
                      <w:snapToGrid w:val="0"/>
                      <w:color w:val="auto"/>
                      <w:kern w:val="0"/>
                      <w:sz w:val="18"/>
                      <w:szCs w:val="18"/>
                    </w:rPr>
                    <w:t>m</w:t>
                  </w:r>
                  <w:r>
                    <w:rPr>
                      <w:snapToGrid w:val="0"/>
                      <w:color w:val="auto"/>
                      <w:kern w:val="0"/>
                      <w:sz w:val="18"/>
                      <w:szCs w:val="18"/>
                      <w:vertAlign w:val="superscript"/>
                    </w:rPr>
                    <w:t>2</w:t>
                  </w:r>
                  <w:r>
                    <w:rPr>
                      <w:rFonts w:hint="eastAsia"/>
                      <w:color w:val="auto"/>
                      <w:sz w:val="18"/>
                      <w:szCs w:val="18"/>
                    </w:rPr>
                    <w:t>，用于各生产工序以及原辅料、产品的存储</w:t>
                  </w:r>
                </w:p>
              </w:tc>
              <w:tc>
                <w:tcPr>
                  <w:tcW w:w="2565" w:type="dxa"/>
                  <w:vAlign w:val="center"/>
                </w:tcPr>
                <w:p>
                  <w:pPr>
                    <w:adjustRightInd w:val="0"/>
                    <w:snapToGrid w:val="0"/>
                    <w:jc w:val="center"/>
                    <w:rPr>
                      <w:color w:val="auto"/>
                      <w:sz w:val="18"/>
                      <w:szCs w:val="18"/>
                    </w:rPr>
                  </w:pPr>
                  <w:r>
                    <w:rPr>
                      <w:rFonts w:hint="eastAsia"/>
                      <w:color w:val="auto"/>
                      <w:sz w:val="18"/>
                      <w:szCs w:val="18"/>
                    </w:rPr>
                    <w:t>600</w:t>
                  </w:r>
                  <w:r>
                    <w:rPr>
                      <w:snapToGrid w:val="0"/>
                      <w:color w:val="auto"/>
                      <w:kern w:val="0"/>
                      <w:sz w:val="18"/>
                      <w:szCs w:val="18"/>
                    </w:rPr>
                    <w:t>m</w:t>
                  </w:r>
                  <w:r>
                    <w:rPr>
                      <w:snapToGrid w:val="0"/>
                      <w:color w:val="auto"/>
                      <w:kern w:val="0"/>
                      <w:sz w:val="18"/>
                      <w:szCs w:val="18"/>
                      <w:vertAlign w:val="superscript"/>
                    </w:rPr>
                    <w:t>2</w:t>
                  </w:r>
                  <w:r>
                    <w:rPr>
                      <w:rFonts w:hint="eastAsia"/>
                      <w:snapToGrid w:val="0"/>
                      <w:color w:val="auto"/>
                      <w:kern w:val="0"/>
                      <w:sz w:val="18"/>
                      <w:szCs w:val="18"/>
                    </w:rPr>
                    <w:t>，用于注塑、密炼、开炼、一次成型、二次成型等工序。</w:t>
                  </w:r>
                </w:p>
              </w:tc>
              <w:tc>
                <w:tcPr>
                  <w:tcW w:w="2222" w:type="dxa"/>
                  <w:vMerge w:val="restart"/>
                  <w:vAlign w:val="center"/>
                </w:tcPr>
                <w:p>
                  <w:pPr>
                    <w:adjustRightInd w:val="0"/>
                    <w:snapToGrid w:val="0"/>
                    <w:jc w:val="center"/>
                    <w:rPr>
                      <w:snapToGrid w:val="0"/>
                      <w:color w:val="auto"/>
                      <w:kern w:val="0"/>
                      <w:sz w:val="18"/>
                      <w:szCs w:val="18"/>
                    </w:rPr>
                  </w:pPr>
                  <w:r>
                    <w:rPr>
                      <w:rFonts w:hint="eastAsia"/>
                      <w:snapToGrid w:val="0"/>
                      <w:color w:val="auto"/>
                      <w:kern w:val="0"/>
                      <w:sz w:val="18"/>
                      <w:szCs w:val="18"/>
                    </w:rPr>
                    <w:t>汽车运输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gridAfter w:val="1"/>
                <w:wAfter w:w="20" w:type="dxa"/>
                <w:cantSplit/>
                <w:trHeight w:val="20" w:hRule="atLeast"/>
              </w:trPr>
              <w:tc>
                <w:tcPr>
                  <w:tcW w:w="602" w:type="dxa"/>
                  <w:vMerge w:val="continue"/>
                  <w:vAlign w:val="center"/>
                </w:tcPr>
                <w:p>
                  <w:pPr>
                    <w:adjustRightInd w:val="0"/>
                    <w:snapToGrid w:val="0"/>
                    <w:jc w:val="center"/>
                    <w:rPr>
                      <w:color w:val="auto"/>
                      <w:sz w:val="18"/>
                      <w:szCs w:val="18"/>
                    </w:rPr>
                  </w:pPr>
                </w:p>
              </w:tc>
              <w:tc>
                <w:tcPr>
                  <w:tcW w:w="1995" w:type="dxa"/>
                  <w:gridSpan w:val="2"/>
                  <w:vAlign w:val="center"/>
                </w:tcPr>
                <w:p>
                  <w:pPr>
                    <w:adjustRightInd w:val="0"/>
                    <w:snapToGrid w:val="0"/>
                    <w:jc w:val="center"/>
                    <w:rPr>
                      <w:snapToGrid w:val="0"/>
                      <w:color w:val="auto"/>
                      <w:kern w:val="0"/>
                      <w:sz w:val="18"/>
                      <w:szCs w:val="18"/>
                    </w:rPr>
                  </w:pPr>
                  <w:r>
                    <w:rPr>
                      <w:rFonts w:hint="eastAsia"/>
                      <w:snapToGrid w:val="0"/>
                      <w:color w:val="auto"/>
                      <w:kern w:val="0"/>
                      <w:sz w:val="18"/>
                      <w:szCs w:val="18"/>
                    </w:rPr>
                    <w:t>二层</w:t>
                  </w:r>
                  <w:r>
                    <w:rPr>
                      <w:rFonts w:hint="eastAsia"/>
                      <w:color w:val="auto"/>
                      <w:sz w:val="18"/>
                      <w:szCs w:val="18"/>
                    </w:rPr>
                    <w:t>车间</w:t>
                  </w:r>
                </w:p>
              </w:tc>
              <w:tc>
                <w:tcPr>
                  <w:tcW w:w="1710" w:type="dxa"/>
                  <w:vAlign w:val="center"/>
                </w:tcPr>
                <w:p>
                  <w:pPr>
                    <w:adjustRightInd w:val="0"/>
                    <w:snapToGrid w:val="0"/>
                    <w:jc w:val="center"/>
                    <w:rPr>
                      <w:color w:val="auto"/>
                      <w:sz w:val="18"/>
                      <w:szCs w:val="18"/>
                    </w:rPr>
                  </w:pPr>
                  <w:r>
                    <w:rPr>
                      <w:rFonts w:hint="eastAsia"/>
                      <w:snapToGrid w:val="0"/>
                      <w:color w:val="auto"/>
                      <w:kern w:val="0"/>
                      <w:sz w:val="18"/>
                      <w:szCs w:val="18"/>
                    </w:rPr>
                    <w:t>300</w:t>
                  </w:r>
                  <w:r>
                    <w:rPr>
                      <w:snapToGrid w:val="0"/>
                      <w:color w:val="auto"/>
                      <w:kern w:val="0"/>
                      <w:sz w:val="18"/>
                      <w:szCs w:val="18"/>
                    </w:rPr>
                    <w:t>m</w:t>
                  </w:r>
                  <w:r>
                    <w:rPr>
                      <w:snapToGrid w:val="0"/>
                      <w:color w:val="auto"/>
                      <w:kern w:val="0"/>
                      <w:sz w:val="18"/>
                      <w:szCs w:val="18"/>
                      <w:vertAlign w:val="superscript"/>
                    </w:rPr>
                    <w:t>2</w:t>
                  </w:r>
                  <w:r>
                    <w:rPr>
                      <w:rFonts w:hint="eastAsia"/>
                      <w:snapToGrid w:val="0"/>
                      <w:color w:val="auto"/>
                      <w:kern w:val="0"/>
                      <w:sz w:val="18"/>
                      <w:szCs w:val="18"/>
                    </w:rPr>
                    <w:t>，用于办公、会议。</w:t>
                  </w:r>
                </w:p>
              </w:tc>
              <w:tc>
                <w:tcPr>
                  <w:tcW w:w="2565" w:type="dxa"/>
                  <w:vAlign w:val="center"/>
                </w:tcPr>
                <w:p>
                  <w:pPr>
                    <w:adjustRightInd w:val="0"/>
                    <w:snapToGrid w:val="0"/>
                    <w:jc w:val="center"/>
                    <w:rPr>
                      <w:color w:val="auto"/>
                      <w:sz w:val="18"/>
                      <w:szCs w:val="18"/>
                    </w:rPr>
                  </w:pPr>
                  <w:r>
                    <w:rPr>
                      <w:color w:val="auto"/>
                      <w:sz w:val="18"/>
                      <w:szCs w:val="18"/>
                    </w:rPr>
                    <w:t>600</w:t>
                  </w:r>
                  <w:r>
                    <w:rPr>
                      <w:snapToGrid w:val="0"/>
                      <w:color w:val="auto"/>
                      <w:kern w:val="0"/>
                      <w:sz w:val="18"/>
                      <w:szCs w:val="18"/>
                    </w:rPr>
                    <w:t>m</w:t>
                  </w:r>
                  <w:r>
                    <w:rPr>
                      <w:snapToGrid w:val="0"/>
                      <w:color w:val="auto"/>
                      <w:kern w:val="0"/>
                      <w:sz w:val="18"/>
                      <w:szCs w:val="18"/>
                      <w:vertAlign w:val="superscript"/>
                    </w:rPr>
                    <w:t>2</w:t>
                  </w:r>
                  <w:r>
                    <w:rPr>
                      <w:rFonts w:hint="eastAsia"/>
                      <w:snapToGrid w:val="0"/>
                      <w:color w:val="auto"/>
                      <w:kern w:val="0"/>
                      <w:sz w:val="18"/>
                      <w:szCs w:val="18"/>
                    </w:rPr>
                    <w:t>，用于成品存储、原料存储、修边、检验、包装。</w:t>
                  </w:r>
                </w:p>
              </w:tc>
              <w:tc>
                <w:tcPr>
                  <w:tcW w:w="2222" w:type="dxa"/>
                  <w:vMerge w:val="continue"/>
                  <w:vAlign w:val="center"/>
                </w:tcPr>
                <w:p>
                  <w:pPr>
                    <w:adjustRightInd w:val="0"/>
                    <w:snapToGrid w:val="0"/>
                    <w:jc w:val="center"/>
                    <w:rPr>
                      <w:snapToGrid w:val="0"/>
                      <w:color w:val="auto"/>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gridAfter w:val="1"/>
                <w:wAfter w:w="20" w:type="dxa"/>
                <w:cantSplit/>
                <w:trHeight w:val="20" w:hRule="atLeast"/>
              </w:trPr>
              <w:tc>
                <w:tcPr>
                  <w:tcW w:w="602" w:type="dxa"/>
                  <w:vMerge w:val="continue"/>
                  <w:vAlign w:val="center"/>
                </w:tcPr>
                <w:p>
                  <w:pPr>
                    <w:adjustRightInd w:val="0"/>
                    <w:snapToGrid w:val="0"/>
                    <w:jc w:val="center"/>
                    <w:rPr>
                      <w:color w:val="auto"/>
                      <w:sz w:val="18"/>
                      <w:szCs w:val="18"/>
                    </w:rPr>
                  </w:pPr>
                </w:p>
              </w:tc>
              <w:tc>
                <w:tcPr>
                  <w:tcW w:w="1995" w:type="dxa"/>
                  <w:gridSpan w:val="2"/>
                  <w:vAlign w:val="center"/>
                </w:tcPr>
                <w:p>
                  <w:pPr>
                    <w:adjustRightInd w:val="0"/>
                    <w:snapToGrid w:val="0"/>
                    <w:jc w:val="center"/>
                    <w:rPr>
                      <w:snapToGrid w:val="0"/>
                      <w:color w:val="auto"/>
                      <w:kern w:val="0"/>
                      <w:sz w:val="18"/>
                      <w:szCs w:val="18"/>
                    </w:rPr>
                  </w:pPr>
                  <w:r>
                    <w:rPr>
                      <w:rFonts w:hint="eastAsia"/>
                      <w:snapToGrid w:val="0"/>
                      <w:color w:val="auto"/>
                      <w:kern w:val="0"/>
                      <w:sz w:val="18"/>
                      <w:szCs w:val="18"/>
                    </w:rPr>
                    <w:t>三层</w:t>
                  </w:r>
                  <w:r>
                    <w:rPr>
                      <w:rFonts w:hint="eastAsia"/>
                      <w:color w:val="auto"/>
                      <w:sz w:val="18"/>
                      <w:szCs w:val="18"/>
                    </w:rPr>
                    <w:t>车间</w:t>
                  </w:r>
                </w:p>
              </w:tc>
              <w:tc>
                <w:tcPr>
                  <w:tcW w:w="1710" w:type="dxa"/>
                  <w:vAlign w:val="center"/>
                </w:tcPr>
                <w:p>
                  <w:pPr>
                    <w:adjustRightInd w:val="0"/>
                    <w:snapToGrid w:val="0"/>
                    <w:jc w:val="center"/>
                    <w:rPr>
                      <w:color w:val="auto"/>
                      <w:sz w:val="18"/>
                      <w:szCs w:val="18"/>
                    </w:rPr>
                  </w:pPr>
                  <w:r>
                    <w:rPr>
                      <w:rFonts w:hint="eastAsia"/>
                      <w:color w:val="auto"/>
                      <w:sz w:val="18"/>
                      <w:szCs w:val="18"/>
                    </w:rPr>
                    <w:t>/</w:t>
                  </w:r>
                </w:p>
              </w:tc>
              <w:tc>
                <w:tcPr>
                  <w:tcW w:w="2565" w:type="dxa"/>
                  <w:vAlign w:val="center"/>
                </w:tcPr>
                <w:p>
                  <w:pPr>
                    <w:adjustRightInd w:val="0"/>
                    <w:snapToGrid w:val="0"/>
                    <w:jc w:val="center"/>
                    <w:rPr>
                      <w:snapToGrid w:val="0"/>
                      <w:color w:val="auto"/>
                      <w:kern w:val="0"/>
                      <w:sz w:val="18"/>
                      <w:szCs w:val="18"/>
                    </w:rPr>
                  </w:pPr>
                  <w:r>
                    <w:rPr>
                      <w:rFonts w:hint="eastAsia"/>
                      <w:snapToGrid w:val="0"/>
                      <w:color w:val="auto"/>
                      <w:kern w:val="0"/>
                      <w:sz w:val="18"/>
                      <w:szCs w:val="18"/>
                    </w:rPr>
                    <w:t>300</w:t>
                  </w:r>
                  <w:r>
                    <w:rPr>
                      <w:snapToGrid w:val="0"/>
                      <w:color w:val="auto"/>
                      <w:kern w:val="0"/>
                      <w:sz w:val="18"/>
                      <w:szCs w:val="18"/>
                    </w:rPr>
                    <w:t>m</w:t>
                  </w:r>
                  <w:r>
                    <w:rPr>
                      <w:snapToGrid w:val="0"/>
                      <w:color w:val="auto"/>
                      <w:kern w:val="0"/>
                      <w:sz w:val="18"/>
                      <w:szCs w:val="18"/>
                      <w:vertAlign w:val="superscript"/>
                    </w:rPr>
                    <w:t>2</w:t>
                  </w:r>
                  <w:r>
                    <w:rPr>
                      <w:rFonts w:hint="eastAsia"/>
                      <w:snapToGrid w:val="0"/>
                      <w:color w:val="auto"/>
                      <w:kern w:val="0"/>
                      <w:sz w:val="18"/>
                      <w:szCs w:val="18"/>
                    </w:rPr>
                    <w:t>，用于办公、会议。</w:t>
                  </w:r>
                </w:p>
              </w:tc>
              <w:tc>
                <w:tcPr>
                  <w:tcW w:w="2222" w:type="dxa"/>
                  <w:vMerge w:val="continue"/>
                  <w:vAlign w:val="center"/>
                </w:tcPr>
                <w:p>
                  <w:pPr>
                    <w:adjustRightInd w:val="0"/>
                    <w:snapToGrid w:val="0"/>
                    <w:jc w:val="center"/>
                    <w:rPr>
                      <w:snapToGrid w:val="0"/>
                      <w:color w:val="auto"/>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gridAfter w:val="1"/>
                <w:wAfter w:w="20" w:type="dxa"/>
                <w:cantSplit/>
                <w:trHeight w:val="20" w:hRule="atLeast"/>
              </w:trPr>
              <w:tc>
                <w:tcPr>
                  <w:tcW w:w="602" w:type="dxa"/>
                  <w:vMerge w:val="restart"/>
                  <w:vAlign w:val="center"/>
                </w:tcPr>
                <w:p>
                  <w:pPr>
                    <w:adjustRightInd w:val="0"/>
                    <w:snapToGrid w:val="0"/>
                    <w:jc w:val="center"/>
                    <w:rPr>
                      <w:color w:val="auto"/>
                      <w:sz w:val="18"/>
                      <w:szCs w:val="18"/>
                    </w:rPr>
                  </w:pPr>
                  <w:r>
                    <w:rPr>
                      <w:color w:val="auto"/>
                      <w:sz w:val="18"/>
                      <w:szCs w:val="18"/>
                    </w:rPr>
                    <w:t>公用</w:t>
                  </w:r>
                </w:p>
                <w:p>
                  <w:pPr>
                    <w:adjustRightInd w:val="0"/>
                    <w:snapToGrid w:val="0"/>
                    <w:jc w:val="center"/>
                    <w:rPr>
                      <w:color w:val="auto"/>
                      <w:sz w:val="18"/>
                      <w:szCs w:val="18"/>
                    </w:rPr>
                  </w:pPr>
                  <w:r>
                    <w:rPr>
                      <w:color w:val="auto"/>
                      <w:sz w:val="18"/>
                      <w:szCs w:val="18"/>
                    </w:rPr>
                    <w:t>工程</w:t>
                  </w:r>
                </w:p>
              </w:tc>
              <w:tc>
                <w:tcPr>
                  <w:tcW w:w="1995" w:type="dxa"/>
                  <w:gridSpan w:val="2"/>
                  <w:vAlign w:val="center"/>
                </w:tcPr>
                <w:p>
                  <w:pPr>
                    <w:pStyle w:val="87"/>
                    <w:adjustRightInd w:val="0"/>
                    <w:snapToGrid w:val="0"/>
                    <w:spacing w:line="240" w:lineRule="auto"/>
                    <w:rPr>
                      <w:color w:val="auto"/>
                      <w:sz w:val="18"/>
                      <w:szCs w:val="18"/>
                    </w:rPr>
                  </w:pPr>
                  <w:r>
                    <w:rPr>
                      <w:color w:val="auto"/>
                      <w:sz w:val="18"/>
                      <w:szCs w:val="18"/>
                    </w:rPr>
                    <w:t>给水</w:t>
                  </w:r>
                </w:p>
              </w:tc>
              <w:tc>
                <w:tcPr>
                  <w:tcW w:w="1710" w:type="dxa"/>
                  <w:vAlign w:val="center"/>
                </w:tcPr>
                <w:p>
                  <w:pPr>
                    <w:pStyle w:val="87"/>
                    <w:adjustRightInd w:val="0"/>
                    <w:snapToGrid w:val="0"/>
                    <w:spacing w:line="240" w:lineRule="auto"/>
                    <w:rPr>
                      <w:color w:val="auto"/>
                      <w:sz w:val="18"/>
                      <w:szCs w:val="18"/>
                    </w:rPr>
                  </w:pPr>
                  <w:r>
                    <w:rPr>
                      <w:rFonts w:hint="eastAsia"/>
                      <w:color w:val="auto"/>
                      <w:sz w:val="18"/>
                      <w:szCs w:val="18"/>
                    </w:rPr>
                    <w:t>249</w:t>
                  </w:r>
                  <w:r>
                    <w:rPr>
                      <w:color w:val="auto"/>
                      <w:sz w:val="18"/>
                      <w:szCs w:val="18"/>
                    </w:rPr>
                    <w:t>t/a</w:t>
                  </w:r>
                </w:p>
              </w:tc>
              <w:tc>
                <w:tcPr>
                  <w:tcW w:w="2565" w:type="dxa"/>
                  <w:vAlign w:val="center"/>
                </w:tcPr>
                <w:p>
                  <w:pPr>
                    <w:pStyle w:val="87"/>
                    <w:adjustRightInd w:val="0"/>
                    <w:snapToGrid w:val="0"/>
                    <w:spacing w:line="240" w:lineRule="auto"/>
                    <w:rPr>
                      <w:color w:val="auto"/>
                      <w:sz w:val="18"/>
                      <w:szCs w:val="18"/>
                    </w:rPr>
                  </w:pPr>
                  <w:r>
                    <w:rPr>
                      <w:rFonts w:hint="eastAsia"/>
                      <w:color w:val="auto"/>
                      <w:sz w:val="18"/>
                      <w:szCs w:val="18"/>
                    </w:rPr>
                    <w:t>300</w:t>
                  </w:r>
                  <w:r>
                    <w:rPr>
                      <w:color w:val="auto"/>
                      <w:sz w:val="18"/>
                      <w:szCs w:val="18"/>
                    </w:rPr>
                    <w:t>t/a</w:t>
                  </w:r>
                </w:p>
              </w:tc>
              <w:tc>
                <w:tcPr>
                  <w:tcW w:w="2222" w:type="dxa"/>
                  <w:vAlign w:val="center"/>
                </w:tcPr>
                <w:p>
                  <w:pPr>
                    <w:pStyle w:val="87"/>
                    <w:adjustRightInd w:val="0"/>
                    <w:snapToGrid w:val="0"/>
                    <w:spacing w:line="240" w:lineRule="auto"/>
                    <w:rPr>
                      <w:color w:val="auto"/>
                      <w:sz w:val="18"/>
                      <w:szCs w:val="18"/>
                    </w:rPr>
                  </w:pPr>
                  <w:r>
                    <w:rPr>
                      <w:rFonts w:hint="eastAsia"/>
                      <w:color w:val="auto"/>
                      <w:sz w:val="18"/>
                      <w:szCs w:val="18"/>
                    </w:rPr>
                    <w:t>由</w:t>
                  </w:r>
                  <w:r>
                    <w:rPr>
                      <w:color w:val="auto"/>
                      <w:sz w:val="18"/>
                      <w:szCs w:val="18"/>
                    </w:rPr>
                    <w:t>市政供水管网供给，可满足生产、生活用水</w:t>
                  </w:r>
                  <w:r>
                    <w:rPr>
                      <w:rFonts w:hint="eastAsia"/>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gridAfter w:val="1"/>
                <w:wAfter w:w="20" w:type="dxa"/>
                <w:cantSplit/>
                <w:trHeight w:val="20" w:hRule="atLeast"/>
              </w:trPr>
              <w:tc>
                <w:tcPr>
                  <w:tcW w:w="602" w:type="dxa"/>
                  <w:vMerge w:val="continue"/>
                  <w:vAlign w:val="center"/>
                </w:tcPr>
                <w:p>
                  <w:pPr>
                    <w:widowControl/>
                    <w:adjustRightInd w:val="0"/>
                    <w:snapToGrid w:val="0"/>
                    <w:jc w:val="center"/>
                    <w:rPr>
                      <w:color w:val="auto"/>
                      <w:sz w:val="18"/>
                      <w:szCs w:val="18"/>
                    </w:rPr>
                  </w:pPr>
                </w:p>
              </w:tc>
              <w:tc>
                <w:tcPr>
                  <w:tcW w:w="1995" w:type="dxa"/>
                  <w:gridSpan w:val="2"/>
                  <w:vAlign w:val="center"/>
                </w:tcPr>
                <w:p>
                  <w:pPr>
                    <w:pStyle w:val="87"/>
                    <w:adjustRightInd w:val="0"/>
                    <w:snapToGrid w:val="0"/>
                    <w:spacing w:line="240" w:lineRule="auto"/>
                    <w:rPr>
                      <w:color w:val="auto"/>
                      <w:sz w:val="18"/>
                      <w:szCs w:val="18"/>
                    </w:rPr>
                  </w:pPr>
                  <w:r>
                    <w:rPr>
                      <w:color w:val="auto"/>
                      <w:sz w:val="18"/>
                      <w:szCs w:val="18"/>
                    </w:rPr>
                    <w:t>排水</w:t>
                  </w:r>
                </w:p>
              </w:tc>
              <w:tc>
                <w:tcPr>
                  <w:tcW w:w="1710" w:type="dxa"/>
                  <w:vAlign w:val="center"/>
                </w:tcPr>
                <w:p>
                  <w:pPr>
                    <w:pStyle w:val="87"/>
                    <w:adjustRightInd w:val="0"/>
                    <w:snapToGrid w:val="0"/>
                    <w:spacing w:line="240" w:lineRule="auto"/>
                    <w:rPr>
                      <w:color w:val="auto"/>
                      <w:sz w:val="18"/>
                      <w:szCs w:val="18"/>
                    </w:rPr>
                  </w:pPr>
                  <w:r>
                    <w:rPr>
                      <w:rFonts w:hint="eastAsia"/>
                      <w:color w:val="auto"/>
                      <w:sz w:val="18"/>
                      <w:szCs w:val="18"/>
                    </w:rPr>
                    <w:t>191</w:t>
                  </w:r>
                  <w:r>
                    <w:rPr>
                      <w:color w:val="auto"/>
                      <w:sz w:val="18"/>
                      <w:szCs w:val="18"/>
                    </w:rPr>
                    <w:t>t/a</w:t>
                  </w:r>
                </w:p>
              </w:tc>
              <w:tc>
                <w:tcPr>
                  <w:tcW w:w="2565" w:type="dxa"/>
                  <w:vAlign w:val="center"/>
                </w:tcPr>
                <w:p>
                  <w:pPr>
                    <w:pStyle w:val="87"/>
                    <w:adjustRightInd w:val="0"/>
                    <w:snapToGrid w:val="0"/>
                    <w:spacing w:line="240" w:lineRule="auto"/>
                    <w:rPr>
                      <w:color w:val="auto"/>
                      <w:sz w:val="18"/>
                      <w:szCs w:val="18"/>
                    </w:rPr>
                  </w:pPr>
                  <w:r>
                    <w:rPr>
                      <w:rFonts w:hint="eastAsia"/>
                      <w:color w:val="auto"/>
                      <w:sz w:val="18"/>
                      <w:szCs w:val="18"/>
                    </w:rPr>
                    <w:t>240</w:t>
                  </w:r>
                  <w:r>
                    <w:rPr>
                      <w:color w:val="auto"/>
                      <w:sz w:val="18"/>
                      <w:szCs w:val="18"/>
                    </w:rPr>
                    <w:t>t/a</w:t>
                  </w:r>
                </w:p>
              </w:tc>
              <w:tc>
                <w:tcPr>
                  <w:tcW w:w="2222" w:type="dxa"/>
                  <w:vAlign w:val="center"/>
                </w:tcPr>
                <w:p>
                  <w:pPr>
                    <w:pStyle w:val="87"/>
                    <w:adjustRightInd w:val="0"/>
                    <w:snapToGrid w:val="0"/>
                    <w:spacing w:line="240" w:lineRule="auto"/>
                    <w:rPr>
                      <w:color w:val="auto"/>
                      <w:sz w:val="18"/>
                      <w:szCs w:val="18"/>
                    </w:rPr>
                  </w:pPr>
                  <w:r>
                    <w:rPr>
                      <w:rFonts w:hint="eastAsia"/>
                      <w:color w:val="auto"/>
                      <w:sz w:val="18"/>
                      <w:szCs w:val="18"/>
                    </w:rPr>
                    <w:t>本项目排水240</w:t>
                  </w:r>
                  <w:r>
                    <w:rPr>
                      <w:color w:val="auto"/>
                      <w:sz w:val="18"/>
                      <w:szCs w:val="18"/>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gridAfter w:val="1"/>
                <w:wAfter w:w="20" w:type="dxa"/>
                <w:cantSplit/>
                <w:trHeight w:val="20" w:hRule="atLeast"/>
              </w:trPr>
              <w:tc>
                <w:tcPr>
                  <w:tcW w:w="602" w:type="dxa"/>
                  <w:vMerge w:val="continue"/>
                  <w:vAlign w:val="center"/>
                </w:tcPr>
                <w:p>
                  <w:pPr>
                    <w:widowControl/>
                    <w:adjustRightInd w:val="0"/>
                    <w:snapToGrid w:val="0"/>
                    <w:jc w:val="center"/>
                    <w:rPr>
                      <w:color w:val="auto"/>
                      <w:sz w:val="18"/>
                      <w:szCs w:val="18"/>
                    </w:rPr>
                  </w:pPr>
                </w:p>
              </w:tc>
              <w:tc>
                <w:tcPr>
                  <w:tcW w:w="1995" w:type="dxa"/>
                  <w:gridSpan w:val="2"/>
                  <w:vAlign w:val="center"/>
                </w:tcPr>
                <w:p>
                  <w:pPr>
                    <w:pStyle w:val="87"/>
                    <w:adjustRightInd w:val="0"/>
                    <w:snapToGrid w:val="0"/>
                    <w:spacing w:line="240" w:lineRule="auto"/>
                    <w:rPr>
                      <w:color w:val="auto"/>
                      <w:sz w:val="18"/>
                      <w:szCs w:val="18"/>
                    </w:rPr>
                  </w:pPr>
                  <w:r>
                    <w:rPr>
                      <w:color w:val="auto"/>
                      <w:sz w:val="18"/>
                      <w:szCs w:val="18"/>
                    </w:rPr>
                    <w:t>供电</w:t>
                  </w:r>
                </w:p>
              </w:tc>
              <w:tc>
                <w:tcPr>
                  <w:tcW w:w="1710" w:type="dxa"/>
                  <w:vAlign w:val="center"/>
                </w:tcPr>
                <w:p>
                  <w:pPr>
                    <w:pStyle w:val="87"/>
                    <w:adjustRightInd w:val="0"/>
                    <w:snapToGrid w:val="0"/>
                    <w:spacing w:line="240" w:lineRule="auto"/>
                    <w:rPr>
                      <w:color w:val="auto"/>
                      <w:sz w:val="18"/>
                      <w:szCs w:val="18"/>
                    </w:rPr>
                  </w:pPr>
                  <w:r>
                    <w:rPr>
                      <w:rFonts w:hint="eastAsia"/>
                      <w:color w:val="auto"/>
                      <w:sz w:val="18"/>
                      <w:szCs w:val="18"/>
                    </w:rPr>
                    <w:t>30</w:t>
                  </w:r>
                  <w:r>
                    <w:rPr>
                      <w:color w:val="auto"/>
                      <w:sz w:val="18"/>
                      <w:szCs w:val="18"/>
                    </w:rPr>
                    <w:t>万千瓦时/年</w:t>
                  </w:r>
                </w:p>
              </w:tc>
              <w:tc>
                <w:tcPr>
                  <w:tcW w:w="2565" w:type="dxa"/>
                  <w:vAlign w:val="center"/>
                </w:tcPr>
                <w:p>
                  <w:pPr>
                    <w:pStyle w:val="87"/>
                    <w:adjustRightInd w:val="0"/>
                    <w:snapToGrid w:val="0"/>
                    <w:spacing w:line="240" w:lineRule="auto"/>
                    <w:rPr>
                      <w:color w:val="auto"/>
                      <w:sz w:val="18"/>
                      <w:szCs w:val="18"/>
                    </w:rPr>
                  </w:pPr>
                  <w:r>
                    <w:rPr>
                      <w:rFonts w:hint="eastAsia"/>
                      <w:color w:val="auto"/>
                      <w:sz w:val="18"/>
                      <w:szCs w:val="18"/>
                    </w:rPr>
                    <w:t>50</w:t>
                  </w:r>
                  <w:r>
                    <w:rPr>
                      <w:color w:val="auto"/>
                      <w:sz w:val="18"/>
                      <w:szCs w:val="18"/>
                    </w:rPr>
                    <w:t>万千瓦时/年</w:t>
                  </w:r>
                </w:p>
              </w:tc>
              <w:tc>
                <w:tcPr>
                  <w:tcW w:w="2222" w:type="dxa"/>
                  <w:vAlign w:val="center"/>
                </w:tcPr>
                <w:p>
                  <w:pPr>
                    <w:pStyle w:val="87"/>
                    <w:adjustRightInd w:val="0"/>
                    <w:snapToGrid w:val="0"/>
                    <w:spacing w:line="240" w:lineRule="auto"/>
                    <w:rPr>
                      <w:color w:val="auto"/>
                      <w:sz w:val="18"/>
                      <w:szCs w:val="18"/>
                    </w:rPr>
                  </w:pPr>
                  <w:r>
                    <w:rPr>
                      <w:color w:val="auto"/>
                      <w:sz w:val="18"/>
                      <w:szCs w:val="18"/>
                    </w:rPr>
                    <w:t>市政电网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gridAfter w:val="1"/>
                <w:wAfter w:w="20" w:type="dxa"/>
                <w:cantSplit/>
                <w:trHeight w:val="254" w:hRule="atLeast"/>
              </w:trPr>
              <w:tc>
                <w:tcPr>
                  <w:tcW w:w="602" w:type="dxa"/>
                  <w:vMerge w:val="continue"/>
                  <w:vAlign w:val="center"/>
                </w:tcPr>
                <w:p>
                  <w:pPr>
                    <w:widowControl/>
                    <w:adjustRightInd w:val="0"/>
                    <w:snapToGrid w:val="0"/>
                    <w:jc w:val="center"/>
                    <w:rPr>
                      <w:color w:val="auto"/>
                      <w:sz w:val="18"/>
                      <w:szCs w:val="18"/>
                    </w:rPr>
                  </w:pPr>
                </w:p>
              </w:tc>
              <w:tc>
                <w:tcPr>
                  <w:tcW w:w="1995" w:type="dxa"/>
                  <w:gridSpan w:val="2"/>
                  <w:vAlign w:val="center"/>
                </w:tcPr>
                <w:p>
                  <w:pPr>
                    <w:pStyle w:val="87"/>
                    <w:adjustRightInd w:val="0"/>
                    <w:snapToGrid w:val="0"/>
                    <w:spacing w:line="240" w:lineRule="auto"/>
                    <w:rPr>
                      <w:color w:val="auto"/>
                      <w:sz w:val="18"/>
                      <w:szCs w:val="18"/>
                    </w:rPr>
                  </w:pPr>
                  <w:r>
                    <w:rPr>
                      <w:color w:val="auto"/>
                      <w:sz w:val="18"/>
                      <w:szCs w:val="18"/>
                    </w:rPr>
                    <w:t>绿化</w:t>
                  </w:r>
                </w:p>
              </w:tc>
              <w:tc>
                <w:tcPr>
                  <w:tcW w:w="1710" w:type="dxa"/>
                  <w:vAlign w:val="center"/>
                </w:tcPr>
                <w:p>
                  <w:pPr>
                    <w:pStyle w:val="87"/>
                    <w:adjustRightInd w:val="0"/>
                    <w:snapToGrid w:val="0"/>
                    <w:spacing w:line="240" w:lineRule="auto"/>
                    <w:rPr>
                      <w:color w:val="auto"/>
                      <w:sz w:val="18"/>
                      <w:szCs w:val="18"/>
                    </w:rPr>
                  </w:pPr>
                  <w:r>
                    <w:rPr>
                      <w:rFonts w:hint="eastAsia"/>
                      <w:color w:val="auto"/>
                      <w:sz w:val="18"/>
                      <w:szCs w:val="18"/>
                    </w:rPr>
                    <w:t>依托周边</w:t>
                  </w:r>
                </w:p>
              </w:tc>
              <w:tc>
                <w:tcPr>
                  <w:tcW w:w="2565" w:type="dxa"/>
                  <w:vAlign w:val="center"/>
                </w:tcPr>
                <w:p>
                  <w:pPr>
                    <w:pStyle w:val="87"/>
                    <w:adjustRightInd w:val="0"/>
                    <w:snapToGrid w:val="0"/>
                    <w:spacing w:line="240" w:lineRule="auto"/>
                    <w:rPr>
                      <w:color w:val="auto"/>
                      <w:sz w:val="18"/>
                      <w:szCs w:val="18"/>
                    </w:rPr>
                  </w:pPr>
                  <w:r>
                    <w:rPr>
                      <w:rFonts w:hint="eastAsia"/>
                      <w:color w:val="auto"/>
                      <w:sz w:val="18"/>
                      <w:szCs w:val="18"/>
                    </w:rPr>
                    <w:t>依托周边</w:t>
                  </w:r>
                </w:p>
              </w:tc>
              <w:tc>
                <w:tcPr>
                  <w:tcW w:w="2222" w:type="dxa"/>
                  <w:vAlign w:val="center"/>
                </w:tcPr>
                <w:p>
                  <w:pPr>
                    <w:pStyle w:val="87"/>
                    <w:adjustRightInd w:val="0"/>
                    <w:snapToGrid w:val="0"/>
                    <w:spacing w:line="240" w:lineRule="auto"/>
                    <w:rPr>
                      <w:color w:val="auto"/>
                      <w:sz w:val="18"/>
                      <w:szCs w:val="18"/>
                    </w:rPr>
                  </w:pPr>
                  <w:r>
                    <w:rPr>
                      <w:rFonts w:hint="eastAsia"/>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gridAfter w:val="1"/>
                <w:wAfter w:w="20" w:type="dxa"/>
                <w:cantSplit/>
                <w:trHeight w:val="254" w:hRule="atLeast"/>
              </w:trPr>
              <w:tc>
                <w:tcPr>
                  <w:tcW w:w="602" w:type="dxa"/>
                  <w:vMerge w:val="continue"/>
                  <w:vAlign w:val="center"/>
                </w:tcPr>
                <w:p>
                  <w:pPr>
                    <w:widowControl/>
                    <w:adjustRightInd w:val="0"/>
                    <w:snapToGrid w:val="0"/>
                    <w:jc w:val="center"/>
                    <w:rPr>
                      <w:color w:val="auto"/>
                      <w:sz w:val="18"/>
                      <w:szCs w:val="18"/>
                    </w:rPr>
                  </w:pPr>
                </w:p>
              </w:tc>
              <w:tc>
                <w:tcPr>
                  <w:tcW w:w="1995" w:type="dxa"/>
                  <w:gridSpan w:val="2"/>
                  <w:vAlign w:val="center"/>
                </w:tcPr>
                <w:p>
                  <w:pPr>
                    <w:pStyle w:val="87"/>
                    <w:adjustRightInd w:val="0"/>
                    <w:snapToGrid w:val="0"/>
                    <w:spacing w:line="240" w:lineRule="auto"/>
                    <w:rPr>
                      <w:color w:val="auto"/>
                      <w:sz w:val="18"/>
                      <w:szCs w:val="18"/>
                    </w:rPr>
                  </w:pPr>
                  <w:r>
                    <w:rPr>
                      <w:rFonts w:hint="eastAsia"/>
                      <w:color w:val="auto"/>
                      <w:sz w:val="18"/>
                      <w:szCs w:val="18"/>
                    </w:rPr>
                    <w:t>空压机</w:t>
                  </w:r>
                </w:p>
              </w:tc>
              <w:tc>
                <w:tcPr>
                  <w:tcW w:w="1710" w:type="dxa"/>
                  <w:vAlign w:val="center"/>
                </w:tcPr>
                <w:p>
                  <w:pPr>
                    <w:pStyle w:val="87"/>
                    <w:adjustRightInd w:val="0"/>
                    <w:snapToGrid w:val="0"/>
                    <w:spacing w:line="240" w:lineRule="auto"/>
                    <w:rPr>
                      <w:color w:val="auto"/>
                      <w:sz w:val="18"/>
                      <w:szCs w:val="18"/>
                    </w:rPr>
                  </w:pPr>
                  <w:r>
                    <w:rPr>
                      <w:rFonts w:hint="eastAsia"/>
                      <w:color w:val="auto"/>
                      <w:sz w:val="18"/>
                      <w:szCs w:val="18"/>
                    </w:rPr>
                    <w:t>1.0m</w:t>
                  </w:r>
                  <w:r>
                    <w:rPr>
                      <w:rFonts w:hint="eastAsia"/>
                      <w:color w:val="auto"/>
                      <w:sz w:val="18"/>
                      <w:szCs w:val="18"/>
                      <w:vertAlign w:val="superscript"/>
                    </w:rPr>
                    <w:t>3</w:t>
                  </w:r>
                  <w:r>
                    <w:rPr>
                      <w:rFonts w:hint="eastAsia"/>
                      <w:color w:val="auto"/>
                      <w:sz w:val="18"/>
                      <w:szCs w:val="18"/>
                    </w:rPr>
                    <w:t>/min，共2台</w:t>
                  </w:r>
                </w:p>
              </w:tc>
              <w:tc>
                <w:tcPr>
                  <w:tcW w:w="2565" w:type="dxa"/>
                  <w:vAlign w:val="center"/>
                </w:tcPr>
                <w:p>
                  <w:pPr>
                    <w:pStyle w:val="87"/>
                    <w:adjustRightInd w:val="0"/>
                    <w:snapToGrid w:val="0"/>
                    <w:spacing w:line="240" w:lineRule="auto"/>
                    <w:rPr>
                      <w:color w:val="auto"/>
                      <w:sz w:val="18"/>
                      <w:szCs w:val="18"/>
                    </w:rPr>
                  </w:pPr>
                  <w:r>
                    <w:rPr>
                      <w:rFonts w:hint="eastAsia"/>
                      <w:color w:val="auto"/>
                      <w:sz w:val="18"/>
                      <w:szCs w:val="18"/>
                    </w:rPr>
                    <w:t>1.0m</w:t>
                  </w:r>
                  <w:r>
                    <w:rPr>
                      <w:rFonts w:hint="eastAsia"/>
                      <w:color w:val="auto"/>
                      <w:sz w:val="18"/>
                      <w:szCs w:val="18"/>
                      <w:vertAlign w:val="superscript"/>
                    </w:rPr>
                    <w:t>3</w:t>
                  </w:r>
                  <w:r>
                    <w:rPr>
                      <w:rFonts w:hint="eastAsia"/>
                      <w:color w:val="auto"/>
                      <w:sz w:val="18"/>
                      <w:szCs w:val="18"/>
                    </w:rPr>
                    <w:t>/min，共2台</w:t>
                  </w:r>
                </w:p>
              </w:tc>
              <w:tc>
                <w:tcPr>
                  <w:tcW w:w="2222" w:type="dxa"/>
                  <w:vAlign w:val="center"/>
                </w:tcPr>
                <w:p>
                  <w:pPr>
                    <w:pStyle w:val="87"/>
                    <w:adjustRightInd w:val="0"/>
                    <w:snapToGrid w:val="0"/>
                    <w:spacing w:line="240" w:lineRule="auto"/>
                    <w:rPr>
                      <w:color w:val="auto"/>
                      <w:sz w:val="18"/>
                      <w:szCs w:val="18"/>
                    </w:rPr>
                  </w:pPr>
                  <w:r>
                    <w:rPr>
                      <w:color w:val="auto"/>
                      <w:sz w:val="18"/>
                      <w:szCs w:val="18"/>
                    </w:rPr>
                    <w:t>满足需要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20" w:hRule="atLeast"/>
              </w:trPr>
              <w:tc>
                <w:tcPr>
                  <w:tcW w:w="602" w:type="dxa"/>
                  <w:vMerge w:val="restart"/>
                  <w:vAlign w:val="center"/>
                </w:tcPr>
                <w:p>
                  <w:pPr>
                    <w:adjustRightInd w:val="0"/>
                    <w:snapToGrid w:val="0"/>
                    <w:jc w:val="center"/>
                    <w:rPr>
                      <w:color w:val="auto"/>
                      <w:sz w:val="18"/>
                      <w:szCs w:val="18"/>
                    </w:rPr>
                  </w:pPr>
                  <w:r>
                    <w:rPr>
                      <w:color w:val="auto"/>
                      <w:sz w:val="18"/>
                      <w:szCs w:val="18"/>
                    </w:rPr>
                    <w:t>环保</w:t>
                  </w:r>
                </w:p>
                <w:p>
                  <w:pPr>
                    <w:adjustRightInd w:val="0"/>
                    <w:snapToGrid w:val="0"/>
                    <w:jc w:val="center"/>
                    <w:rPr>
                      <w:color w:val="auto"/>
                      <w:sz w:val="18"/>
                      <w:szCs w:val="18"/>
                    </w:rPr>
                  </w:pPr>
                  <w:r>
                    <w:rPr>
                      <w:color w:val="auto"/>
                      <w:sz w:val="18"/>
                      <w:szCs w:val="18"/>
                    </w:rPr>
                    <w:t>工程</w:t>
                  </w:r>
                </w:p>
              </w:tc>
              <w:tc>
                <w:tcPr>
                  <w:tcW w:w="420" w:type="dxa"/>
                  <w:vMerge w:val="restart"/>
                  <w:vAlign w:val="center"/>
                </w:tcPr>
                <w:p>
                  <w:pPr>
                    <w:adjustRightInd w:val="0"/>
                    <w:snapToGrid w:val="0"/>
                    <w:jc w:val="center"/>
                    <w:rPr>
                      <w:color w:val="auto"/>
                      <w:sz w:val="18"/>
                      <w:szCs w:val="18"/>
                    </w:rPr>
                  </w:pPr>
                  <w:r>
                    <w:rPr>
                      <w:color w:val="auto"/>
                      <w:sz w:val="18"/>
                      <w:szCs w:val="18"/>
                    </w:rPr>
                    <w:t>废气</w:t>
                  </w:r>
                </w:p>
              </w:tc>
              <w:tc>
                <w:tcPr>
                  <w:tcW w:w="1575" w:type="dxa"/>
                  <w:vAlign w:val="center"/>
                </w:tcPr>
                <w:p>
                  <w:pPr>
                    <w:pStyle w:val="87"/>
                    <w:adjustRightInd w:val="0"/>
                    <w:snapToGrid w:val="0"/>
                    <w:spacing w:line="240" w:lineRule="auto"/>
                    <w:rPr>
                      <w:color w:val="auto"/>
                      <w:sz w:val="18"/>
                      <w:szCs w:val="18"/>
                    </w:rPr>
                  </w:pPr>
                  <w:r>
                    <w:rPr>
                      <w:rFonts w:hint="eastAsia"/>
                      <w:bCs w:val="0"/>
                      <w:color w:val="auto"/>
                      <w:sz w:val="18"/>
                      <w:szCs w:val="18"/>
                    </w:rPr>
                    <w:t>密闭混合、开炼、成型废气</w:t>
                  </w:r>
                </w:p>
              </w:tc>
              <w:tc>
                <w:tcPr>
                  <w:tcW w:w="1710" w:type="dxa"/>
                  <w:vAlign w:val="center"/>
                </w:tcPr>
                <w:p>
                  <w:pPr>
                    <w:pStyle w:val="87"/>
                    <w:adjustRightInd w:val="0"/>
                    <w:snapToGrid w:val="0"/>
                    <w:spacing w:line="240" w:lineRule="auto"/>
                    <w:rPr>
                      <w:color w:val="auto"/>
                      <w:sz w:val="18"/>
                      <w:szCs w:val="18"/>
                    </w:rPr>
                  </w:pPr>
                  <w:r>
                    <w:rPr>
                      <w:rFonts w:hint="eastAsia"/>
                      <w:color w:val="auto"/>
                      <w:sz w:val="18"/>
                      <w:szCs w:val="18"/>
                    </w:rPr>
                    <w:t>活性炭吸附装置</w:t>
                  </w:r>
                  <w:r>
                    <w:rPr>
                      <w:color w:val="auto"/>
                      <w:sz w:val="18"/>
                      <w:szCs w:val="18"/>
                    </w:rPr>
                    <w:t>+15m高排气筒</w:t>
                  </w:r>
                  <w:r>
                    <w:rPr>
                      <w:rFonts w:hint="eastAsia"/>
                      <w:color w:val="auto"/>
                      <w:sz w:val="18"/>
                      <w:szCs w:val="18"/>
                    </w:rPr>
                    <w:t>（DA001）</w:t>
                  </w:r>
                  <w:r>
                    <w:rPr>
                      <w:color w:val="auto"/>
                      <w:sz w:val="18"/>
                      <w:szCs w:val="18"/>
                    </w:rPr>
                    <w:t>，风量</w:t>
                  </w:r>
                  <w:r>
                    <w:rPr>
                      <w:rFonts w:hint="eastAsia"/>
                      <w:color w:val="auto"/>
                      <w:sz w:val="18"/>
                      <w:szCs w:val="18"/>
                    </w:rPr>
                    <w:t>10000</w:t>
                  </w:r>
                  <w:r>
                    <w:rPr>
                      <w:color w:val="auto"/>
                      <w:sz w:val="18"/>
                      <w:szCs w:val="18"/>
                    </w:rPr>
                    <w:t>m</w:t>
                  </w:r>
                  <w:r>
                    <w:rPr>
                      <w:color w:val="auto"/>
                      <w:sz w:val="18"/>
                      <w:szCs w:val="18"/>
                      <w:vertAlign w:val="superscript"/>
                    </w:rPr>
                    <w:t>3</w:t>
                  </w:r>
                  <w:r>
                    <w:rPr>
                      <w:color w:val="auto"/>
                      <w:sz w:val="18"/>
                      <w:szCs w:val="18"/>
                    </w:rPr>
                    <w:t>/h</w:t>
                  </w:r>
                </w:p>
              </w:tc>
              <w:tc>
                <w:tcPr>
                  <w:tcW w:w="2565" w:type="dxa"/>
                  <w:vMerge w:val="restart"/>
                  <w:vAlign w:val="center"/>
                </w:tcPr>
                <w:p>
                  <w:pPr>
                    <w:pStyle w:val="87"/>
                    <w:adjustRightInd w:val="0"/>
                    <w:snapToGrid w:val="0"/>
                    <w:spacing w:line="240" w:lineRule="auto"/>
                    <w:rPr>
                      <w:color w:val="auto"/>
                      <w:sz w:val="18"/>
                      <w:szCs w:val="18"/>
                    </w:rPr>
                  </w:pPr>
                  <w:r>
                    <w:rPr>
                      <w:rFonts w:hint="eastAsia"/>
                      <w:color w:val="auto"/>
                      <w:sz w:val="18"/>
                      <w:szCs w:val="18"/>
                    </w:rPr>
                    <w:t>布袋除尘+二级活性炭吸附装置</w:t>
                  </w:r>
                  <w:r>
                    <w:rPr>
                      <w:color w:val="auto"/>
                      <w:sz w:val="18"/>
                      <w:szCs w:val="18"/>
                    </w:rPr>
                    <w:t>+</w:t>
                  </w:r>
                  <w:r>
                    <w:rPr>
                      <w:rFonts w:hint="eastAsia"/>
                      <w:color w:val="auto"/>
                      <w:sz w:val="18"/>
                      <w:szCs w:val="18"/>
                      <w:lang w:val="en-US" w:eastAsia="zh-CN"/>
                    </w:rPr>
                    <w:t>2</w:t>
                  </w:r>
                  <w:r>
                    <w:rPr>
                      <w:color w:val="auto"/>
                      <w:sz w:val="18"/>
                      <w:szCs w:val="18"/>
                    </w:rPr>
                    <w:t>5m高排气筒</w:t>
                  </w:r>
                  <w:r>
                    <w:rPr>
                      <w:rFonts w:hint="eastAsia"/>
                      <w:color w:val="auto"/>
                      <w:sz w:val="18"/>
                      <w:szCs w:val="18"/>
                    </w:rPr>
                    <w:t>（DA001）</w:t>
                  </w:r>
                  <w:r>
                    <w:rPr>
                      <w:color w:val="auto"/>
                      <w:sz w:val="18"/>
                      <w:szCs w:val="18"/>
                    </w:rPr>
                    <w:t>，风量</w:t>
                  </w:r>
                  <w:r>
                    <w:rPr>
                      <w:rFonts w:hint="eastAsia"/>
                      <w:color w:val="auto"/>
                      <w:sz w:val="18"/>
                      <w:szCs w:val="18"/>
                    </w:rPr>
                    <w:t>26000</w:t>
                  </w:r>
                  <w:r>
                    <w:rPr>
                      <w:color w:val="auto"/>
                      <w:sz w:val="18"/>
                      <w:szCs w:val="18"/>
                    </w:rPr>
                    <w:t>m</w:t>
                  </w:r>
                  <w:r>
                    <w:rPr>
                      <w:color w:val="auto"/>
                      <w:sz w:val="18"/>
                      <w:szCs w:val="18"/>
                      <w:vertAlign w:val="superscript"/>
                    </w:rPr>
                    <w:t>3</w:t>
                  </w:r>
                  <w:r>
                    <w:rPr>
                      <w:color w:val="auto"/>
                      <w:sz w:val="18"/>
                      <w:szCs w:val="18"/>
                    </w:rPr>
                    <w:t>/h</w:t>
                  </w:r>
                </w:p>
              </w:tc>
              <w:tc>
                <w:tcPr>
                  <w:tcW w:w="2242" w:type="dxa"/>
                  <w:gridSpan w:val="2"/>
                  <w:vMerge w:val="restart"/>
                  <w:vAlign w:val="center"/>
                </w:tcPr>
                <w:p>
                  <w:pPr>
                    <w:pStyle w:val="87"/>
                    <w:adjustRightInd w:val="0"/>
                    <w:snapToGrid w:val="0"/>
                    <w:spacing w:line="240" w:lineRule="auto"/>
                    <w:rPr>
                      <w:color w:val="auto"/>
                      <w:sz w:val="18"/>
                      <w:szCs w:val="18"/>
                    </w:rPr>
                  </w:pPr>
                  <w:r>
                    <w:rPr>
                      <w:rFonts w:hint="eastAsia"/>
                      <w:color w:val="auto"/>
                      <w:sz w:val="18"/>
                      <w:szCs w:val="18"/>
                    </w:rPr>
                    <w:t>满足《橡胶制品工业污染物排放标准》（GB27632-2011）、《恶臭污染物排放标准》（GB14554-93）等要求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20" w:hRule="atLeast"/>
              </w:trPr>
              <w:tc>
                <w:tcPr>
                  <w:tcW w:w="602" w:type="dxa"/>
                  <w:vMerge w:val="continue"/>
                  <w:vAlign w:val="center"/>
                </w:tcPr>
                <w:p>
                  <w:pPr>
                    <w:adjustRightInd w:val="0"/>
                    <w:snapToGrid w:val="0"/>
                    <w:jc w:val="center"/>
                    <w:rPr>
                      <w:color w:val="auto"/>
                      <w:sz w:val="18"/>
                      <w:szCs w:val="18"/>
                    </w:rPr>
                  </w:pPr>
                </w:p>
              </w:tc>
              <w:tc>
                <w:tcPr>
                  <w:tcW w:w="420" w:type="dxa"/>
                  <w:vMerge w:val="continue"/>
                  <w:vAlign w:val="center"/>
                </w:tcPr>
                <w:p>
                  <w:pPr>
                    <w:adjustRightInd w:val="0"/>
                    <w:snapToGrid w:val="0"/>
                    <w:jc w:val="center"/>
                    <w:rPr>
                      <w:color w:val="auto"/>
                      <w:sz w:val="18"/>
                      <w:szCs w:val="18"/>
                    </w:rPr>
                  </w:pPr>
                </w:p>
              </w:tc>
              <w:tc>
                <w:tcPr>
                  <w:tcW w:w="1575" w:type="dxa"/>
                  <w:vAlign w:val="center"/>
                </w:tcPr>
                <w:p>
                  <w:pPr>
                    <w:pStyle w:val="87"/>
                    <w:adjustRightInd w:val="0"/>
                    <w:snapToGrid w:val="0"/>
                    <w:spacing w:line="240" w:lineRule="auto"/>
                    <w:rPr>
                      <w:color w:val="auto"/>
                      <w:sz w:val="18"/>
                      <w:szCs w:val="18"/>
                    </w:rPr>
                  </w:pPr>
                  <w:r>
                    <w:rPr>
                      <w:rFonts w:hint="eastAsia"/>
                      <w:bCs w:val="0"/>
                      <w:color w:val="auto"/>
                      <w:sz w:val="18"/>
                      <w:szCs w:val="18"/>
                    </w:rPr>
                    <w:t>注塑废气</w:t>
                  </w:r>
                </w:p>
              </w:tc>
              <w:tc>
                <w:tcPr>
                  <w:tcW w:w="1710" w:type="dxa"/>
                  <w:vAlign w:val="center"/>
                </w:tcPr>
                <w:p>
                  <w:pPr>
                    <w:pStyle w:val="87"/>
                    <w:adjustRightInd w:val="0"/>
                    <w:snapToGrid w:val="0"/>
                    <w:spacing w:line="240" w:lineRule="auto"/>
                    <w:rPr>
                      <w:color w:val="auto"/>
                      <w:sz w:val="18"/>
                      <w:szCs w:val="18"/>
                    </w:rPr>
                  </w:pPr>
                  <w:r>
                    <w:rPr>
                      <w:rFonts w:hint="eastAsia"/>
                      <w:color w:val="auto"/>
                      <w:sz w:val="18"/>
                      <w:szCs w:val="18"/>
                    </w:rPr>
                    <w:t>/</w:t>
                  </w:r>
                </w:p>
              </w:tc>
              <w:tc>
                <w:tcPr>
                  <w:tcW w:w="2565" w:type="dxa"/>
                  <w:vMerge w:val="continue"/>
                  <w:vAlign w:val="center"/>
                </w:tcPr>
                <w:p>
                  <w:pPr>
                    <w:pStyle w:val="87"/>
                    <w:adjustRightInd w:val="0"/>
                    <w:snapToGrid w:val="0"/>
                    <w:spacing w:line="240" w:lineRule="auto"/>
                    <w:rPr>
                      <w:color w:val="auto"/>
                      <w:sz w:val="18"/>
                      <w:szCs w:val="18"/>
                    </w:rPr>
                  </w:pPr>
                </w:p>
              </w:tc>
              <w:tc>
                <w:tcPr>
                  <w:tcW w:w="2242" w:type="dxa"/>
                  <w:gridSpan w:val="2"/>
                  <w:vMerge w:val="continue"/>
                  <w:vAlign w:val="center"/>
                </w:tcPr>
                <w:p>
                  <w:pPr>
                    <w:pStyle w:val="87"/>
                    <w:adjustRightInd w:val="0"/>
                    <w:snapToGrid w:val="0"/>
                    <w:spacing w:line="240" w:lineRule="auto"/>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20" w:hRule="atLeast"/>
              </w:trPr>
              <w:tc>
                <w:tcPr>
                  <w:tcW w:w="602" w:type="dxa"/>
                  <w:vMerge w:val="continue"/>
                  <w:vAlign w:val="center"/>
                </w:tcPr>
                <w:p>
                  <w:pPr>
                    <w:widowControl/>
                    <w:adjustRightInd w:val="0"/>
                    <w:snapToGrid w:val="0"/>
                    <w:jc w:val="center"/>
                    <w:rPr>
                      <w:color w:val="auto"/>
                      <w:sz w:val="18"/>
                      <w:szCs w:val="18"/>
                    </w:rPr>
                  </w:pPr>
                </w:p>
              </w:tc>
              <w:tc>
                <w:tcPr>
                  <w:tcW w:w="420" w:type="dxa"/>
                  <w:vMerge w:val="restart"/>
                  <w:vAlign w:val="center"/>
                </w:tcPr>
                <w:p>
                  <w:pPr>
                    <w:adjustRightInd w:val="0"/>
                    <w:snapToGrid w:val="0"/>
                    <w:jc w:val="center"/>
                    <w:rPr>
                      <w:color w:val="auto"/>
                      <w:sz w:val="18"/>
                      <w:szCs w:val="18"/>
                    </w:rPr>
                  </w:pPr>
                  <w:r>
                    <w:rPr>
                      <w:color w:val="auto"/>
                      <w:sz w:val="18"/>
                      <w:szCs w:val="18"/>
                    </w:rPr>
                    <w:t>废水</w:t>
                  </w:r>
                </w:p>
              </w:tc>
              <w:tc>
                <w:tcPr>
                  <w:tcW w:w="1575" w:type="dxa"/>
                  <w:vAlign w:val="center"/>
                </w:tcPr>
                <w:p>
                  <w:pPr>
                    <w:pStyle w:val="87"/>
                    <w:adjustRightInd w:val="0"/>
                    <w:snapToGrid w:val="0"/>
                    <w:spacing w:line="240" w:lineRule="auto"/>
                    <w:rPr>
                      <w:color w:val="auto"/>
                      <w:sz w:val="18"/>
                      <w:szCs w:val="18"/>
                    </w:rPr>
                  </w:pPr>
                  <w:r>
                    <w:rPr>
                      <w:color w:val="auto"/>
                      <w:sz w:val="18"/>
                      <w:szCs w:val="18"/>
                    </w:rPr>
                    <w:t>生活污水</w:t>
                  </w:r>
                </w:p>
              </w:tc>
              <w:tc>
                <w:tcPr>
                  <w:tcW w:w="1710" w:type="dxa"/>
                  <w:vAlign w:val="center"/>
                </w:tcPr>
                <w:p>
                  <w:pPr>
                    <w:pStyle w:val="87"/>
                    <w:adjustRightInd w:val="0"/>
                    <w:snapToGrid w:val="0"/>
                    <w:spacing w:line="240" w:lineRule="auto"/>
                    <w:rPr>
                      <w:color w:val="auto"/>
                      <w:sz w:val="18"/>
                      <w:szCs w:val="18"/>
                      <w:highlight w:val="none"/>
                    </w:rPr>
                  </w:pPr>
                  <w:r>
                    <w:rPr>
                      <w:rFonts w:hint="eastAsia"/>
                      <w:color w:val="auto"/>
                      <w:sz w:val="18"/>
                      <w:szCs w:val="18"/>
                      <w:highlight w:val="none"/>
                      <w:lang w:val="en-US" w:eastAsia="zh-CN"/>
                    </w:rPr>
                    <w:t>191</w:t>
                  </w:r>
                  <w:r>
                    <w:rPr>
                      <w:color w:val="auto"/>
                      <w:sz w:val="18"/>
                      <w:szCs w:val="18"/>
                      <w:highlight w:val="none"/>
                    </w:rPr>
                    <w:t>t/a</w:t>
                  </w:r>
                </w:p>
              </w:tc>
              <w:tc>
                <w:tcPr>
                  <w:tcW w:w="2565" w:type="dxa"/>
                  <w:vAlign w:val="center"/>
                </w:tcPr>
                <w:p>
                  <w:pPr>
                    <w:pStyle w:val="87"/>
                    <w:adjustRightInd w:val="0"/>
                    <w:snapToGrid w:val="0"/>
                    <w:spacing w:line="240" w:lineRule="auto"/>
                    <w:rPr>
                      <w:color w:val="auto"/>
                      <w:sz w:val="18"/>
                      <w:szCs w:val="18"/>
                      <w:highlight w:val="none"/>
                    </w:rPr>
                  </w:pPr>
                  <w:r>
                    <w:rPr>
                      <w:rFonts w:hint="eastAsia"/>
                      <w:color w:val="auto"/>
                      <w:sz w:val="18"/>
                      <w:szCs w:val="18"/>
                      <w:highlight w:val="none"/>
                      <w:lang w:val="en-US" w:eastAsia="zh-CN"/>
                    </w:rPr>
                    <w:t>420</w:t>
                  </w:r>
                  <w:r>
                    <w:rPr>
                      <w:color w:val="auto"/>
                      <w:sz w:val="18"/>
                      <w:szCs w:val="18"/>
                      <w:highlight w:val="none"/>
                    </w:rPr>
                    <w:t>t/a</w:t>
                  </w:r>
                </w:p>
              </w:tc>
              <w:tc>
                <w:tcPr>
                  <w:tcW w:w="2242" w:type="dxa"/>
                  <w:gridSpan w:val="2"/>
                  <w:vAlign w:val="center"/>
                </w:tcPr>
                <w:p>
                  <w:pPr>
                    <w:pStyle w:val="87"/>
                    <w:adjustRightInd w:val="0"/>
                    <w:snapToGrid w:val="0"/>
                    <w:spacing w:line="240" w:lineRule="auto"/>
                    <w:rPr>
                      <w:color w:val="auto"/>
                      <w:sz w:val="18"/>
                      <w:szCs w:val="18"/>
                    </w:rPr>
                  </w:pPr>
                  <w:r>
                    <w:rPr>
                      <w:rFonts w:hint="eastAsia"/>
                      <w:color w:val="auto"/>
                      <w:sz w:val="18"/>
                      <w:szCs w:val="18"/>
                    </w:rPr>
                    <w:t>经市政管网收集后进入城东污水处理厂集中处理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817" w:hRule="atLeast"/>
              </w:trPr>
              <w:tc>
                <w:tcPr>
                  <w:tcW w:w="602" w:type="dxa"/>
                  <w:vMerge w:val="continue"/>
                  <w:vAlign w:val="center"/>
                </w:tcPr>
                <w:p>
                  <w:pPr>
                    <w:widowControl/>
                    <w:adjustRightInd w:val="0"/>
                    <w:snapToGrid w:val="0"/>
                    <w:jc w:val="center"/>
                    <w:rPr>
                      <w:color w:val="auto"/>
                      <w:sz w:val="18"/>
                      <w:szCs w:val="18"/>
                    </w:rPr>
                  </w:pPr>
                </w:p>
              </w:tc>
              <w:tc>
                <w:tcPr>
                  <w:tcW w:w="420" w:type="dxa"/>
                  <w:vMerge w:val="continue"/>
                  <w:vAlign w:val="center"/>
                </w:tcPr>
                <w:p>
                  <w:pPr>
                    <w:widowControl/>
                    <w:adjustRightInd w:val="0"/>
                    <w:snapToGrid w:val="0"/>
                    <w:jc w:val="center"/>
                    <w:rPr>
                      <w:color w:val="auto"/>
                      <w:sz w:val="18"/>
                      <w:szCs w:val="18"/>
                    </w:rPr>
                  </w:pPr>
                </w:p>
              </w:tc>
              <w:tc>
                <w:tcPr>
                  <w:tcW w:w="1575" w:type="dxa"/>
                  <w:vAlign w:val="center"/>
                </w:tcPr>
                <w:p>
                  <w:pPr>
                    <w:pStyle w:val="87"/>
                    <w:adjustRightInd w:val="0"/>
                    <w:snapToGrid w:val="0"/>
                    <w:spacing w:line="240" w:lineRule="auto"/>
                    <w:rPr>
                      <w:color w:val="auto"/>
                      <w:sz w:val="18"/>
                      <w:szCs w:val="18"/>
                    </w:rPr>
                  </w:pPr>
                  <w:r>
                    <w:rPr>
                      <w:color w:val="auto"/>
                      <w:sz w:val="18"/>
                      <w:szCs w:val="18"/>
                    </w:rPr>
                    <w:t>雨污分流、规范化接管口</w:t>
                  </w:r>
                </w:p>
              </w:tc>
              <w:tc>
                <w:tcPr>
                  <w:tcW w:w="1710" w:type="dxa"/>
                  <w:vAlign w:val="center"/>
                </w:tcPr>
                <w:p>
                  <w:pPr>
                    <w:pStyle w:val="87"/>
                    <w:adjustRightInd w:val="0"/>
                    <w:snapToGrid w:val="0"/>
                    <w:spacing w:line="240" w:lineRule="auto"/>
                    <w:rPr>
                      <w:color w:val="auto"/>
                      <w:sz w:val="18"/>
                      <w:szCs w:val="18"/>
                    </w:rPr>
                  </w:pPr>
                  <w:r>
                    <w:rPr>
                      <w:color w:val="auto"/>
                      <w:sz w:val="18"/>
                      <w:szCs w:val="18"/>
                    </w:rPr>
                    <w:t>雨水口1</w:t>
                  </w:r>
                  <w:r>
                    <w:rPr>
                      <w:rFonts w:hint="eastAsia"/>
                      <w:color w:val="auto"/>
                      <w:sz w:val="18"/>
                      <w:szCs w:val="18"/>
                    </w:rPr>
                    <w:t>个</w:t>
                  </w:r>
                  <w:r>
                    <w:rPr>
                      <w:color w:val="auto"/>
                      <w:sz w:val="18"/>
                      <w:szCs w:val="18"/>
                    </w:rPr>
                    <w:t>、污水口1个</w:t>
                  </w:r>
                </w:p>
              </w:tc>
              <w:tc>
                <w:tcPr>
                  <w:tcW w:w="2565" w:type="dxa"/>
                  <w:vAlign w:val="center"/>
                </w:tcPr>
                <w:p>
                  <w:pPr>
                    <w:pStyle w:val="87"/>
                    <w:adjustRightInd w:val="0"/>
                    <w:snapToGrid w:val="0"/>
                    <w:spacing w:line="240" w:lineRule="auto"/>
                    <w:rPr>
                      <w:color w:val="auto"/>
                      <w:sz w:val="18"/>
                      <w:szCs w:val="18"/>
                    </w:rPr>
                  </w:pPr>
                  <w:r>
                    <w:rPr>
                      <w:color w:val="auto"/>
                      <w:sz w:val="18"/>
                      <w:szCs w:val="18"/>
                    </w:rPr>
                    <w:t>雨水口1</w:t>
                  </w:r>
                  <w:r>
                    <w:rPr>
                      <w:rFonts w:hint="eastAsia"/>
                      <w:color w:val="auto"/>
                      <w:sz w:val="18"/>
                      <w:szCs w:val="18"/>
                    </w:rPr>
                    <w:t>个</w:t>
                  </w:r>
                  <w:r>
                    <w:rPr>
                      <w:color w:val="auto"/>
                      <w:sz w:val="18"/>
                      <w:szCs w:val="18"/>
                    </w:rPr>
                    <w:t>、污水口1个</w:t>
                  </w:r>
                </w:p>
              </w:tc>
              <w:tc>
                <w:tcPr>
                  <w:tcW w:w="2242" w:type="dxa"/>
                  <w:gridSpan w:val="2"/>
                  <w:vAlign w:val="center"/>
                </w:tcPr>
                <w:p>
                  <w:pPr>
                    <w:pStyle w:val="87"/>
                    <w:adjustRightInd w:val="0"/>
                    <w:snapToGrid w:val="0"/>
                    <w:spacing w:line="240" w:lineRule="auto"/>
                    <w:rPr>
                      <w:color w:val="auto"/>
                      <w:sz w:val="18"/>
                      <w:szCs w:val="18"/>
                    </w:rPr>
                  </w:pPr>
                  <w:r>
                    <w:rPr>
                      <w:rFonts w:hint="eastAsia"/>
                      <w:color w:val="auto"/>
                      <w:sz w:val="18"/>
                      <w:szCs w:val="18"/>
                    </w:rPr>
                    <w:t>满</w:t>
                  </w:r>
                  <w:r>
                    <w:rPr>
                      <w:color w:val="auto"/>
                      <w:sz w:val="18"/>
                      <w:szCs w:val="18"/>
                    </w:rPr>
                    <w:t>足《江苏省排污口设置及规范化整治管理办法》的要求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20" w:hRule="atLeast"/>
              </w:trPr>
              <w:tc>
                <w:tcPr>
                  <w:tcW w:w="602" w:type="dxa"/>
                  <w:vMerge w:val="continue"/>
                  <w:vAlign w:val="center"/>
                </w:tcPr>
                <w:p>
                  <w:pPr>
                    <w:widowControl/>
                    <w:adjustRightInd w:val="0"/>
                    <w:snapToGrid w:val="0"/>
                    <w:jc w:val="center"/>
                    <w:rPr>
                      <w:color w:val="auto"/>
                      <w:sz w:val="18"/>
                      <w:szCs w:val="18"/>
                    </w:rPr>
                  </w:pPr>
                </w:p>
              </w:tc>
              <w:tc>
                <w:tcPr>
                  <w:tcW w:w="420" w:type="dxa"/>
                  <w:vAlign w:val="center"/>
                </w:tcPr>
                <w:p>
                  <w:pPr>
                    <w:adjustRightInd w:val="0"/>
                    <w:snapToGrid w:val="0"/>
                    <w:jc w:val="center"/>
                    <w:rPr>
                      <w:color w:val="auto"/>
                      <w:sz w:val="18"/>
                      <w:szCs w:val="18"/>
                    </w:rPr>
                  </w:pPr>
                  <w:r>
                    <w:rPr>
                      <w:color w:val="auto"/>
                      <w:sz w:val="18"/>
                      <w:szCs w:val="18"/>
                    </w:rPr>
                    <w:t>噪声</w:t>
                  </w:r>
                </w:p>
              </w:tc>
              <w:tc>
                <w:tcPr>
                  <w:tcW w:w="1575" w:type="dxa"/>
                  <w:vAlign w:val="center"/>
                </w:tcPr>
                <w:p>
                  <w:pPr>
                    <w:adjustRightInd w:val="0"/>
                    <w:snapToGrid w:val="0"/>
                    <w:jc w:val="center"/>
                    <w:rPr>
                      <w:snapToGrid w:val="0"/>
                      <w:color w:val="auto"/>
                      <w:kern w:val="0"/>
                      <w:sz w:val="18"/>
                      <w:szCs w:val="18"/>
                    </w:rPr>
                  </w:pPr>
                  <w:r>
                    <w:rPr>
                      <w:snapToGrid w:val="0"/>
                      <w:color w:val="auto"/>
                      <w:kern w:val="0"/>
                      <w:sz w:val="18"/>
                      <w:szCs w:val="18"/>
                    </w:rPr>
                    <w:t>减振、降噪装置</w:t>
                  </w:r>
                </w:p>
              </w:tc>
              <w:tc>
                <w:tcPr>
                  <w:tcW w:w="1710" w:type="dxa"/>
                  <w:vAlign w:val="center"/>
                </w:tcPr>
                <w:p>
                  <w:pPr>
                    <w:adjustRightInd w:val="0"/>
                    <w:snapToGrid w:val="0"/>
                    <w:jc w:val="center"/>
                    <w:rPr>
                      <w:snapToGrid w:val="0"/>
                      <w:color w:val="auto"/>
                      <w:kern w:val="0"/>
                      <w:sz w:val="18"/>
                      <w:szCs w:val="18"/>
                    </w:rPr>
                  </w:pPr>
                  <w:r>
                    <w:rPr>
                      <w:snapToGrid w:val="0"/>
                      <w:color w:val="auto"/>
                      <w:kern w:val="0"/>
                      <w:sz w:val="18"/>
                      <w:szCs w:val="18"/>
                    </w:rPr>
                    <w:t>降噪≥</w:t>
                  </w:r>
                  <w:r>
                    <w:rPr>
                      <w:rFonts w:hint="eastAsia"/>
                      <w:snapToGrid w:val="0"/>
                      <w:color w:val="auto"/>
                      <w:kern w:val="0"/>
                      <w:sz w:val="18"/>
                      <w:szCs w:val="18"/>
                    </w:rPr>
                    <w:t>15</w:t>
                  </w:r>
                  <w:r>
                    <w:rPr>
                      <w:snapToGrid w:val="0"/>
                      <w:color w:val="auto"/>
                      <w:kern w:val="0"/>
                      <w:sz w:val="18"/>
                      <w:szCs w:val="18"/>
                    </w:rPr>
                    <w:t>dB(A)</w:t>
                  </w:r>
                </w:p>
              </w:tc>
              <w:tc>
                <w:tcPr>
                  <w:tcW w:w="2565" w:type="dxa"/>
                  <w:vAlign w:val="center"/>
                </w:tcPr>
                <w:p>
                  <w:pPr>
                    <w:adjustRightInd w:val="0"/>
                    <w:snapToGrid w:val="0"/>
                    <w:jc w:val="center"/>
                    <w:rPr>
                      <w:snapToGrid w:val="0"/>
                      <w:color w:val="auto"/>
                      <w:kern w:val="0"/>
                      <w:sz w:val="18"/>
                      <w:szCs w:val="18"/>
                    </w:rPr>
                  </w:pPr>
                  <w:r>
                    <w:rPr>
                      <w:snapToGrid w:val="0"/>
                      <w:color w:val="auto"/>
                      <w:kern w:val="0"/>
                      <w:sz w:val="18"/>
                      <w:szCs w:val="18"/>
                    </w:rPr>
                    <w:t>降噪≥</w:t>
                  </w:r>
                  <w:r>
                    <w:rPr>
                      <w:rFonts w:hint="eastAsia"/>
                      <w:snapToGrid w:val="0"/>
                      <w:color w:val="auto"/>
                      <w:kern w:val="0"/>
                      <w:sz w:val="18"/>
                      <w:szCs w:val="18"/>
                    </w:rPr>
                    <w:t>15</w:t>
                  </w:r>
                  <w:r>
                    <w:rPr>
                      <w:snapToGrid w:val="0"/>
                      <w:color w:val="auto"/>
                      <w:kern w:val="0"/>
                      <w:sz w:val="18"/>
                      <w:szCs w:val="18"/>
                    </w:rPr>
                    <w:t>dB(A)</w:t>
                  </w:r>
                </w:p>
              </w:tc>
              <w:tc>
                <w:tcPr>
                  <w:tcW w:w="2242" w:type="dxa"/>
                  <w:gridSpan w:val="2"/>
                  <w:vAlign w:val="center"/>
                </w:tcPr>
                <w:p>
                  <w:pPr>
                    <w:adjustRightInd w:val="0"/>
                    <w:snapToGrid w:val="0"/>
                    <w:jc w:val="center"/>
                    <w:rPr>
                      <w:snapToGrid w:val="0"/>
                      <w:color w:val="auto"/>
                      <w:kern w:val="0"/>
                      <w:sz w:val="18"/>
                      <w:szCs w:val="18"/>
                    </w:rPr>
                  </w:pPr>
                  <w:r>
                    <w:rPr>
                      <w:snapToGrid w:val="0"/>
                      <w:color w:val="auto"/>
                      <w:kern w:val="0"/>
                      <w:sz w:val="18"/>
                      <w:szCs w:val="18"/>
                    </w:rPr>
                    <w:t>厂界噪声达《工业企业厂界环境噪声排放标准》（GB12348-2008）3类标准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20" w:hRule="atLeast"/>
              </w:trPr>
              <w:tc>
                <w:tcPr>
                  <w:tcW w:w="602" w:type="dxa"/>
                  <w:vMerge w:val="continue"/>
                  <w:vAlign w:val="center"/>
                </w:tcPr>
                <w:p>
                  <w:pPr>
                    <w:widowControl/>
                    <w:adjustRightInd w:val="0"/>
                    <w:snapToGrid w:val="0"/>
                    <w:jc w:val="center"/>
                    <w:rPr>
                      <w:color w:val="auto"/>
                      <w:sz w:val="18"/>
                      <w:szCs w:val="18"/>
                    </w:rPr>
                  </w:pPr>
                </w:p>
              </w:tc>
              <w:tc>
                <w:tcPr>
                  <w:tcW w:w="420" w:type="dxa"/>
                  <w:vMerge w:val="restart"/>
                  <w:vAlign w:val="center"/>
                </w:tcPr>
                <w:p>
                  <w:pPr>
                    <w:adjustRightInd w:val="0"/>
                    <w:snapToGrid w:val="0"/>
                    <w:jc w:val="center"/>
                    <w:rPr>
                      <w:color w:val="auto"/>
                      <w:sz w:val="18"/>
                      <w:szCs w:val="18"/>
                    </w:rPr>
                  </w:pPr>
                  <w:r>
                    <w:rPr>
                      <w:color w:val="auto"/>
                      <w:sz w:val="18"/>
                      <w:szCs w:val="18"/>
                    </w:rPr>
                    <w:t>固废</w:t>
                  </w:r>
                </w:p>
              </w:tc>
              <w:tc>
                <w:tcPr>
                  <w:tcW w:w="1575" w:type="dxa"/>
                  <w:vAlign w:val="center"/>
                </w:tcPr>
                <w:p>
                  <w:pPr>
                    <w:adjustRightInd w:val="0"/>
                    <w:snapToGrid w:val="0"/>
                    <w:jc w:val="center"/>
                    <w:rPr>
                      <w:color w:val="auto"/>
                      <w:sz w:val="18"/>
                      <w:szCs w:val="18"/>
                    </w:rPr>
                  </w:pPr>
                  <w:r>
                    <w:rPr>
                      <w:color w:val="auto"/>
                      <w:sz w:val="18"/>
                      <w:szCs w:val="18"/>
                    </w:rPr>
                    <w:t>一般工业固废</w:t>
                  </w:r>
                  <w:r>
                    <w:rPr>
                      <w:rFonts w:hint="eastAsia"/>
                      <w:color w:val="auto"/>
                      <w:sz w:val="18"/>
                      <w:szCs w:val="18"/>
                    </w:rPr>
                    <w:t>库</w:t>
                  </w:r>
                </w:p>
              </w:tc>
              <w:tc>
                <w:tcPr>
                  <w:tcW w:w="1710" w:type="dxa"/>
                  <w:vAlign w:val="center"/>
                </w:tcPr>
                <w:p>
                  <w:pPr>
                    <w:adjustRightInd w:val="0"/>
                    <w:snapToGrid w:val="0"/>
                    <w:jc w:val="center"/>
                    <w:rPr>
                      <w:color w:val="auto"/>
                      <w:sz w:val="18"/>
                      <w:szCs w:val="18"/>
                    </w:rPr>
                  </w:pPr>
                  <w:r>
                    <w:rPr>
                      <w:color w:val="auto"/>
                      <w:sz w:val="18"/>
                      <w:szCs w:val="18"/>
                    </w:rPr>
                    <w:t>暂存一般工业</w:t>
                  </w:r>
                  <w:r>
                    <w:rPr>
                      <w:rFonts w:hint="eastAsia"/>
                      <w:color w:val="auto"/>
                      <w:sz w:val="18"/>
                      <w:szCs w:val="18"/>
                    </w:rPr>
                    <w:t>固废5</w:t>
                  </w:r>
                  <w:r>
                    <w:rPr>
                      <w:color w:val="auto"/>
                      <w:sz w:val="18"/>
                      <w:szCs w:val="18"/>
                    </w:rPr>
                    <w:t>m</w:t>
                  </w:r>
                  <w:r>
                    <w:rPr>
                      <w:color w:val="auto"/>
                      <w:sz w:val="18"/>
                      <w:szCs w:val="18"/>
                      <w:vertAlign w:val="superscript"/>
                    </w:rPr>
                    <w:t>2</w:t>
                  </w:r>
                </w:p>
              </w:tc>
              <w:tc>
                <w:tcPr>
                  <w:tcW w:w="2565" w:type="dxa"/>
                  <w:vAlign w:val="center"/>
                </w:tcPr>
                <w:p>
                  <w:pPr>
                    <w:adjustRightInd w:val="0"/>
                    <w:snapToGrid w:val="0"/>
                    <w:jc w:val="center"/>
                    <w:rPr>
                      <w:color w:val="auto"/>
                      <w:sz w:val="18"/>
                      <w:szCs w:val="18"/>
                    </w:rPr>
                  </w:pPr>
                  <w:r>
                    <w:rPr>
                      <w:color w:val="auto"/>
                      <w:sz w:val="18"/>
                      <w:szCs w:val="18"/>
                    </w:rPr>
                    <w:t>暂存一般工业</w:t>
                  </w:r>
                  <w:r>
                    <w:rPr>
                      <w:rFonts w:hint="eastAsia"/>
                      <w:color w:val="auto"/>
                      <w:sz w:val="18"/>
                      <w:szCs w:val="18"/>
                    </w:rPr>
                    <w:t>固废</w:t>
                  </w:r>
                  <w:r>
                    <w:rPr>
                      <w:color w:val="auto"/>
                      <w:sz w:val="18"/>
                      <w:szCs w:val="18"/>
                    </w:rPr>
                    <w:t>1</w:t>
                  </w:r>
                  <w:r>
                    <w:rPr>
                      <w:rFonts w:hint="eastAsia"/>
                      <w:color w:val="auto"/>
                      <w:sz w:val="18"/>
                      <w:szCs w:val="18"/>
                    </w:rPr>
                    <w:t>0</w:t>
                  </w:r>
                  <w:r>
                    <w:rPr>
                      <w:color w:val="auto"/>
                      <w:sz w:val="18"/>
                      <w:szCs w:val="18"/>
                    </w:rPr>
                    <w:t>m</w:t>
                  </w:r>
                  <w:r>
                    <w:rPr>
                      <w:color w:val="auto"/>
                      <w:sz w:val="18"/>
                      <w:szCs w:val="18"/>
                      <w:vertAlign w:val="superscript"/>
                    </w:rPr>
                    <w:t>2</w:t>
                  </w:r>
                </w:p>
              </w:tc>
              <w:tc>
                <w:tcPr>
                  <w:tcW w:w="2242" w:type="dxa"/>
                  <w:gridSpan w:val="2"/>
                  <w:vAlign w:val="center"/>
                </w:tcPr>
                <w:p>
                  <w:pPr>
                    <w:adjustRightInd w:val="0"/>
                    <w:snapToGrid w:val="0"/>
                    <w:jc w:val="center"/>
                    <w:rPr>
                      <w:color w:val="auto"/>
                      <w:sz w:val="18"/>
                      <w:szCs w:val="18"/>
                    </w:rPr>
                  </w:pPr>
                  <w:r>
                    <w:rPr>
                      <w:color w:val="auto"/>
                      <w:sz w:val="18"/>
                      <w:szCs w:val="18"/>
                    </w:rPr>
                    <w:t>满足《一般工业固体废物贮存和填埋污染控制标准》（GB18599-2020）要求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cantSplit/>
                <w:trHeight w:val="50" w:hRule="atLeast"/>
              </w:trPr>
              <w:tc>
                <w:tcPr>
                  <w:tcW w:w="602" w:type="dxa"/>
                  <w:vMerge w:val="continue"/>
                  <w:vAlign w:val="center"/>
                </w:tcPr>
                <w:p>
                  <w:pPr>
                    <w:widowControl/>
                    <w:adjustRightInd w:val="0"/>
                    <w:snapToGrid w:val="0"/>
                    <w:jc w:val="center"/>
                    <w:rPr>
                      <w:color w:val="auto"/>
                      <w:sz w:val="18"/>
                      <w:szCs w:val="18"/>
                    </w:rPr>
                  </w:pPr>
                </w:p>
              </w:tc>
              <w:tc>
                <w:tcPr>
                  <w:tcW w:w="420" w:type="dxa"/>
                  <w:vMerge w:val="continue"/>
                  <w:vAlign w:val="center"/>
                </w:tcPr>
                <w:p>
                  <w:pPr>
                    <w:widowControl/>
                    <w:adjustRightInd w:val="0"/>
                    <w:snapToGrid w:val="0"/>
                    <w:jc w:val="center"/>
                    <w:rPr>
                      <w:color w:val="auto"/>
                      <w:sz w:val="18"/>
                      <w:szCs w:val="18"/>
                    </w:rPr>
                  </w:pPr>
                </w:p>
              </w:tc>
              <w:tc>
                <w:tcPr>
                  <w:tcW w:w="1575" w:type="dxa"/>
                  <w:vAlign w:val="center"/>
                </w:tcPr>
                <w:p>
                  <w:pPr>
                    <w:adjustRightInd w:val="0"/>
                    <w:snapToGrid w:val="0"/>
                    <w:jc w:val="center"/>
                    <w:rPr>
                      <w:color w:val="auto"/>
                      <w:sz w:val="18"/>
                      <w:szCs w:val="18"/>
                    </w:rPr>
                  </w:pPr>
                  <w:r>
                    <w:rPr>
                      <w:rFonts w:hint="eastAsia"/>
                      <w:color w:val="auto"/>
                      <w:sz w:val="18"/>
                      <w:szCs w:val="18"/>
                    </w:rPr>
                    <w:t>危险固废库</w:t>
                  </w:r>
                </w:p>
              </w:tc>
              <w:tc>
                <w:tcPr>
                  <w:tcW w:w="1710" w:type="dxa"/>
                  <w:vAlign w:val="center"/>
                </w:tcPr>
                <w:p>
                  <w:pPr>
                    <w:adjustRightInd w:val="0"/>
                    <w:snapToGrid w:val="0"/>
                    <w:jc w:val="center"/>
                    <w:rPr>
                      <w:color w:val="auto"/>
                      <w:sz w:val="18"/>
                      <w:szCs w:val="18"/>
                    </w:rPr>
                  </w:pPr>
                  <w:r>
                    <w:rPr>
                      <w:color w:val="auto"/>
                      <w:sz w:val="18"/>
                      <w:szCs w:val="18"/>
                    </w:rPr>
                    <w:t>暂存危险废物</w:t>
                  </w:r>
                  <w:r>
                    <w:rPr>
                      <w:rFonts w:hint="eastAsia"/>
                      <w:color w:val="auto"/>
                      <w:sz w:val="18"/>
                      <w:szCs w:val="18"/>
                    </w:rPr>
                    <w:t>5</w:t>
                  </w:r>
                  <w:r>
                    <w:rPr>
                      <w:color w:val="auto"/>
                      <w:sz w:val="18"/>
                      <w:szCs w:val="18"/>
                    </w:rPr>
                    <w:t>m</w:t>
                  </w:r>
                  <w:r>
                    <w:rPr>
                      <w:color w:val="auto"/>
                      <w:sz w:val="18"/>
                      <w:szCs w:val="18"/>
                      <w:vertAlign w:val="superscript"/>
                    </w:rPr>
                    <w:t>2</w:t>
                  </w:r>
                </w:p>
              </w:tc>
              <w:tc>
                <w:tcPr>
                  <w:tcW w:w="2565" w:type="dxa"/>
                  <w:vAlign w:val="center"/>
                </w:tcPr>
                <w:p>
                  <w:pPr>
                    <w:adjustRightInd w:val="0"/>
                    <w:snapToGrid w:val="0"/>
                    <w:jc w:val="center"/>
                    <w:rPr>
                      <w:color w:val="auto"/>
                      <w:sz w:val="18"/>
                      <w:szCs w:val="18"/>
                    </w:rPr>
                  </w:pPr>
                  <w:r>
                    <w:rPr>
                      <w:color w:val="auto"/>
                      <w:sz w:val="18"/>
                      <w:szCs w:val="18"/>
                    </w:rPr>
                    <w:t>暂存危险废物</w:t>
                  </w:r>
                  <w:r>
                    <w:rPr>
                      <w:rFonts w:hint="eastAsia"/>
                      <w:color w:val="auto"/>
                      <w:sz w:val="18"/>
                      <w:szCs w:val="18"/>
                    </w:rPr>
                    <w:t>5</w:t>
                  </w:r>
                  <w:r>
                    <w:rPr>
                      <w:color w:val="auto"/>
                      <w:sz w:val="18"/>
                      <w:szCs w:val="18"/>
                    </w:rPr>
                    <w:t>m</w:t>
                  </w:r>
                  <w:r>
                    <w:rPr>
                      <w:color w:val="auto"/>
                      <w:sz w:val="18"/>
                      <w:szCs w:val="18"/>
                      <w:vertAlign w:val="superscript"/>
                    </w:rPr>
                    <w:t>2</w:t>
                  </w:r>
                </w:p>
              </w:tc>
              <w:tc>
                <w:tcPr>
                  <w:tcW w:w="2242" w:type="dxa"/>
                  <w:gridSpan w:val="2"/>
                  <w:vAlign w:val="center"/>
                </w:tcPr>
                <w:p>
                  <w:pPr>
                    <w:adjustRightInd w:val="0"/>
                    <w:snapToGrid w:val="0"/>
                    <w:jc w:val="center"/>
                    <w:rPr>
                      <w:color w:val="auto"/>
                      <w:sz w:val="18"/>
                      <w:szCs w:val="18"/>
                    </w:rPr>
                  </w:pPr>
                  <w:r>
                    <w:rPr>
                      <w:rFonts w:hint="eastAsia"/>
                      <w:color w:val="auto"/>
                      <w:sz w:val="18"/>
                      <w:szCs w:val="18"/>
                    </w:rPr>
                    <w:t>新增，</w:t>
                  </w:r>
                  <w:r>
                    <w:rPr>
                      <w:color w:val="auto"/>
                      <w:sz w:val="18"/>
                      <w:szCs w:val="18"/>
                    </w:rPr>
                    <w:t>满足</w:t>
                  </w:r>
                  <w:r>
                    <w:rPr>
                      <w:rFonts w:hint="eastAsia"/>
                      <w:color w:val="auto"/>
                      <w:sz w:val="18"/>
                      <w:szCs w:val="18"/>
                    </w:rPr>
                    <w:t>《危险废物贮存污染控制标准》（GB18597-2023）、《省生态环境厅关于进一步加强危险废物污染防治工作的实施意见》（苏环办〔2019〕327号）</w:t>
                  </w:r>
                  <w:r>
                    <w:rPr>
                      <w:color w:val="auto"/>
                      <w:sz w:val="18"/>
                      <w:szCs w:val="18"/>
                    </w:rPr>
                    <w:t>要求建设</w:t>
                  </w:r>
                </w:p>
              </w:tc>
            </w:tr>
          </w:tbl>
          <w:p>
            <w:pPr>
              <w:adjustRightInd w:val="0"/>
              <w:snapToGrid w:val="0"/>
              <w:spacing w:before="120" w:beforeLines="50" w:line="360" w:lineRule="auto"/>
              <w:ind w:firstLine="422" w:firstLineChars="200"/>
              <w:jc w:val="left"/>
              <w:rPr>
                <w:b/>
                <w:color w:val="auto"/>
                <w:szCs w:val="21"/>
              </w:rPr>
            </w:pPr>
            <w:r>
              <w:rPr>
                <w:b/>
                <w:color w:val="auto"/>
                <w:szCs w:val="21"/>
              </w:rPr>
              <w:t>6、项目给排水平衡</w:t>
            </w:r>
          </w:p>
          <w:p>
            <w:pPr>
              <w:spacing w:line="360" w:lineRule="auto"/>
              <w:ind w:firstLine="420" w:firstLineChars="200"/>
              <w:rPr>
                <w:color w:val="auto"/>
                <w:szCs w:val="21"/>
              </w:rPr>
            </w:pPr>
            <w:r>
              <w:rPr>
                <w:bCs/>
                <w:color w:val="auto"/>
                <w:szCs w:val="21"/>
              </w:rPr>
              <w:t>本项目使</w:t>
            </w:r>
            <w:r>
              <w:rPr>
                <w:bCs/>
                <w:color w:val="auto"/>
                <w:szCs w:val="21"/>
              </w:rPr>
              <w:t>用自来水</w:t>
            </w:r>
            <w:r>
              <w:rPr>
                <w:rFonts w:hint="eastAsia"/>
                <w:bCs/>
                <w:color w:val="auto"/>
                <w:szCs w:val="21"/>
                <w:lang w:val="en-US" w:eastAsia="zh-CN"/>
              </w:rPr>
              <w:t>741</w:t>
            </w:r>
            <w:r>
              <w:rPr>
                <w:bCs/>
                <w:color w:val="auto"/>
                <w:szCs w:val="21"/>
              </w:rPr>
              <w:t>t/a</w:t>
            </w:r>
            <w:r>
              <w:rPr>
                <w:bCs/>
                <w:color w:val="auto"/>
                <w:szCs w:val="21"/>
              </w:rPr>
              <w:t>。自来水主要用途为生</w:t>
            </w:r>
            <w:r>
              <w:rPr>
                <w:bCs/>
                <w:color w:val="auto"/>
                <w:szCs w:val="21"/>
              </w:rPr>
              <w:t>活用水</w:t>
            </w:r>
            <w:r>
              <w:rPr>
                <w:rFonts w:hint="eastAsia"/>
                <w:bCs/>
                <w:color w:val="auto"/>
                <w:szCs w:val="21"/>
              </w:rPr>
              <w:t>、循环冷却水</w:t>
            </w:r>
            <w:r>
              <w:rPr>
                <w:bCs/>
                <w:color w:val="auto"/>
                <w:szCs w:val="21"/>
              </w:rPr>
              <w:t>。</w:t>
            </w:r>
          </w:p>
          <w:p>
            <w:pPr>
              <w:spacing w:line="360" w:lineRule="auto"/>
              <w:ind w:firstLine="420" w:firstLineChars="200"/>
              <w:rPr>
                <w:color w:val="auto"/>
                <w:szCs w:val="21"/>
              </w:rPr>
            </w:pPr>
            <w:r>
              <w:rPr>
                <w:color w:val="auto"/>
                <w:szCs w:val="21"/>
              </w:rPr>
              <w:t>（1）生活用水</w:t>
            </w:r>
          </w:p>
          <w:p>
            <w:pPr>
              <w:spacing w:line="360" w:lineRule="auto"/>
              <w:ind w:firstLine="420" w:firstLineChars="200"/>
              <w:rPr>
                <w:rStyle w:val="45"/>
                <w:color w:val="auto"/>
                <w:kern w:val="0"/>
                <w:szCs w:val="20"/>
              </w:rPr>
            </w:pPr>
            <w:r>
              <w:rPr>
                <w:rFonts w:hint="eastAsia"/>
                <w:color w:val="auto"/>
                <w:szCs w:val="21"/>
              </w:rPr>
              <w:t>本项目迁建后，新增职工人数20人，全厂员工为35</w:t>
            </w:r>
            <w:r>
              <w:rPr>
                <w:color w:val="auto"/>
                <w:szCs w:val="21"/>
              </w:rPr>
              <w:t>人</w:t>
            </w:r>
            <w:r>
              <w:rPr>
                <w:rFonts w:hint="eastAsia"/>
                <w:color w:val="auto"/>
                <w:szCs w:val="21"/>
              </w:rPr>
              <w:t>。</w:t>
            </w:r>
            <w:r>
              <w:rPr>
                <w:color w:val="auto"/>
                <w:szCs w:val="21"/>
              </w:rPr>
              <w:t>根据《建筑给水排水设计标准》（GB50015-2019），职工用水量按50L/d·人计，年工作300天，则</w:t>
            </w:r>
            <w:r>
              <w:rPr>
                <w:rFonts w:hint="eastAsia"/>
                <w:color w:val="auto"/>
                <w:szCs w:val="21"/>
                <w:lang w:val="en-US" w:eastAsia="zh-CN"/>
              </w:rPr>
              <w:t>全厂</w:t>
            </w:r>
            <w:r>
              <w:rPr>
                <w:color w:val="auto"/>
                <w:szCs w:val="21"/>
              </w:rPr>
              <w:t>生活用水为</w:t>
            </w:r>
            <w:r>
              <w:rPr>
                <w:rFonts w:hint="eastAsia"/>
                <w:color w:val="auto"/>
                <w:szCs w:val="21"/>
                <w:lang w:val="en-US" w:eastAsia="zh-CN"/>
              </w:rPr>
              <w:t>525</w:t>
            </w:r>
            <w:r>
              <w:rPr>
                <w:color w:val="auto"/>
                <w:szCs w:val="21"/>
              </w:rPr>
              <w:t>t/a；根据《城市排水工程规划规范》（GB50318-2017）废水产生量以用水量的80%计，</w:t>
            </w:r>
            <w:r>
              <w:rPr>
                <w:rFonts w:hint="eastAsia"/>
                <w:color w:val="auto"/>
                <w:szCs w:val="21"/>
                <w:lang w:val="en-US" w:eastAsia="zh-CN"/>
              </w:rPr>
              <w:t>全厂</w:t>
            </w:r>
            <w:r>
              <w:rPr>
                <w:color w:val="auto"/>
                <w:szCs w:val="21"/>
              </w:rPr>
              <w:t>生活污水产生量为</w:t>
            </w:r>
            <w:r>
              <w:rPr>
                <w:rFonts w:hint="eastAsia"/>
                <w:color w:val="auto"/>
                <w:szCs w:val="21"/>
                <w:lang w:val="en-US" w:eastAsia="zh-CN"/>
              </w:rPr>
              <w:t>42</w:t>
            </w:r>
            <w:r>
              <w:rPr>
                <w:rFonts w:hint="eastAsia"/>
                <w:color w:val="auto"/>
                <w:szCs w:val="21"/>
              </w:rPr>
              <w:t>0</w:t>
            </w:r>
            <w:r>
              <w:rPr>
                <w:color w:val="auto"/>
                <w:szCs w:val="21"/>
              </w:rPr>
              <w:t>t/a，由DW001排口</w:t>
            </w:r>
            <w:r>
              <w:rPr>
                <w:color w:val="auto"/>
              </w:rPr>
              <w:t>接管城东污水处理厂</w:t>
            </w:r>
            <w:r>
              <w:rPr>
                <w:color w:val="auto"/>
                <w:szCs w:val="21"/>
              </w:rPr>
              <w:t>。</w:t>
            </w:r>
          </w:p>
          <w:p>
            <w:pPr>
              <w:pStyle w:val="2"/>
              <w:spacing w:before="0" w:after="0" w:line="360" w:lineRule="auto"/>
              <w:rPr>
                <w:b w:val="0"/>
                <w:bCs w:val="0"/>
                <w:color w:val="auto"/>
                <w:sz w:val="21"/>
                <w:szCs w:val="21"/>
              </w:rPr>
            </w:pPr>
            <w:r>
              <w:rPr>
                <w:rFonts w:hint="eastAsia"/>
                <w:b w:val="0"/>
                <w:bCs w:val="0"/>
                <w:color w:val="auto"/>
                <w:sz w:val="21"/>
                <w:szCs w:val="21"/>
              </w:rPr>
              <w:t xml:space="preserve">   </w:t>
            </w:r>
            <w:r>
              <w:rPr>
                <w:rFonts w:hint="eastAsia"/>
                <w:b w:val="0"/>
                <w:bCs w:val="0"/>
                <w:color w:val="auto"/>
                <w:sz w:val="21"/>
                <w:szCs w:val="21"/>
              </w:rPr>
              <w:t xml:space="preserve">     （2）循环冷却水</w:t>
            </w:r>
          </w:p>
          <w:p>
            <w:pPr>
              <w:spacing w:line="360" w:lineRule="auto"/>
              <w:ind w:firstLine="420" w:firstLineChars="200"/>
              <w:rPr>
                <w:color w:val="auto"/>
              </w:rPr>
            </w:pPr>
            <w:r>
              <w:rPr>
                <w:rFonts w:hint="eastAsia"/>
                <w:color w:val="auto"/>
              </w:rPr>
              <w:t>本项目橡胶生产线、注塑生产线设置1套循环水系统，配1台冷却塔，</w:t>
            </w:r>
            <w:r>
              <w:rPr>
                <w:color w:val="auto"/>
              </w:rPr>
              <w:t>循环冷却水</w:t>
            </w:r>
            <w:r>
              <w:rPr>
                <w:rFonts w:hint="eastAsia"/>
                <w:color w:val="auto"/>
              </w:rPr>
              <w:t>补水为</w:t>
            </w:r>
            <w:r>
              <w:rPr>
                <w:color w:val="auto"/>
              </w:rPr>
              <w:t>自来水，</w:t>
            </w:r>
            <w:r>
              <w:rPr>
                <w:rFonts w:hint="eastAsia"/>
                <w:color w:val="auto"/>
              </w:rPr>
              <w:t>循环量为30</w:t>
            </w:r>
            <w:r>
              <w:rPr>
                <w:color w:val="auto"/>
              </w:rPr>
              <w:t>m</w:t>
            </w:r>
            <w:r>
              <w:rPr>
                <w:color w:val="auto"/>
                <w:vertAlign w:val="superscript"/>
              </w:rPr>
              <w:t>3</w:t>
            </w:r>
            <w:r>
              <w:rPr>
                <w:color w:val="auto"/>
              </w:rPr>
              <w:t>/h</w:t>
            </w:r>
            <w:r>
              <w:rPr>
                <w:rFonts w:hint="eastAsia"/>
                <w:color w:val="auto"/>
              </w:rPr>
              <w:t>，</w:t>
            </w:r>
            <w:r>
              <w:rPr>
                <w:color w:val="auto"/>
              </w:rPr>
              <w:t>为间接冷却，运行时间为</w:t>
            </w:r>
            <w:r>
              <w:rPr>
                <w:rFonts w:hint="eastAsia"/>
                <w:color w:val="auto"/>
              </w:rPr>
              <w:t>7200</w:t>
            </w:r>
            <w:r>
              <w:rPr>
                <w:color w:val="auto"/>
              </w:rPr>
              <w:t>h/a，则</w:t>
            </w:r>
            <w:r>
              <w:rPr>
                <w:rFonts w:hint="eastAsia"/>
                <w:color w:val="auto"/>
              </w:rPr>
              <w:t>整套</w:t>
            </w:r>
            <w:r>
              <w:rPr>
                <w:color w:val="auto"/>
              </w:rPr>
              <w:t>冷却水循环量为</w:t>
            </w:r>
            <w:r>
              <w:rPr>
                <w:rFonts w:hint="eastAsia"/>
                <w:color w:val="auto"/>
              </w:rPr>
              <w:t>216</w:t>
            </w:r>
            <w:r>
              <w:rPr>
                <w:color w:val="auto"/>
              </w:rPr>
              <w:t>000t/a</w:t>
            </w:r>
            <w:r>
              <w:rPr>
                <w:rFonts w:hint="eastAsia"/>
                <w:color w:val="auto"/>
              </w:rPr>
              <w:t>。</w:t>
            </w:r>
            <w:r>
              <w:rPr>
                <w:color w:val="auto"/>
              </w:rPr>
              <w:t>冷却水循环使用不外排</w:t>
            </w:r>
            <w:r>
              <w:rPr>
                <w:rFonts w:hint="eastAsia"/>
                <w:color w:val="auto"/>
                <w:lang w:eastAsia="zh-CN"/>
              </w:rPr>
              <w:t>，</w:t>
            </w:r>
            <w:r>
              <w:rPr>
                <w:rFonts w:hint="eastAsia"/>
                <w:color w:val="auto"/>
                <w:lang w:val="en-US" w:eastAsia="zh-CN"/>
              </w:rPr>
              <w:t>定期补充新鲜水</w:t>
            </w:r>
            <w:r>
              <w:rPr>
                <w:rFonts w:hint="eastAsia"/>
                <w:color w:val="auto"/>
                <w:lang w:eastAsia="zh-CN"/>
              </w:rPr>
              <w:t>。</w:t>
            </w:r>
          </w:p>
          <w:p>
            <w:pPr>
              <w:spacing w:line="360" w:lineRule="auto"/>
              <w:ind w:firstLine="420" w:firstLineChars="200"/>
              <w:rPr>
                <w:color w:val="auto"/>
                <w:szCs w:val="21"/>
              </w:rPr>
            </w:pPr>
            <w:r>
              <w:rPr>
                <w:rFonts w:hint="eastAsia"/>
                <w:color w:val="auto"/>
                <w:szCs w:val="21"/>
              </w:rPr>
              <w:t>本项目完成后全厂水平衡见图2-1。</w:t>
            </w:r>
          </w:p>
          <w:p>
            <w:pPr>
              <w:spacing w:line="360" w:lineRule="auto"/>
              <w:jc w:val="center"/>
              <w:rPr>
                <w:b/>
                <w:color w:val="auto"/>
                <w:szCs w:val="21"/>
              </w:rPr>
            </w:pPr>
            <w:r>
              <w:rPr>
                <w:b/>
                <w:color w:val="auto"/>
                <w:szCs w:val="21"/>
              </w:rPr>
              <w:object>
                <v:shape id="_x0000_i1025" o:spt="75" type="#_x0000_t75" style="height:132.95pt;width:310.25pt;" o:ole="t" filled="f" o:preferrelative="t" stroked="f" coordsize="21600,21600">
                  <v:path/>
                  <v:fill on="f" focussize="0,0"/>
                  <v:stroke on="f"/>
                  <v:imagedata r:id="rId14" o:title=""/>
                  <o:lock v:ext="edit" aspectratio="t"/>
                  <w10:wrap type="none"/>
                  <w10:anchorlock/>
                </v:shape>
                <o:OLEObject Type="Embed" ProgID="Visio.Drawing.15" ShapeID="_x0000_i1025" DrawAspect="Content" ObjectID="_1468075725" r:id="rId13">
                  <o:LockedField>false</o:LockedField>
                </o:OLEObject>
              </w:object>
            </w:r>
          </w:p>
          <w:p>
            <w:pPr>
              <w:jc w:val="center"/>
              <w:rPr>
                <w:b/>
                <w:color w:val="auto"/>
                <w:szCs w:val="21"/>
              </w:rPr>
            </w:pPr>
            <w:r>
              <w:rPr>
                <w:b/>
                <w:color w:val="auto"/>
                <w:szCs w:val="21"/>
              </w:rPr>
              <w:t>图2-</w:t>
            </w:r>
            <w:r>
              <w:rPr>
                <w:rFonts w:hint="eastAsia"/>
                <w:b/>
                <w:color w:val="auto"/>
                <w:szCs w:val="21"/>
              </w:rPr>
              <w:t>1</w:t>
            </w:r>
            <w:r>
              <w:rPr>
                <w:b/>
                <w:color w:val="auto"/>
                <w:szCs w:val="21"/>
              </w:rPr>
              <w:t xml:space="preserve"> </w:t>
            </w:r>
            <w:r>
              <w:rPr>
                <w:rFonts w:hint="eastAsia"/>
                <w:b/>
                <w:color w:val="auto"/>
                <w:szCs w:val="21"/>
              </w:rPr>
              <w:t xml:space="preserve"> 项目完成后全厂</w:t>
            </w:r>
            <w:r>
              <w:rPr>
                <w:b/>
                <w:color w:val="auto"/>
                <w:szCs w:val="21"/>
              </w:rPr>
              <w:t>水平衡（单位：t/a）</w:t>
            </w:r>
          </w:p>
          <w:p>
            <w:pPr>
              <w:spacing w:line="360" w:lineRule="auto"/>
              <w:ind w:firstLine="422" w:firstLineChars="200"/>
              <w:rPr>
                <w:color w:val="auto"/>
                <w:szCs w:val="21"/>
              </w:rPr>
            </w:pPr>
            <w:r>
              <w:rPr>
                <w:b/>
                <w:color w:val="auto"/>
                <w:szCs w:val="21"/>
              </w:rPr>
              <w:t>7、劳动定员及工作制度</w:t>
            </w:r>
          </w:p>
          <w:p>
            <w:pPr>
              <w:spacing w:line="360" w:lineRule="auto"/>
              <w:ind w:firstLine="420" w:firstLineChars="200"/>
              <w:rPr>
                <w:color w:val="auto"/>
                <w:szCs w:val="21"/>
              </w:rPr>
            </w:pPr>
            <w:r>
              <w:rPr>
                <w:color w:val="auto"/>
                <w:szCs w:val="21"/>
              </w:rPr>
              <w:t>劳动定员：</w:t>
            </w:r>
            <w:r>
              <w:rPr>
                <w:rFonts w:hint="eastAsia"/>
                <w:color w:val="auto"/>
                <w:szCs w:val="21"/>
              </w:rPr>
              <w:t>本项目迁建后，新增职工人数20人，全厂员工为35</w:t>
            </w:r>
            <w:r>
              <w:rPr>
                <w:color w:val="auto"/>
                <w:szCs w:val="21"/>
              </w:rPr>
              <w:t>人</w:t>
            </w:r>
            <w:r>
              <w:rPr>
                <w:rFonts w:hint="eastAsia"/>
                <w:color w:val="auto"/>
                <w:szCs w:val="21"/>
              </w:rPr>
              <w:t xml:space="preserve">。工作制度为每年工作 </w:t>
            </w:r>
            <w:r>
              <w:rPr>
                <w:color w:val="auto"/>
                <w:szCs w:val="21"/>
              </w:rPr>
              <w:t>300</w:t>
            </w:r>
            <w:r>
              <w:rPr>
                <w:rFonts w:hint="eastAsia"/>
                <w:color w:val="auto"/>
                <w:szCs w:val="21"/>
              </w:rPr>
              <w:t xml:space="preserve">天，三班制，每班 </w:t>
            </w:r>
            <w:r>
              <w:rPr>
                <w:color w:val="auto"/>
                <w:szCs w:val="21"/>
              </w:rPr>
              <w:t>8</w:t>
            </w:r>
            <w:r>
              <w:rPr>
                <w:rFonts w:hint="eastAsia"/>
                <w:color w:val="auto"/>
                <w:szCs w:val="21"/>
              </w:rPr>
              <w:t xml:space="preserve">h，即每天工作 24h，年工作时数为 </w:t>
            </w:r>
            <w:r>
              <w:rPr>
                <w:color w:val="auto"/>
                <w:szCs w:val="21"/>
              </w:rPr>
              <w:t>72</w:t>
            </w:r>
            <w:r>
              <w:rPr>
                <w:rFonts w:hint="eastAsia"/>
                <w:color w:val="auto"/>
                <w:szCs w:val="21"/>
              </w:rPr>
              <w:t>00h。本项目不设宿舍和食堂，员工用餐为外送快餐。</w:t>
            </w:r>
          </w:p>
          <w:p>
            <w:pPr>
              <w:spacing w:line="360" w:lineRule="auto"/>
              <w:ind w:firstLine="420" w:firstLineChars="200"/>
              <w:rPr>
                <w:color w:val="auto"/>
                <w:szCs w:val="21"/>
              </w:rPr>
            </w:pPr>
            <w:r>
              <w:rPr>
                <w:color w:val="auto"/>
                <w:szCs w:val="21"/>
              </w:rPr>
              <w:t>工作制度：年工作天数300天，每天</w:t>
            </w:r>
            <w:r>
              <w:rPr>
                <w:rFonts w:hint="eastAsia"/>
                <w:color w:val="auto"/>
                <w:szCs w:val="21"/>
              </w:rPr>
              <w:t>三</w:t>
            </w:r>
            <w:r>
              <w:rPr>
                <w:color w:val="auto"/>
                <w:szCs w:val="21"/>
              </w:rPr>
              <w:t>班，一班8小时，年工作时间为7200小时。</w:t>
            </w:r>
          </w:p>
          <w:p>
            <w:pPr>
              <w:spacing w:line="360" w:lineRule="auto"/>
              <w:ind w:firstLine="422" w:firstLineChars="200"/>
              <w:jc w:val="left"/>
              <w:rPr>
                <w:b/>
                <w:color w:val="auto"/>
                <w:szCs w:val="21"/>
              </w:rPr>
            </w:pPr>
            <w:r>
              <w:rPr>
                <w:b/>
                <w:color w:val="auto"/>
                <w:szCs w:val="21"/>
              </w:rPr>
              <w:t>8、厂区平面布置情况</w:t>
            </w:r>
          </w:p>
          <w:p>
            <w:pPr>
              <w:spacing w:line="360" w:lineRule="auto"/>
              <w:ind w:firstLine="420" w:firstLineChars="200"/>
              <w:rPr>
                <w:color w:val="auto"/>
                <w:szCs w:val="21"/>
              </w:rPr>
            </w:pPr>
            <w:r>
              <w:rPr>
                <w:color w:val="auto"/>
                <w:szCs w:val="21"/>
              </w:rPr>
              <w:t>本项目</w:t>
            </w:r>
            <w:r>
              <w:rPr>
                <w:color w:val="auto"/>
                <w:spacing w:val="-6"/>
                <w:szCs w:val="21"/>
              </w:rPr>
              <w:t>位于</w:t>
            </w:r>
            <w:r>
              <w:rPr>
                <w:color w:val="auto"/>
                <w:szCs w:val="21"/>
              </w:rPr>
              <w:t>太仓</w:t>
            </w:r>
            <w:r>
              <w:rPr>
                <w:rFonts w:hint="eastAsia"/>
                <w:color w:val="auto"/>
              </w:rPr>
              <w:t>城厢镇东亭北路128号9幢现有厂房内</w:t>
            </w:r>
            <w:r>
              <w:rPr>
                <w:color w:val="auto"/>
                <w:szCs w:val="21"/>
              </w:rPr>
              <w:t>。</w:t>
            </w:r>
          </w:p>
          <w:p>
            <w:pPr>
              <w:spacing w:line="360" w:lineRule="auto"/>
              <w:ind w:firstLine="420" w:firstLineChars="200"/>
              <w:rPr>
                <w:color w:val="auto"/>
                <w:szCs w:val="21"/>
              </w:rPr>
            </w:pPr>
            <w:r>
              <w:rPr>
                <w:color w:val="auto"/>
                <w:szCs w:val="21"/>
              </w:rPr>
              <w:t>纵观厂房的平面布置，各分区的布置规划整齐，联系紧密，既方便内外交通联系，又方便原辅材料和成品的运输，便于生产操作，平面布置较合理。</w:t>
            </w:r>
          </w:p>
          <w:p>
            <w:pPr>
              <w:spacing w:line="360" w:lineRule="auto"/>
              <w:ind w:firstLine="420" w:firstLineChars="200"/>
              <w:rPr>
                <w:snapToGrid w:val="0"/>
                <w:color w:val="auto"/>
                <w:kern w:val="0"/>
                <w:szCs w:val="21"/>
              </w:rPr>
            </w:pPr>
            <w:r>
              <w:rPr>
                <w:color w:val="auto"/>
                <w:szCs w:val="21"/>
              </w:rPr>
              <w:t>本项目厂区平面布置图详见附图</w:t>
            </w:r>
            <w:r>
              <w:rPr>
                <w:rFonts w:hint="eastAsia"/>
                <w:snapToGrid w:val="0"/>
                <w:color w:val="auto"/>
                <w:kern w:val="0"/>
                <w:szCs w:val="21"/>
              </w:rPr>
              <w:t>3</w:t>
            </w:r>
            <w:r>
              <w:rPr>
                <w:snapToGrid w:val="0"/>
                <w:color w:val="auto"/>
                <w:kern w:val="0"/>
                <w:szCs w:val="21"/>
              </w:rPr>
              <w:t>，车间平面布置图详见附图</w:t>
            </w:r>
            <w:r>
              <w:rPr>
                <w:rFonts w:hint="eastAsia"/>
                <w:snapToGrid w:val="0"/>
                <w:color w:val="auto"/>
                <w:kern w:val="0"/>
                <w:szCs w:val="21"/>
              </w:rPr>
              <w:t>3-1、</w:t>
            </w:r>
            <w:r>
              <w:rPr>
                <w:snapToGrid w:val="0"/>
                <w:color w:val="auto"/>
                <w:kern w:val="0"/>
                <w:szCs w:val="21"/>
              </w:rPr>
              <w:t>附图</w:t>
            </w:r>
            <w:r>
              <w:rPr>
                <w:rFonts w:hint="eastAsia"/>
                <w:snapToGrid w:val="0"/>
                <w:color w:val="auto"/>
                <w:kern w:val="0"/>
                <w:szCs w:val="21"/>
              </w:rPr>
              <w:t>3-2、</w:t>
            </w:r>
            <w:r>
              <w:rPr>
                <w:snapToGrid w:val="0"/>
                <w:color w:val="auto"/>
                <w:kern w:val="0"/>
                <w:szCs w:val="21"/>
              </w:rPr>
              <w:t>附图</w:t>
            </w:r>
            <w:r>
              <w:rPr>
                <w:rFonts w:hint="eastAsia"/>
                <w:snapToGrid w:val="0"/>
                <w:color w:val="auto"/>
                <w:kern w:val="0"/>
                <w:szCs w:val="21"/>
              </w:rPr>
              <w:t>3-3</w:t>
            </w:r>
            <w:r>
              <w:rPr>
                <w:snapToGrid w:val="0"/>
                <w:color w:val="auto"/>
                <w:kern w:val="0"/>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10" w:hRule="atLeast"/>
        </w:trPr>
        <w:tc>
          <w:tcPr>
            <w:tcW w:w="431" w:type="dxa"/>
            <w:vMerge w:val="restart"/>
            <w:tcBorders>
              <w:top w:val="single" w:color="auto" w:sz="4" w:space="0"/>
              <w:left w:val="single" w:color="auto" w:sz="4" w:space="0"/>
            </w:tcBorders>
            <w:vAlign w:val="center"/>
          </w:tcPr>
          <w:p>
            <w:pPr>
              <w:adjustRightInd w:val="0"/>
              <w:snapToGrid w:val="0"/>
              <w:jc w:val="center"/>
              <w:rPr>
                <w:color w:val="auto"/>
                <w:szCs w:val="21"/>
              </w:rPr>
            </w:pPr>
            <w:r>
              <w:rPr>
                <w:color w:val="auto"/>
                <w:szCs w:val="21"/>
              </w:rPr>
              <w:t>工艺流程和产排污环节</w:t>
            </w:r>
          </w:p>
        </w:tc>
        <w:tc>
          <w:tcPr>
            <w:tcW w:w="9531" w:type="dxa"/>
            <w:tcBorders>
              <w:top w:val="single" w:color="auto" w:sz="4" w:space="0"/>
              <w:bottom w:val="single" w:color="auto" w:sz="4" w:space="0"/>
              <w:right w:val="single" w:color="auto" w:sz="4" w:space="0"/>
            </w:tcBorders>
          </w:tcPr>
          <w:p>
            <w:pPr>
              <w:spacing w:line="360" w:lineRule="auto"/>
              <w:ind w:firstLine="422" w:firstLineChars="200"/>
              <w:rPr>
                <w:b/>
                <w:bCs/>
                <w:snapToGrid w:val="0"/>
                <w:color w:val="auto"/>
                <w:kern w:val="0"/>
                <w:szCs w:val="21"/>
              </w:rPr>
            </w:pPr>
            <w:r>
              <w:rPr>
                <w:rFonts w:hint="eastAsia"/>
                <w:b/>
                <w:bCs/>
                <w:snapToGrid w:val="0"/>
                <w:color w:val="auto"/>
                <w:kern w:val="0"/>
                <w:szCs w:val="21"/>
              </w:rPr>
              <w:t>施工期</w:t>
            </w:r>
            <w:r>
              <w:rPr>
                <w:b/>
                <w:bCs/>
                <w:snapToGrid w:val="0"/>
                <w:color w:val="auto"/>
                <w:kern w:val="0"/>
                <w:szCs w:val="21"/>
              </w:rPr>
              <w:t>工艺流程和产排污环节</w:t>
            </w:r>
          </w:p>
          <w:p>
            <w:pPr>
              <w:snapToGrid w:val="0"/>
              <w:spacing w:line="360" w:lineRule="auto"/>
              <w:ind w:firstLine="420" w:firstLineChars="200"/>
              <w:rPr>
                <w:color w:val="auto"/>
                <w:szCs w:val="21"/>
              </w:rPr>
            </w:pPr>
            <w:r>
              <w:rPr>
                <w:rFonts w:hint="eastAsia"/>
                <w:color w:val="auto"/>
                <w:szCs w:val="21"/>
              </w:rPr>
              <w:t>本次迁建扩产项目租赁现有闲置厂房，施工期仅进行水电管网的铺设以及设备的安装。</w:t>
            </w:r>
          </w:p>
          <w:p>
            <w:pPr>
              <w:spacing w:line="360" w:lineRule="auto"/>
              <w:rPr>
                <w:b/>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350" w:hRule="atLeast"/>
        </w:trPr>
        <w:tc>
          <w:tcPr>
            <w:tcW w:w="431" w:type="dxa"/>
            <w:vMerge w:val="continue"/>
            <w:tcBorders>
              <w:left w:val="single" w:color="auto" w:sz="4" w:space="0"/>
            </w:tcBorders>
            <w:vAlign w:val="center"/>
          </w:tcPr>
          <w:p>
            <w:pPr>
              <w:adjustRightInd w:val="0"/>
              <w:snapToGrid w:val="0"/>
              <w:jc w:val="center"/>
              <w:rPr>
                <w:color w:val="auto"/>
                <w:szCs w:val="21"/>
              </w:rPr>
            </w:pPr>
          </w:p>
        </w:tc>
        <w:tc>
          <w:tcPr>
            <w:tcW w:w="9531" w:type="dxa"/>
            <w:tcBorders>
              <w:top w:val="single" w:color="auto" w:sz="4" w:space="0"/>
              <w:bottom w:val="single" w:color="auto" w:sz="4" w:space="0"/>
              <w:right w:val="single" w:color="auto" w:sz="4" w:space="0"/>
            </w:tcBorders>
          </w:tcPr>
          <w:p>
            <w:pPr>
              <w:spacing w:line="360" w:lineRule="auto"/>
              <w:ind w:firstLine="422" w:firstLineChars="200"/>
              <w:rPr>
                <w:b/>
                <w:bCs/>
                <w:snapToGrid w:val="0"/>
                <w:color w:val="auto"/>
                <w:kern w:val="0"/>
                <w:szCs w:val="21"/>
              </w:rPr>
            </w:pPr>
            <w:r>
              <w:rPr>
                <w:b/>
                <w:bCs/>
                <w:snapToGrid w:val="0"/>
                <w:color w:val="auto"/>
                <w:kern w:val="0"/>
                <w:szCs w:val="21"/>
              </w:rPr>
              <w:t>运营期工艺流程和产排污环节</w:t>
            </w:r>
          </w:p>
          <w:p>
            <w:pPr>
              <w:snapToGrid w:val="0"/>
              <w:spacing w:line="360" w:lineRule="auto"/>
              <w:ind w:firstLine="420" w:firstLineChars="200"/>
              <w:rPr>
                <w:color w:val="auto"/>
                <w:szCs w:val="21"/>
              </w:rPr>
            </w:pPr>
            <w:r>
              <w:rPr>
                <w:rFonts w:hint="eastAsia"/>
                <w:color w:val="auto"/>
                <w:szCs w:val="21"/>
              </w:rPr>
              <w:t>本次迁建扩产项目主要为橡胶件和塑料件的加工。具体生产工艺流程见图2-3和2-4。</w:t>
            </w:r>
          </w:p>
          <w:p>
            <w:pPr>
              <w:snapToGrid w:val="0"/>
              <w:spacing w:line="360" w:lineRule="auto"/>
              <w:ind w:firstLine="420" w:firstLineChars="200"/>
              <w:rPr>
                <w:color w:val="auto"/>
                <w:szCs w:val="21"/>
              </w:rPr>
            </w:pPr>
            <w:r>
              <w:rPr>
                <w:rFonts w:hint="eastAsia"/>
                <w:color w:val="auto"/>
                <w:szCs w:val="21"/>
              </w:rPr>
              <w:t>1、橡胶件生产工艺流程</w:t>
            </w:r>
          </w:p>
          <w:p>
            <w:pPr>
              <w:numPr>
                <w:ins w:id="0" w:author="" w:date="2012-11-01T16:52:00Z"/>
              </w:numPr>
              <w:adjustRightInd w:val="0"/>
              <w:snapToGrid w:val="0"/>
              <w:spacing w:line="360" w:lineRule="auto"/>
              <w:ind w:firstLine="420" w:firstLineChars="200"/>
              <w:rPr>
                <w:rFonts w:ascii="宋体" w:hAnsi="宋体"/>
                <w:color w:val="auto"/>
                <w:szCs w:val="21"/>
              </w:rPr>
            </w:pPr>
            <w:r>
              <w:rPr>
                <w:rFonts w:hint="eastAsia" w:ascii="宋体" w:hAnsi="宋体"/>
                <w:color w:val="auto"/>
                <w:szCs w:val="21"/>
              </w:rPr>
              <w:t>橡胶制品生产工艺流程基本相同，只在加工形状、尺寸等方面有所不同，根据客户要求，将多种混炼胶按硬度配比混合密炼，具体生产流程如下：</w:t>
            </w:r>
          </w:p>
          <w:p>
            <w:pPr>
              <w:pStyle w:val="2"/>
              <w:spacing w:before="0" w:after="0" w:line="240" w:lineRule="auto"/>
              <w:jc w:val="center"/>
              <w:rPr>
                <w:color w:val="auto"/>
                <w:lang w:val="en-GB"/>
              </w:rPr>
            </w:pPr>
            <w:r>
              <w:rPr>
                <w:color w:val="auto"/>
              </w:rPr>
              <w:object>
                <v:shape id="_x0000_i1026" o:spt="75" type="#_x0000_t75" style="height:317.1pt;width:199.15pt;" o:ole="t" filled="f" o:preferrelative="t" stroked="f" coordsize="21600,21600">
                  <v:path/>
                  <v:fill on="f" focussize="0,0"/>
                  <v:stroke on="f" joinstyle="miter"/>
                  <v:imagedata r:id="rId16" o:title=""/>
                  <o:lock v:ext="edit" aspectratio="t"/>
                  <w10:wrap type="none"/>
                  <w10:anchorlock/>
                </v:shape>
                <o:OLEObject Type="Embed" ProgID="Visio.Drawing.15" ShapeID="_x0000_i1026" DrawAspect="Content" ObjectID="_1468075726" r:id="rId15">
                  <o:LockedField>false</o:LockedField>
                </o:OLEObject>
              </w:object>
            </w:r>
          </w:p>
          <w:p>
            <w:pPr>
              <w:adjustRightInd w:val="0"/>
              <w:snapToGrid w:val="0"/>
              <w:spacing w:line="360" w:lineRule="auto"/>
              <w:jc w:val="center"/>
              <w:rPr>
                <w:b/>
                <w:bCs/>
                <w:color w:val="auto"/>
                <w:szCs w:val="21"/>
                <w:lang w:val="en-GB"/>
              </w:rPr>
            </w:pPr>
            <w:r>
              <w:rPr>
                <w:rFonts w:ascii="宋体" w:hAnsi="宋体" w:cs="宋体"/>
                <w:b/>
                <w:bCs/>
                <w:color w:val="auto"/>
                <w:szCs w:val="21"/>
              </w:rPr>
              <w:t>图2-2项目橡胶制品生产工艺流程图</w:t>
            </w:r>
          </w:p>
          <w:p>
            <w:pPr>
              <w:adjustRightInd w:val="0"/>
              <w:snapToGrid w:val="0"/>
              <w:spacing w:line="360" w:lineRule="auto"/>
              <w:ind w:firstLine="420" w:firstLineChars="200"/>
              <w:rPr>
                <w:color w:val="auto"/>
                <w:szCs w:val="21"/>
                <w:lang w:val="en-GB"/>
              </w:rPr>
            </w:pPr>
            <w:r>
              <w:rPr>
                <w:color w:val="auto"/>
                <w:szCs w:val="21"/>
                <w:lang w:val="en-GB"/>
              </w:rPr>
              <w:t>工艺流程介绍：</w:t>
            </w:r>
          </w:p>
          <w:p>
            <w:pPr>
              <w:adjustRightInd w:val="0"/>
              <w:snapToGrid w:val="0"/>
              <w:spacing w:line="360" w:lineRule="auto"/>
              <w:ind w:firstLine="420" w:firstLineChars="200"/>
              <w:rPr>
                <w:color w:val="auto"/>
                <w:szCs w:val="21"/>
                <w:lang w:val="en-GB"/>
              </w:rPr>
            </w:pPr>
            <w:r>
              <w:rPr>
                <w:rFonts w:hint="eastAsia"/>
                <w:color w:val="auto"/>
                <w:szCs w:val="21"/>
                <w:lang w:val="en-GB"/>
              </w:rPr>
              <w:t>（</w:t>
            </w:r>
            <w:r>
              <w:rPr>
                <w:rFonts w:hint="eastAsia"/>
                <w:color w:val="auto"/>
                <w:szCs w:val="21"/>
              </w:rPr>
              <w:t>1</w:t>
            </w:r>
            <w:r>
              <w:rPr>
                <w:rFonts w:hint="eastAsia"/>
                <w:color w:val="auto"/>
                <w:szCs w:val="21"/>
                <w:lang w:val="en-GB"/>
              </w:rPr>
              <w:t>）</w:t>
            </w:r>
            <w:r>
              <w:rPr>
                <w:color w:val="auto"/>
                <w:szCs w:val="21"/>
                <w:lang w:val="en-GB"/>
              </w:rPr>
              <w:t>密闭混合</w:t>
            </w:r>
          </w:p>
          <w:p>
            <w:pPr>
              <w:adjustRightInd w:val="0"/>
              <w:snapToGrid w:val="0"/>
              <w:spacing w:line="360" w:lineRule="auto"/>
              <w:ind w:firstLine="420" w:firstLineChars="200"/>
              <w:rPr>
                <w:color w:val="auto"/>
                <w:szCs w:val="21"/>
                <w:lang w:val="en-GB"/>
              </w:rPr>
            </w:pPr>
            <w:r>
              <w:rPr>
                <w:color w:val="auto"/>
                <w:szCs w:val="21"/>
                <w:lang w:val="en-GB"/>
              </w:rPr>
              <w:t>根据产品要求</w:t>
            </w:r>
            <w:r>
              <w:rPr>
                <w:rFonts w:hint="eastAsia"/>
                <w:color w:val="auto"/>
                <w:szCs w:val="21"/>
                <w:lang w:val="en-GB"/>
              </w:rPr>
              <w:t>，</w:t>
            </w:r>
            <w:r>
              <w:rPr>
                <w:color w:val="auto"/>
                <w:szCs w:val="21"/>
                <w:lang w:val="en-GB"/>
              </w:rPr>
              <w:t>按硬度配比将</w:t>
            </w:r>
            <w:r>
              <w:rPr>
                <w:rFonts w:hint="eastAsia"/>
                <w:color w:val="auto"/>
                <w:szCs w:val="21"/>
              </w:rPr>
              <w:t>部分</w:t>
            </w:r>
            <w:r>
              <w:rPr>
                <w:color w:val="auto"/>
                <w:szCs w:val="21"/>
                <w:lang w:val="en-GB"/>
              </w:rPr>
              <w:t>外购</w:t>
            </w:r>
            <w:r>
              <w:rPr>
                <w:rFonts w:hint="eastAsia"/>
                <w:color w:val="auto"/>
                <w:szCs w:val="21"/>
              </w:rPr>
              <w:t>的混炼胶</w:t>
            </w:r>
            <w:r>
              <w:rPr>
                <w:color w:val="auto"/>
                <w:szCs w:val="21"/>
                <w:lang w:val="en-GB"/>
              </w:rPr>
              <w:t>置于密炼机内充分混合，采用电加热，加热温度为</w:t>
            </w:r>
            <w:r>
              <w:rPr>
                <w:color w:val="auto"/>
                <w:szCs w:val="21"/>
              </w:rPr>
              <w:t>1</w:t>
            </w:r>
            <w:r>
              <w:rPr>
                <w:rFonts w:hint="eastAsia"/>
                <w:color w:val="auto"/>
                <w:szCs w:val="21"/>
              </w:rPr>
              <w:t>00</w:t>
            </w:r>
            <w:r>
              <w:rPr>
                <w:color w:val="auto"/>
                <w:szCs w:val="21"/>
              </w:rPr>
              <w:t>℃-</w:t>
            </w:r>
            <w:r>
              <w:rPr>
                <w:rFonts w:hint="eastAsia"/>
                <w:color w:val="auto"/>
                <w:szCs w:val="21"/>
              </w:rPr>
              <w:t>12</w:t>
            </w:r>
            <w:r>
              <w:rPr>
                <w:color w:val="auto"/>
                <w:szCs w:val="21"/>
                <w:lang w:val="en-GB"/>
              </w:rPr>
              <w:t>0℃，每次混炼时间约需</w:t>
            </w:r>
            <w:r>
              <w:rPr>
                <w:rFonts w:hint="eastAsia"/>
                <w:color w:val="auto"/>
                <w:szCs w:val="21"/>
              </w:rPr>
              <w:t>2~6</w:t>
            </w:r>
            <w:r>
              <w:rPr>
                <w:color w:val="auto"/>
                <w:szCs w:val="21"/>
                <w:lang w:val="en-GB"/>
              </w:rPr>
              <w:t>分钟，混炼达到最佳分散及均匀度。</w:t>
            </w:r>
            <w:r>
              <w:rPr>
                <w:color w:val="auto"/>
                <w:szCs w:val="21"/>
              </w:rPr>
              <w:t>打开设备取出工件</w:t>
            </w:r>
            <w:r>
              <w:rPr>
                <w:rFonts w:hint="eastAsia"/>
                <w:color w:val="auto"/>
                <w:szCs w:val="21"/>
              </w:rPr>
              <w:t>时</w:t>
            </w:r>
            <w:r>
              <w:rPr>
                <w:color w:val="auto"/>
                <w:szCs w:val="21"/>
              </w:rPr>
              <w:t>产生少量的废气。</w:t>
            </w:r>
          </w:p>
          <w:p>
            <w:pPr>
              <w:adjustRightInd w:val="0"/>
              <w:snapToGrid w:val="0"/>
              <w:spacing w:line="360" w:lineRule="auto"/>
              <w:ind w:firstLine="420" w:firstLineChars="200"/>
              <w:rPr>
                <w:color w:val="auto"/>
                <w:szCs w:val="21"/>
                <w:lang w:val="en-GB"/>
              </w:rPr>
            </w:pPr>
            <w:r>
              <w:rPr>
                <w:color w:val="auto"/>
                <w:szCs w:val="21"/>
                <w:lang w:val="en-GB"/>
              </w:rPr>
              <w:t>此工序产生少量混炼废气(G1-1)。</w:t>
            </w:r>
          </w:p>
          <w:p>
            <w:pPr>
              <w:adjustRightInd w:val="0"/>
              <w:snapToGrid w:val="0"/>
              <w:spacing w:line="360" w:lineRule="auto"/>
              <w:ind w:firstLine="420" w:firstLineChars="200"/>
              <w:rPr>
                <w:color w:val="auto"/>
                <w:szCs w:val="21"/>
                <w:lang w:val="en-GB"/>
              </w:rPr>
            </w:pPr>
            <w:r>
              <w:rPr>
                <w:rFonts w:hint="eastAsia"/>
                <w:color w:val="auto"/>
                <w:szCs w:val="21"/>
                <w:lang w:val="en-GB"/>
              </w:rPr>
              <w:t>（</w:t>
            </w:r>
            <w:r>
              <w:rPr>
                <w:rFonts w:hint="eastAsia"/>
                <w:color w:val="auto"/>
                <w:szCs w:val="21"/>
              </w:rPr>
              <w:t>2</w:t>
            </w:r>
            <w:r>
              <w:rPr>
                <w:rFonts w:hint="eastAsia"/>
                <w:color w:val="auto"/>
                <w:szCs w:val="21"/>
                <w:lang w:val="en-GB"/>
              </w:rPr>
              <w:t>）</w:t>
            </w:r>
            <w:r>
              <w:rPr>
                <w:color w:val="auto"/>
                <w:szCs w:val="21"/>
                <w:lang w:val="en-GB"/>
              </w:rPr>
              <w:t>开炼</w:t>
            </w:r>
          </w:p>
          <w:p>
            <w:pPr>
              <w:adjustRightInd w:val="0"/>
              <w:snapToGrid w:val="0"/>
              <w:spacing w:line="360" w:lineRule="auto"/>
              <w:ind w:firstLine="420" w:firstLineChars="200"/>
              <w:rPr>
                <w:color w:val="auto"/>
                <w:szCs w:val="21"/>
                <w:lang w:val="en-GB"/>
              </w:rPr>
            </w:pPr>
            <w:r>
              <w:rPr>
                <w:color w:val="auto"/>
                <w:szCs w:val="21"/>
                <w:lang w:val="en-GB"/>
              </w:rPr>
              <w:t>将</w:t>
            </w:r>
            <w:r>
              <w:rPr>
                <w:rFonts w:hint="eastAsia"/>
                <w:color w:val="auto"/>
                <w:szCs w:val="21"/>
              </w:rPr>
              <w:t>硫化剂和混炼好的</w:t>
            </w:r>
            <w:r>
              <w:rPr>
                <w:color w:val="auto"/>
                <w:szCs w:val="21"/>
                <w:lang w:val="en-GB"/>
              </w:rPr>
              <w:t>混炼胶</w:t>
            </w:r>
            <w:r>
              <w:rPr>
                <w:rFonts w:hint="eastAsia"/>
                <w:color w:val="auto"/>
                <w:szCs w:val="21"/>
              </w:rPr>
              <w:t>一起</w:t>
            </w:r>
            <w:r>
              <w:rPr>
                <w:color w:val="auto"/>
                <w:szCs w:val="21"/>
                <w:lang w:val="en-GB"/>
              </w:rPr>
              <w:t>送入开炼机中，利用开炼机两辊筒中两个相对回转的辊筒对胶料反复辊距数次</w:t>
            </w:r>
            <w:r>
              <w:rPr>
                <w:rFonts w:hint="eastAsia"/>
                <w:color w:val="auto"/>
                <w:szCs w:val="21"/>
                <w:lang w:val="en-GB"/>
              </w:rPr>
              <w:t>，</w:t>
            </w:r>
            <w:r>
              <w:rPr>
                <w:color w:val="auto"/>
                <w:szCs w:val="21"/>
                <w:lang w:val="en-GB"/>
              </w:rPr>
              <w:t>产生挤压、剪切作用，将胶料内部的大分子链打断，使胶料内部的各种成分掺和均匀，</w:t>
            </w:r>
            <w:r>
              <w:rPr>
                <w:rFonts w:hint="eastAsia"/>
                <w:color w:val="auto"/>
                <w:szCs w:val="21"/>
              </w:rPr>
              <w:t>从而</w:t>
            </w:r>
            <w:r>
              <w:rPr>
                <w:color w:val="auto"/>
                <w:szCs w:val="21"/>
                <w:lang w:val="en-GB"/>
              </w:rPr>
              <w:t>达到炼胶的目的。</w:t>
            </w:r>
          </w:p>
          <w:p>
            <w:pPr>
              <w:adjustRightInd w:val="0"/>
              <w:snapToGrid w:val="0"/>
              <w:spacing w:line="360" w:lineRule="auto"/>
              <w:ind w:firstLine="420" w:firstLineChars="200"/>
              <w:rPr>
                <w:color w:val="auto"/>
                <w:szCs w:val="21"/>
              </w:rPr>
            </w:pPr>
            <w:r>
              <w:rPr>
                <w:rFonts w:hint="eastAsia"/>
                <w:color w:val="auto"/>
                <w:szCs w:val="21"/>
              </w:rPr>
              <w:t>开炼过程采用冷却塔对设备进行间接冷却，使得混炼胶温度控制在</w:t>
            </w:r>
            <w:r>
              <w:rPr>
                <w:color w:val="auto"/>
                <w:szCs w:val="21"/>
              </w:rPr>
              <w:t>50℃以下</w:t>
            </w:r>
            <w:r>
              <w:rPr>
                <w:rFonts w:hint="eastAsia"/>
                <w:color w:val="auto"/>
                <w:szCs w:val="21"/>
              </w:rPr>
              <w:t>。</w:t>
            </w:r>
          </w:p>
          <w:p>
            <w:pPr>
              <w:adjustRightInd w:val="0"/>
              <w:snapToGrid w:val="0"/>
              <w:spacing w:line="360" w:lineRule="auto"/>
              <w:ind w:firstLine="420" w:firstLineChars="200"/>
              <w:rPr>
                <w:color w:val="auto"/>
                <w:szCs w:val="21"/>
                <w:lang w:val="en-GB"/>
              </w:rPr>
            </w:pPr>
            <w:r>
              <w:rPr>
                <w:color w:val="auto"/>
                <w:szCs w:val="21"/>
                <w:lang w:val="en-GB"/>
              </w:rPr>
              <w:t>按产品要求厚度，用开炼机</w:t>
            </w:r>
            <w:r>
              <w:rPr>
                <w:rFonts w:hint="eastAsia"/>
                <w:color w:val="auto"/>
                <w:szCs w:val="21"/>
              </w:rPr>
              <w:t>对混炼胶</w:t>
            </w:r>
            <w:r>
              <w:rPr>
                <w:color w:val="auto"/>
                <w:szCs w:val="21"/>
                <w:lang w:val="en-GB"/>
              </w:rPr>
              <w:t>压延出片</w:t>
            </w:r>
            <w:r>
              <w:rPr>
                <w:rFonts w:hint="eastAsia"/>
                <w:color w:val="auto"/>
                <w:szCs w:val="21"/>
                <w:lang w:val="en-GB"/>
              </w:rPr>
              <w:t>；</w:t>
            </w:r>
          </w:p>
          <w:p>
            <w:pPr>
              <w:adjustRightInd w:val="0"/>
              <w:snapToGrid w:val="0"/>
              <w:spacing w:line="360" w:lineRule="auto"/>
              <w:ind w:firstLine="420" w:firstLineChars="200"/>
              <w:rPr>
                <w:color w:val="auto"/>
                <w:szCs w:val="21"/>
                <w:lang w:val="en-GB"/>
              </w:rPr>
            </w:pPr>
            <w:r>
              <w:rPr>
                <w:color w:val="auto"/>
                <w:szCs w:val="21"/>
                <w:lang w:val="en-GB"/>
              </w:rPr>
              <w:t>按产品大致形状，使用预成型机时，打开机头，将打卷的胶料从料筒前部装入，再关闭机头，调定挤出速度和切割速度，抽真空、切割，得到重量精准的胶坯。</w:t>
            </w:r>
          </w:p>
          <w:p>
            <w:pPr>
              <w:adjustRightInd w:val="0"/>
              <w:snapToGrid w:val="0"/>
              <w:spacing w:line="360" w:lineRule="auto"/>
              <w:ind w:firstLine="420" w:firstLineChars="200"/>
              <w:rPr>
                <w:color w:val="auto"/>
                <w:szCs w:val="21"/>
                <w:lang w:val="en-GB"/>
              </w:rPr>
            </w:pPr>
            <w:r>
              <w:rPr>
                <w:color w:val="auto"/>
                <w:szCs w:val="21"/>
                <w:lang w:val="en-GB"/>
              </w:rPr>
              <w:t>此工序产生少量开炼废气(G1-2)。</w:t>
            </w:r>
          </w:p>
          <w:p>
            <w:pPr>
              <w:adjustRightInd w:val="0"/>
              <w:snapToGrid w:val="0"/>
              <w:spacing w:line="360" w:lineRule="auto"/>
              <w:ind w:firstLine="420" w:firstLineChars="200"/>
              <w:rPr>
                <w:color w:val="auto"/>
                <w:szCs w:val="21"/>
                <w:lang w:val="en-GB"/>
              </w:rPr>
            </w:pPr>
            <w:r>
              <w:rPr>
                <w:rFonts w:hint="eastAsia"/>
                <w:color w:val="auto"/>
                <w:szCs w:val="21"/>
                <w:lang w:val="en-GB"/>
              </w:rPr>
              <w:t>（</w:t>
            </w:r>
            <w:r>
              <w:rPr>
                <w:rFonts w:hint="eastAsia"/>
                <w:color w:val="auto"/>
                <w:szCs w:val="21"/>
              </w:rPr>
              <w:t>3</w:t>
            </w:r>
            <w:r>
              <w:rPr>
                <w:rFonts w:hint="eastAsia"/>
                <w:color w:val="auto"/>
                <w:szCs w:val="21"/>
                <w:lang w:val="en-GB"/>
              </w:rPr>
              <w:t>）</w:t>
            </w:r>
            <w:r>
              <w:rPr>
                <w:color w:val="auto"/>
                <w:szCs w:val="21"/>
                <w:lang w:val="en-GB"/>
              </w:rPr>
              <w:t>一次成型</w:t>
            </w:r>
          </w:p>
          <w:p>
            <w:pPr>
              <w:adjustRightInd w:val="0"/>
              <w:snapToGrid w:val="0"/>
              <w:spacing w:line="360" w:lineRule="auto"/>
              <w:ind w:firstLine="525" w:firstLineChars="250"/>
              <w:rPr>
                <w:color w:val="auto"/>
                <w:szCs w:val="21"/>
                <w:lang w:val="en-GB"/>
              </w:rPr>
            </w:pPr>
            <w:r>
              <w:rPr>
                <w:rFonts w:hint="eastAsia"/>
                <w:color w:val="auto"/>
                <w:szCs w:val="21"/>
              </w:rPr>
              <w:t>按照工件种类和形状，</w:t>
            </w:r>
            <w:r>
              <w:rPr>
                <w:color w:val="auto"/>
                <w:szCs w:val="21"/>
                <w:lang w:val="en-GB"/>
              </w:rPr>
              <w:t>利用模压成型机和挤出成型机将预成型的胶坯进行加温定型，采用电加热，加热时间约为温度</w:t>
            </w:r>
            <w:r>
              <w:rPr>
                <w:rFonts w:hint="eastAsia"/>
                <w:color w:val="auto"/>
                <w:szCs w:val="21"/>
              </w:rPr>
              <w:t>100~</w:t>
            </w:r>
            <w:r>
              <w:rPr>
                <w:color w:val="auto"/>
                <w:szCs w:val="21"/>
                <w:lang w:val="en-GB"/>
              </w:rPr>
              <w:t>180℃，加热时间约为4</w:t>
            </w:r>
            <w:r>
              <w:rPr>
                <w:rFonts w:hint="eastAsia"/>
                <w:color w:val="auto"/>
                <w:szCs w:val="21"/>
              </w:rPr>
              <w:t>~</w:t>
            </w:r>
            <w:r>
              <w:rPr>
                <w:color w:val="auto"/>
                <w:szCs w:val="21"/>
                <w:lang w:val="en-GB"/>
              </w:rPr>
              <w:t>5分钟，</w:t>
            </w:r>
          </w:p>
          <w:p>
            <w:pPr>
              <w:adjustRightInd w:val="0"/>
              <w:snapToGrid w:val="0"/>
              <w:spacing w:line="360" w:lineRule="auto"/>
              <w:ind w:firstLine="525" w:firstLineChars="250"/>
              <w:rPr>
                <w:color w:val="auto"/>
                <w:szCs w:val="21"/>
                <w:lang w:val="en-GB"/>
              </w:rPr>
            </w:pPr>
            <w:r>
              <w:rPr>
                <w:color w:val="auto"/>
                <w:szCs w:val="21"/>
                <w:lang w:val="en-GB"/>
              </w:rPr>
              <w:t>此工序产生少量成型废气(G1-3)和噪声（N）。</w:t>
            </w:r>
          </w:p>
          <w:p>
            <w:pPr>
              <w:adjustRightInd w:val="0"/>
              <w:snapToGrid w:val="0"/>
              <w:spacing w:line="360" w:lineRule="auto"/>
              <w:ind w:firstLine="420" w:firstLineChars="200"/>
              <w:rPr>
                <w:color w:val="auto"/>
                <w:szCs w:val="21"/>
                <w:lang w:val="en-GB"/>
              </w:rPr>
            </w:pPr>
            <w:r>
              <w:rPr>
                <w:rFonts w:hint="eastAsia"/>
                <w:color w:val="auto"/>
                <w:szCs w:val="21"/>
                <w:lang w:val="en-GB"/>
              </w:rPr>
              <w:t>（</w:t>
            </w:r>
            <w:r>
              <w:rPr>
                <w:rFonts w:hint="eastAsia"/>
                <w:color w:val="auto"/>
                <w:szCs w:val="21"/>
              </w:rPr>
              <w:t>4</w:t>
            </w:r>
            <w:r>
              <w:rPr>
                <w:rFonts w:hint="eastAsia"/>
                <w:color w:val="auto"/>
                <w:szCs w:val="21"/>
                <w:lang w:val="en-GB"/>
              </w:rPr>
              <w:t>）</w:t>
            </w:r>
            <w:r>
              <w:rPr>
                <w:color w:val="auto"/>
                <w:szCs w:val="21"/>
                <w:lang w:val="en-GB"/>
              </w:rPr>
              <w:t>二次成型</w:t>
            </w:r>
          </w:p>
          <w:p>
            <w:pPr>
              <w:adjustRightInd w:val="0"/>
              <w:snapToGrid w:val="0"/>
              <w:spacing w:line="360" w:lineRule="auto"/>
              <w:ind w:firstLine="420" w:firstLineChars="200"/>
              <w:rPr>
                <w:color w:val="auto"/>
                <w:szCs w:val="21"/>
                <w:lang w:val="en-GB"/>
              </w:rPr>
            </w:pPr>
            <w:r>
              <w:rPr>
                <w:color w:val="auto"/>
                <w:szCs w:val="21"/>
                <w:lang w:val="en-GB"/>
              </w:rPr>
              <w:t>利用节能烘箱加温补偿使产品充分</w:t>
            </w:r>
            <w:r>
              <w:rPr>
                <w:rFonts w:hint="eastAsia"/>
                <w:color w:val="auto"/>
                <w:szCs w:val="21"/>
              </w:rPr>
              <w:t>固化</w:t>
            </w:r>
            <w:r>
              <w:rPr>
                <w:color w:val="auto"/>
                <w:szCs w:val="21"/>
                <w:lang w:val="en-GB"/>
              </w:rPr>
              <w:t>定型，加热温度为</w:t>
            </w:r>
            <w:r>
              <w:rPr>
                <w:rFonts w:hint="eastAsia"/>
                <w:color w:val="auto"/>
                <w:szCs w:val="21"/>
              </w:rPr>
              <w:t>160~180</w:t>
            </w:r>
            <w:r>
              <w:rPr>
                <w:color w:val="auto"/>
                <w:szCs w:val="21"/>
                <w:lang w:val="en-GB"/>
              </w:rPr>
              <w:t>℃；加热时间为1.5</w:t>
            </w:r>
            <w:r>
              <w:rPr>
                <w:rFonts w:hint="eastAsia"/>
                <w:color w:val="auto"/>
                <w:szCs w:val="21"/>
              </w:rPr>
              <w:t>~</w:t>
            </w:r>
            <w:r>
              <w:rPr>
                <w:color w:val="auto"/>
                <w:szCs w:val="21"/>
                <w:lang w:val="en-GB"/>
              </w:rPr>
              <w:t>2小时。</w:t>
            </w:r>
          </w:p>
          <w:p>
            <w:pPr>
              <w:adjustRightInd w:val="0"/>
              <w:snapToGrid w:val="0"/>
              <w:spacing w:line="360" w:lineRule="auto"/>
              <w:ind w:firstLine="420" w:firstLineChars="200"/>
              <w:rPr>
                <w:color w:val="auto"/>
                <w:szCs w:val="21"/>
                <w:lang w:val="en-GB"/>
              </w:rPr>
            </w:pPr>
            <w:r>
              <w:rPr>
                <w:color w:val="auto"/>
                <w:szCs w:val="21"/>
                <w:lang w:val="en-GB"/>
              </w:rPr>
              <w:t>此工序产生少量定型废气(G1-4)。</w:t>
            </w:r>
          </w:p>
          <w:p>
            <w:pPr>
              <w:adjustRightInd w:val="0"/>
              <w:snapToGrid w:val="0"/>
              <w:spacing w:line="360" w:lineRule="auto"/>
              <w:ind w:firstLine="420" w:firstLineChars="200"/>
              <w:rPr>
                <w:color w:val="auto"/>
                <w:szCs w:val="21"/>
                <w:lang w:val="en-GB"/>
              </w:rPr>
            </w:pPr>
            <w:r>
              <w:rPr>
                <w:rFonts w:hint="eastAsia"/>
                <w:color w:val="auto"/>
                <w:szCs w:val="21"/>
                <w:lang w:val="en-GB"/>
              </w:rPr>
              <w:t>（</w:t>
            </w:r>
            <w:r>
              <w:rPr>
                <w:rFonts w:hint="eastAsia"/>
                <w:color w:val="auto"/>
                <w:szCs w:val="21"/>
              </w:rPr>
              <w:t>5</w:t>
            </w:r>
            <w:r>
              <w:rPr>
                <w:rFonts w:hint="eastAsia"/>
                <w:color w:val="auto"/>
                <w:szCs w:val="21"/>
                <w:lang w:val="en-GB"/>
              </w:rPr>
              <w:t>）</w:t>
            </w:r>
            <w:r>
              <w:rPr>
                <w:color w:val="auto"/>
                <w:szCs w:val="21"/>
                <w:lang w:val="en-GB"/>
              </w:rPr>
              <w:t>修边</w:t>
            </w:r>
          </w:p>
          <w:p>
            <w:pPr>
              <w:adjustRightInd w:val="0"/>
              <w:snapToGrid w:val="0"/>
              <w:spacing w:line="360" w:lineRule="auto"/>
              <w:ind w:firstLine="420" w:firstLineChars="200"/>
              <w:rPr>
                <w:color w:val="auto"/>
                <w:szCs w:val="21"/>
                <w:lang w:val="en-GB"/>
              </w:rPr>
            </w:pPr>
            <w:r>
              <w:rPr>
                <w:rFonts w:hint="eastAsia"/>
                <w:color w:val="auto"/>
                <w:szCs w:val="21"/>
              </w:rPr>
              <w:t>对加工好的橡胶工件进行修边处理</w:t>
            </w:r>
            <w:r>
              <w:rPr>
                <w:color w:val="auto"/>
                <w:szCs w:val="21"/>
              </w:rPr>
              <w:t>。</w:t>
            </w:r>
          </w:p>
          <w:p>
            <w:pPr>
              <w:tabs>
                <w:tab w:val="left" w:pos="4760"/>
              </w:tabs>
              <w:adjustRightInd w:val="0"/>
              <w:snapToGrid w:val="0"/>
              <w:spacing w:line="360" w:lineRule="auto"/>
              <w:ind w:firstLine="420" w:firstLineChars="200"/>
              <w:rPr>
                <w:color w:val="auto"/>
                <w:szCs w:val="21"/>
                <w:lang w:val="en-GB"/>
              </w:rPr>
            </w:pPr>
            <w:r>
              <w:rPr>
                <w:color w:val="auto"/>
                <w:szCs w:val="21"/>
                <w:lang w:val="en-GB"/>
              </w:rPr>
              <w:t>此工序产生废边角料(S1-1)和噪声(N)。</w:t>
            </w:r>
          </w:p>
          <w:p>
            <w:pPr>
              <w:adjustRightInd w:val="0"/>
              <w:snapToGrid w:val="0"/>
              <w:spacing w:line="360" w:lineRule="auto"/>
              <w:ind w:firstLine="420" w:firstLineChars="200"/>
              <w:rPr>
                <w:color w:val="auto"/>
                <w:szCs w:val="21"/>
                <w:lang w:val="en-GB"/>
              </w:rPr>
            </w:pPr>
            <w:r>
              <w:rPr>
                <w:rFonts w:hint="eastAsia"/>
                <w:color w:val="auto"/>
                <w:szCs w:val="21"/>
                <w:lang w:val="en-GB"/>
              </w:rPr>
              <w:t>（</w:t>
            </w:r>
            <w:r>
              <w:rPr>
                <w:rFonts w:hint="eastAsia"/>
                <w:color w:val="auto"/>
                <w:szCs w:val="21"/>
              </w:rPr>
              <w:t>6</w:t>
            </w:r>
            <w:r>
              <w:rPr>
                <w:rFonts w:hint="eastAsia"/>
                <w:color w:val="auto"/>
                <w:szCs w:val="21"/>
                <w:lang w:val="en-GB"/>
              </w:rPr>
              <w:t>）</w:t>
            </w:r>
            <w:r>
              <w:rPr>
                <w:color w:val="auto"/>
                <w:szCs w:val="21"/>
                <w:lang w:val="en-GB"/>
              </w:rPr>
              <w:t>检验包装</w:t>
            </w:r>
          </w:p>
          <w:p>
            <w:pPr>
              <w:adjustRightInd w:val="0"/>
              <w:snapToGrid w:val="0"/>
              <w:spacing w:line="360" w:lineRule="auto"/>
              <w:ind w:firstLine="420" w:firstLineChars="200"/>
              <w:rPr>
                <w:color w:val="auto"/>
                <w:szCs w:val="21"/>
                <w:lang w:val="en-GB"/>
              </w:rPr>
            </w:pPr>
            <w:r>
              <w:rPr>
                <w:color w:val="auto"/>
                <w:szCs w:val="21"/>
                <w:lang w:val="en-GB"/>
              </w:rPr>
              <w:t>根据产品需要进行质量管控，将合格品包装。</w:t>
            </w:r>
          </w:p>
          <w:p>
            <w:pPr>
              <w:adjustRightInd w:val="0"/>
              <w:snapToGrid w:val="0"/>
              <w:spacing w:line="360" w:lineRule="auto"/>
              <w:ind w:firstLine="420" w:firstLineChars="200"/>
              <w:rPr>
                <w:color w:val="auto"/>
                <w:szCs w:val="21"/>
                <w:lang w:val="en-GB"/>
              </w:rPr>
            </w:pPr>
            <w:r>
              <w:rPr>
                <w:color w:val="auto"/>
                <w:szCs w:val="21"/>
                <w:lang w:val="en-GB"/>
              </w:rPr>
              <w:t>此工序产生不合格品（S1-2）。</w:t>
            </w:r>
          </w:p>
          <w:p>
            <w:pPr>
              <w:adjustRightInd w:val="0"/>
              <w:snapToGrid w:val="0"/>
              <w:spacing w:line="360" w:lineRule="auto"/>
              <w:ind w:firstLine="420" w:firstLineChars="200"/>
              <w:rPr>
                <w:rFonts w:ascii="宋体" w:hAnsi="宋体"/>
                <w:color w:val="auto"/>
                <w:szCs w:val="21"/>
              </w:rPr>
            </w:pPr>
            <w:r>
              <w:rPr>
                <w:rFonts w:hint="eastAsia" w:ascii="宋体" w:hAnsi="宋体"/>
                <w:color w:val="auto"/>
                <w:szCs w:val="21"/>
                <w:lang w:val="en-GB"/>
              </w:rPr>
              <w:t>2、塑料件</w:t>
            </w:r>
            <w:r>
              <w:rPr>
                <w:rFonts w:hint="eastAsia" w:ascii="宋体" w:hAnsi="宋体"/>
                <w:color w:val="auto"/>
                <w:szCs w:val="21"/>
              </w:rPr>
              <w:t>生产工艺流程</w:t>
            </w:r>
          </w:p>
          <w:p>
            <w:pPr>
              <w:numPr>
                <w:ins w:id="1" w:author="Administrator" w:date=""/>
              </w:numPr>
              <w:adjustRightInd w:val="0"/>
              <w:snapToGrid w:val="0"/>
              <w:spacing w:line="360" w:lineRule="auto"/>
              <w:ind w:firstLine="420" w:firstLineChars="200"/>
              <w:rPr>
                <w:rFonts w:ascii="宋体" w:hAnsi="宋体"/>
                <w:color w:val="auto"/>
                <w:szCs w:val="21"/>
                <w:lang w:val="en-GB"/>
              </w:rPr>
            </w:pPr>
            <w:r>
              <w:rPr>
                <w:rFonts w:hint="eastAsia" w:ascii="宋体" w:hAnsi="宋体"/>
                <w:color w:val="auto"/>
                <w:szCs w:val="21"/>
                <w:lang w:val="en-GB"/>
              </w:rPr>
              <w:t>项目塑料件生产工艺如下：</w:t>
            </w:r>
          </w:p>
          <w:p>
            <w:pPr>
              <w:pStyle w:val="2"/>
              <w:spacing w:before="0" w:after="0" w:line="240" w:lineRule="auto"/>
              <w:jc w:val="center"/>
              <w:rPr>
                <w:ins w:id="2" w:author="Administrator" w:date="2012-11-01T16:58:00Z"/>
                <w:color w:val="auto"/>
                <w:lang w:val="en-GB"/>
              </w:rPr>
            </w:pPr>
            <w:r>
              <w:rPr>
                <w:color w:val="auto"/>
              </w:rPr>
              <w:object>
                <v:shape id="_x0000_i1027" o:spt="75" type="#_x0000_t75" style="height:180.75pt;width:157pt;" o:ole="t" filled="f" o:preferrelative="t" stroked="f" coordsize="21600,21600">
                  <v:path/>
                  <v:fill on="f" focussize="0,0"/>
                  <v:stroke on="f" joinstyle="miter"/>
                  <v:imagedata r:id="rId18" o:title=""/>
                  <o:lock v:ext="edit" aspectratio="t"/>
                  <w10:wrap type="none"/>
                  <w10:anchorlock/>
                </v:shape>
                <o:OLEObject Type="Embed" ProgID="Visio.Drawing.15" ShapeID="_x0000_i1027" DrawAspect="Content" ObjectID="_1468075727" r:id="rId17">
                  <o:LockedField>false</o:LockedField>
                </o:OLEObject>
              </w:object>
            </w:r>
          </w:p>
          <w:p>
            <w:pPr>
              <w:adjustRightInd w:val="0"/>
              <w:snapToGrid w:val="0"/>
              <w:spacing w:line="360" w:lineRule="auto"/>
              <w:jc w:val="center"/>
              <w:rPr>
                <w:b/>
                <w:bCs/>
                <w:color w:val="auto"/>
                <w:szCs w:val="21"/>
                <w:lang w:val="en-GB"/>
              </w:rPr>
            </w:pPr>
            <w:r>
              <w:rPr>
                <w:b/>
                <w:bCs/>
                <w:color w:val="auto"/>
                <w:szCs w:val="21"/>
                <w:lang w:val="en-GB"/>
              </w:rPr>
              <w:t>图2-3项目塑料件生产工艺流程图</w:t>
            </w:r>
          </w:p>
          <w:p>
            <w:pPr>
              <w:spacing w:line="360" w:lineRule="auto"/>
              <w:ind w:firstLine="420" w:firstLineChars="200"/>
              <w:rPr>
                <w:color w:val="auto"/>
                <w:szCs w:val="21"/>
              </w:rPr>
            </w:pPr>
            <w:r>
              <w:rPr>
                <w:color w:val="auto"/>
                <w:szCs w:val="21"/>
              </w:rPr>
              <w:t>（</w:t>
            </w:r>
            <w:r>
              <w:rPr>
                <w:rFonts w:hint="eastAsia"/>
                <w:color w:val="auto"/>
                <w:szCs w:val="21"/>
              </w:rPr>
              <w:t>1</w:t>
            </w:r>
            <w:r>
              <w:rPr>
                <w:color w:val="auto"/>
                <w:szCs w:val="21"/>
              </w:rPr>
              <w:t>）注塑成型</w:t>
            </w:r>
            <w:r>
              <w:rPr>
                <w:rFonts w:hint="eastAsia"/>
                <w:color w:val="auto"/>
                <w:szCs w:val="21"/>
              </w:rPr>
              <w:t>：</w:t>
            </w:r>
          </w:p>
          <w:p>
            <w:pPr>
              <w:spacing w:line="360" w:lineRule="auto"/>
              <w:ind w:firstLine="420" w:firstLineChars="200"/>
              <w:rPr>
                <w:color w:val="auto"/>
                <w:szCs w:val="21"/>
              </w:rPr>
            </w:pPr>
            <w:r>
              <w:rPr>
                <w:rFonts w:hint="eastAsia"/>
                <w:color w:val="auto"/>
                <w:szCs w:val="21"/>
              </w:rPr>
              <w:t>使用烘干机对塑料粒子（PP、P</w:t>
            </w:r>
            <w:r>
              <w:rPr>
                <w:rFonts w:hint="eastAsia"/>
                <w:color w:val="auto"/>
                <w:szCs w:val="21"/>
                <w:lang w:val="en-US" w:eastAsia="zh-CN"/>
              </w:rPr>
              <w:t>E</w:t>
            </w:r>
            <w:r>
              <w:rPr>
                <w:rFonts w:hint="eastAsia"/>
                <w:color w:val="auto"/>
                <w:szCs w:val="21"/>
              </w:rPr>
              <w:t>）进行烘干处理，充分混合后，电加热进行烘干，烘干温度为85℃左右，烘干工序主要产生水蒸气。</w:t>
            </w:r>
          </w:p>
          <w:p>
            <w:pPr>
              <w:spacing w:line="360" w:lineRule="auto"/>
              <w:ind w:firstLine="420" w:firstLineChars="200"/>
              <w:rPr>
                <w:color w:val="auto"/>
                <w:szCs w:val="21"/>
              </w:rPr>
            </w:pPr>
            <w:r>
              <w:rPr>
                <w:rFonts w:hint="eastAsia"/>
                <w:color w:val="auto"/>
                <w:szCs w:val="21"/>
              </w:rPr>
              <w:t>经烘干机烘干水分后，塑料粒子和色母粒经注塑机自带的吸管负压吸入注塑机内</w:t>
            </w:r>
            <w:r>
              <w:rPr>
                <w:color w:val="auto"/>
                <w:szCs w:val="21"/>
              </w:rPr>
              <w:t>继续加热使之软化，加热至180℃左右时，塑料粒子成为熔融状态，在注射系统的作用下注入模具型腔中，然后在合模系统和液压系统的作用力下将塑胶压实成所需的产品。</w:t>
            </w:r>
          </w:p>
          <w:p>
            <w:pPr>
              <w:spacing w:line="360" w:lineRule="auto"/>
              <w:ind w:firstLine="420" w:firstLineChars="200"/>
              <w:rPr>
                <w:color w:val="auto"/>
                <w:szCs w:val="21"/>
              </w:rPr>
            </w:pPr>
            <w:r>
              <w:rPr>
                <w:color w:val="auto"/>
                <w:szCs w:val="21"/>
              </w:rPr>
              <w:t>此工序有少量有机废气（G</w:t>
            </w:r>
            <w:r>
              <w:rPr>
                <w:rFonts w:hint="eastAsia"/>
                <w:color w:val="auto"/>
                <w:szCs w:val="21"/>
              </w:rPr>
              <w:t>2-1</w:t>
            </w:r>
            <w:r>
              <w:rPr>
                <w:color w:val="auto"/>
                <w:szCs w:val="21"/>
              </w:rPr>
              <w:t>）和噪声（N）产生。</w:t>
            </w:r>
          </w:p>
          <w:p>
            <w:pPr>
              <w:tabs>
                <w:tab w:val="left" w:pos="855"/>
              </w:tabs>
              <w:snapToGrid w:val="0"/>
              <w:spacing w:line="360" w:lineRule="auto"/>
              <w:ind w:firstLine="420" w:firstLineChars="200"/>
              <w:rPr>
                <w:color w:val="auto"/>
                <w:szCs w:val="21"/>
              </w:rPr>
            </w:pPr>
            <w:r>
              <w:rPr>
                <w:color w:val="auto"/>
                <w:szCs w:val="21"/>
              </w:rPr>
              <w:t>（</w:t>
            </w:r>
            <w:r>
              <w:rPr>
                <w:rFonts w:hint="eastAsia"/>
                <w:color w:val="auto"/>
                <w:szCs w:val="21"/>
              </w:rPr>
              <w:t>2</w:t>
            </w:r>
            <w:r>
              <w:rPr>
                <w:color w:val="auto"/>
                <w:szCs w:val="21"/>
              </w:rPr>
              <w:t>）修边：</w:t>
            </w:r>
            <w:r>
              <w:rPr>
                <w:rFonts w:hint="eastAsia"/>
                <w:color w:val="auto"/>
                <w:szCs w:val="21"/>
              </w:rPr>
              <w:t>员工</w:t>
            </w:r>
            <w:r>
              <w:rPr>
                <w:color w:val="auto"/>
                <w:szCs w:val="21"/>
              </w:rPr>
              <w:t>使用修边刀对初级塑料产品进行修边处理，得到塑料件。该过程有边角料（S2-1）产生。</w:t>
            </w:r>
          </w:p>
          <w:p>
            <w:pPr>
              <w:snapToGrid w:val="0"/>
              <w:spacing w:line="360" w:lineRule="auto"/>
              <w:ind w:firstLine="420" w:firstLineChars="200"/>
              <w:rPr>
                <w:color w:val="auto"/>
                <w:szCs w:val="21"/>
              </w:rPr>
            </w:pPr>
            <w:r>
              <w:rPr>
                <w:color w:val="auto"/>
                <w:szCs w:val="21"/>
              </w:rPr>
              <w:t>（</w:t>
            </w:r>
            <w:r>
              <w:rPr>
                <w:rFonts w:hint="eastAsia"/>
                <w:color w:val="auto"/>
                <w:szCs w:val="21"/>
              </w:rPr>
              <w:t>3</w:t>
            </w:r>
            <w:r>
              <w:rPr>
                <w:color w:val="auto"/>
                <w:szCs w:val="21"/>
              </w:rPr>
              <w:t>）检验包装：采用人工检验方式对产品进行检验，合格产品进入下一步工序，对产品进行检验后包装入库。此工序有不合格品（S2-2）产生。</w:t>
            </w:r>
            <w:r>
              <w:rPr>
                <w:color w:val="auto"/>
                <w:szCs w:val="21"/>
              </w:rPr>
              <w:tab/>
            </w:r>
          </w:p>
          <w:p>
            <w:pPr>
              <w:spacing w:line="360" w:lineRule="auto"/>
              <w:ind w:firstLine="420" w:firstLineChars="200"/>
              <w:rPr>
                <w:color w:val="auto"/>
                <w:szCs w:val="21"/>
              </w:rPr>
            </w:pPr>
            <w:r>
              <w:rPr>
                <w:rFonts w:hint="eastAsia"/>
                <w:color w:val="auto"/>
                <w:szCs w:val="21"/>
              </w:rPr>
              <w:t>3、</w:t>
            </w:r>
            <w:r>
              <w:rPr>
                <w:color w:val="auto"/>
                <w:szCs w:val="21"/>
              </w:rPr>
              <w:t>其他工艺流程中未说明的产污环节</w:t>
            </w:r>
          </w:p>
          <w:p>
            <w:pPr>
              <w:spacing w:line="360" w:lineRule="auto"/>
              <w:ind w:firstLine="420" w:firstLineChars="200"/>
              <w:rPr>
                <w:color w:val="auto"/>
                <w:szCs w:val="21"/>
              </w:rPr>
            </w:pPr>
            <w:r>
              <w:rPr>
                <w:color w:val="auto"/>
                <w:szCs w:val="21"/>
              </w:rPr>
              <w:t>员工生活产生的生活污水W1</w:t>
            </w:r>
            <w:r>
              <w:rPr>
                <w:rFonts w:hint="eastAsia"/>
                <w:color w:val="auto"/>
                <w:szCs w:val="21"/>
              </w:rPr>
              <w:t>，橡胶及塑料粒子包装的废包装材料S3、</w:t>
            </w:r>
            <w:r>
              <w:rPr>
                <w:color w:val="auto"/>
                <w:szCs w:val="21"/>
              </w:rPr>
              <w:t>生活垃圾S</w:t>
            </w:r>
            <w:r>
              <w:rPr>
                <w:rFonts w:hint="eastAsia"/>
                <w:color w:val="auto"/>
                <w:szCs w:val="21"/>
              </w:rPr>
              <w:t>4、</w:t>
            </w:r>
            <w:r>
              <w:rPr>
                <w:color w:val="auto"/>
                <w:szCs w:val="21"/>
              </w:rPr>
              <w:t>废气处理产生的废活性炭S</w:t>
            </w:r>
            <w:r>
              <w:rPr>
                <w:rFonts w:hint="eastAsia"/>
                <w:color w:val="auto"/>
                <w:szCs w:val="21"/>
              </w:rPr>
              <w:t>5，沾染硫化剂的废包装桶S6，废气处理过程中产生的除尘灰S7、废旧布袋S8。</w:t>
            </w:r>
          </w:p>
          <w:p>
            <w:pPr>
              <w:spacing w:line="360" w:lineRule="auto"/>
              <w:ind w:firstLine="422" w:firstLineChars="200"/>
              <w:rPr>
                <w:b/>
                <w:color w:val="auto"/>
                <w:szCs w:val="21"/>
              </w:rPr>
            </w:pPr>
            <w:r>
              <w:rPr>
                <w:rFonts w:hint="eastAsia"/>
                <w:b/>
                <w:color w:val="auto"/>
                <w:szCs w:val="21"/>
              </w:rPr>
              <w:t>4</w:t>
            </w:r>
            <w:r>
              <w:rPr>
                <w:b/>
                <w:color w:val="auto"/>
                <w:szCs w:val="21"/>
              </w:rPr>
              <w:t>、产污工序汇总</w:t>
            </w:r>
          </w:p>
          <w:p>
            <w:pPr>
              <w:spacing w:line="360" w:lineRule="auto"/>
              <w:ind w:firstLine="420" w:firstLineChars="200"/>
              <w:rPr>
                <w:color w:val="auto"/>
                <w:szCs w:val="21"/>
              </w:rPr>
            </w:pPr>
            <w:r>
              <w:rPr>
                <w:color w:val="auto"/>
                <w:szCs w:val="21"/>
              </w:rPr>
              <w:t>本项目产污工序汇总见表2-</w:t>
            </w:r>
            <w:r>
              <w:rPr>
                <w:rFonts w:hint="eastAsia"/>
                <w:color w:val="auto"/>
                <w:szCs w:val="21"/>
              </w:rPr>
              <w:t>7</w:t>
            </w:r>
            <w:r>
              <w:rPr>
                <w:color w:val="auto"/>
                <w:szCs w:val="21"/>
              </w:rPr>
              <w:t>。</w:t>
            </w:r>
          </w:p>
          <w:p>
            <w:pPr>
              <w:pStyle w:val="117"/>
              <w:jc w:val="center"/>
              <w:rPr>
                <w:b/>
                <w:color w:val="auto"/>
                <w:szCs w:val="21"/>
              </w:rPr>
            </w:pPr>
            <w:r>
              <w:rPr>
                <w:b/>
                <w:color w:val="auto"/>
                <w:szCs w:val="21"/>
              </w:rPr>
              <w:t>表2-7  本项目产污工序汇总一览表</w:t>
            </w:r>
          </w:p>
          <w:tbl>
            <w:tblPr>
              <w:tblStyle w:val="37"/>
              <w:tblW w:w="498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87"/>
              <w:gridCol w:w="628"/>
              <w:gridCol w:w="1336"/>
              <w:gridCol w:w="958"/>
              <w:gridCol w:w="1291"/>
              <w:gridCol w:w="1380"/>
              <w:gridCol w:w="1124"/>
              <w:gridCol w:w="992"/>
              <w:gridCol w:w="99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b/>
                      <w:bCs/>
                      <w:color w:val="auto"/>
                      <w:sz w:val="18"/>
                      <w:szCs w:val="18"/>
                    </w:rPr>
                  </w:pPr>
                  <w:r>
                    <w:rPr>
                      <w:b/>
                      <w:bCs/>
                      <w:color w:val="auto"/>
                      <w:sz w:val="18"/>
                      <w:szCs w:val="18"/>
                    </w:rPr>
                    <w:t>序号</w:t>
                  </w:r>
                </w:p>
              </w:tc>
              <w:tc>
                <w:tcPr>
                  <w:tcW w:w="338" w:type="pct"/>
                  <w:vAlign w:val="center"/>
                </w:tcPr>
                <w:p>
                  <w:pPr>
                    <w:adjustRightInd w:val="0"/>
                    <w:snapToGrid w:val="0"/>
                    <w:jc w:val="center"/>
                    <w:rPr>
                      <w:b/>
                      <w:bCs/>
                      <w:color w:val="auto"/>
                      <w:sz w:val="18"/>
                      <w:szCs w:val="18"/>
                    </w:rPr>
                  </w:pPr>
                  <w:r>
                    <w:rPr>
                      <w:b/>
                      <w:bCs/>
                      <w:color w:val="auto"/>
                      <w:sz w:val="18"/>
                      <w:szCs w:val="18"/>
                    </w:rPr>
                    <w:t>项目</w:t>
                  </w:r>
                </w:p>
              </w:tc>
              <w:tc>
                <w:tcPr>
                  <w:tcW w:w="719" w:type="pct"/>
                  <w:vAlign w:val="center"/>
                </w:tcPr>
                <w:p>
                  <w:pPr>
                    <w:adjustRightInd w:val="0"/>
                    <w:snapToGrid w:val="0"/>
                    <w:jc w:val="center"/>
                    <w:rPr>
                      <w:b/>
                      <w:bCs/>
                      <w:color w:val="auto"/>
                      <w:sz w:val="18"/>
                      <w:szCs w:val="18"/>
                    </w:rPr>
                  </w:pPr>
                  <w:r>
                    <w:rPr>
                      <w:b/>
                      <w:bCs/>
                      <w:color w:val="auto"/>
                      <w:sz w:val="18"/>
                      <w:szCs w:val="18"/>
                    </w:rPr>
                    <w:t>名称</w:t>
                  </w:r>
                </w:p>
              </w:tc>
              <w:tc>
                <w:tcPr>
                  <w:tcW w:w="515" w:type="pct"/>
                  <w:vAlign w:val="center"/>
                </w:tcPr>
                <w:p>
                  <w:pPr>
                    <w:adjustRightInd w:val="0"/>
                    <w:snapToGrid w:val="0"/>
                    <w:jc w:val="center"/>
                    <w:rPr>
                      <w:b/>
                      <w:bCs/>
                      <w:color w:val="auto"/>
                      <w:sz w:val="18"/>
                      <w:szCs w:val="18"/>
                    </w:rPr>
                  </w:pPr>
                  <w:r>
                    <w:rPr>
                      <w:b/>
                      <w:bCs/>
                      <w:color w:val="auto"/>
                      <w:sz w:val="18"/>
                      <w:szCs w:val="18"/>
                    </w:rPr>
                    <w:t>产污编号</w:t>
                  </w:r>
                </w:p>
              </w:tc>
              <w:tc>
                <w:tcPr>
                  <w:tcW w:w="694" w:type="pct"/>
                  <w:vAlign w:val="center"/>
                </w:tcPr>
                <w:p>
                  <w:pPr>
                    <w:adjustRightInd w:val="0"/>
                    <w:snapToGrid w:val="0"/>
                    <w:jc w:val="center"/>
                    <w:rPr>
                      <w:b/>
                      <w:bCs/>
                      <w:color w:val="auto"/>
                      <w:sz w:val="18"/>
                      <w:szCs w:val="18"/>
                    </w:rPr>
                  </w:pPr>
                  <w:r>
                    <w:rPr>
                      <w:b/>
                      <w:bCs/>
                      <w:color w:val="auto"/>
                      <w:sz w:val="18"/>
                      <w:szCs w:val="18"/>
                    </w:rPr>
                    <w:t>污染物</w:t>
                  </w:r>
                </w:p>
              </w:tc>
              <w:tc>
                <w:tcPr>
                  <w:tcW w:w="742" w:type="pct"/>
                  <w:vAlign w:val="center"/>
                </w:tcPr>
                <w:p>
                  <w:pPr>
                    <w:adjustRightInd w:val="0"/>
                    <w:snapToGrid w:val="0"/>
                    <w:jc w:val="center"/>
                    <w:rPr>
                      <w:b/>
                      <w:bCs/>
                      <w:color w:val="auto"/>
                      <w:sz w:val="18"/>
                      <w:szCs w:val="18"/>
                    </w:rPr>
                  </w:pPr>
                  <w:r>
                    <w:rPr>
                      <w:b/>
                      <w:bCs/>
                      <w:color w:val="auto"/>
                      <w:sz w:val="18"/>
                      <w:szCs w:val="18"/>
                    </w:rPr>
                    <w:t>污染物来源</w:t>
                  </w:r>
                </w:p>
              </w:tc>
              <w:tc>
                <w:tcPr>
                  <w:tcW w:w="605" w:type="pct"/>
                  <w:vAlign w:val="center"/>
                </w:tcPr>
                <w:p>
                  <w:pPr>
                    <w:adjustRightInd w:val="0"/>
                    <w:snapToGrid w:val="0"/>
                    <w:jc w:val="center"/>
                    <w:rPr>
                      <w:b/>
                      <w:bCs/>
                      <w:color w:val="auto"/>
                      <w:sz w:val="18"/>
                      <w:szCs w:val="18"/>
                    </w:rPr>
                  </w:pPr>
                  <w:r>
                    <w:rPr>
                      <w:b/>
                      <w:bCs/>
                      <w:color w:val="auto"/>
                      <w:sz w:val="18"/>
                      <w:szCs w:val="18"/>
                    </w:rPr>
                    <w:t>产污工序</w:t>
                  </w:r>
                </w:p>
              </w:tc>
              <w:tc>
                <w:tcPr>
                  <w:tcW w:w="534" w:type="pct"/>
                  <w:vAlign w:val="center"/>
                </w:tcPr>
                <w:p>
                  <w:pPr>
                    <w:adjustRightInd w:val="0"/>
                    <w:snapToGrid w:val="0"/>
                    <w:jc w:val="center"/>
                    <w:rPr>
                      <w:b/>
                      <w:bCs/>
                      <w:color w:val="auto"/>
                      <w:sz w:val="18"/>
                      <w:szCs w:val="18"/>
                    </w:rPr>
                  </w:pPr>
                  <w:r>
                    <w:rPr>
                      <w:rFonts w:hint="eastAsia"/>
                      <w:b/>
                      <w:bCs/>
                      <w:color w:val="auto"/>
                      <w:sz w:val="18"/>
                      <w:szCs w:val="18"/>
                    </w:rPr>
                    <w:t>治理措施</w:t>
                  </w:r>
                </w:p>
              </w:tc>
              <w:tc>
                <w:tcPr>
                  <w:tcW w:w="534" w:type="pct"/>
                  <w:vAlign w:val="center"/>
                </w:tcPr>
                <w:p>
                  <w:pPr>
                    <w:adjustRightInd w:val="0"/>
                    <w:snapToGrid w:val="0"/>
                    <w:jc w:val="center"/>
                    <w:rPr>
                      <w:b/>
                      <w:bCs/>
                      <w:color w:val="auto"/>
                      <w:sz w:val="18"/>
                      <w:szCs w:val="18"/>
                    </w:rPr>
                  </w:pPr>
                  <w:r>
                    <w:rPr>
                      <w:rFonts w:hint="eastAsia"/>
                      <w:b/>
                      <w:bCs/>
                      <w:color w:val="auto"/>
                      <w:sz w:val="18"/>
                      <w:szCs w:val="18"/>
                    </w:rPr>
                    <w:t>排放方式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8" w:hRule="atLeast"/>
                <w:jc w:val="center"/>
              </w:trPr>
              <w:tc>
                <w:tcPr>
                  <w:tcW w:w="315" w:type="pct"/>
                  <w:vAlign w:val="center"/>
                </w:tcPr>
                <w:p>
                  <w:pPr>
                    <w:adjustRightInd w:val="0"/>
                    <w:snapToGrid w:val="0"/>
                    <w:jc w:val="center"/>
                    <w:rPr>
                      <w:bCs/>
                      <w:color w:val="auto"/>
                      <w:sz w:val="18"/>
                      <w:szCs w:val="18"/>
                    </w:rPr>
                  </w:pPr>
                  <w:r>
                    <w:rPr>
                      <w:rFonts w:hint="eastAsia"/>
                      <w:bCs/>
                      <w:color w:val="auto"/>
                      <w:sz w:val="18"/>
                      <w:szCs w:val="18"/>
                    </w:rPr>
                    <w:t>1</w:t>
                  </w:r>
                </w:p>
              </w:tc>
              <w:tc>
                <w:tcPr>
                  <w:tcW w:w="338" w:type="pct"/>
                  <w:vMerge w:val="restart"/>
                  <w:vAlign w:val="center"/>
                </w:tcPr>
                <w:p>
                  <w:pPr>
                    <w:adjustRightInd w:val="0"/>
                    <w:snapToGrid w:val="0"/>
                    <w:jc w:val="center"/>
                    <w:rPr>
                      <w:bCs/>
                      <w:color w:val="auto"/>
                      <w:sz w:val="18"/>
                      <w:szCs w:val="18"/>
                    </w:rPr>
                  </w:pPr>
                  <w:r>
                    <w:rPr>
                      <w:color w:val="auto"/>
                      <w:sz w:val="18"/>
                      <w:szCs w:val="18"/>
                    </w:rPr>
                    <w:t>废气</w:t>
                  </w:r>
                </w:p>
              </w:tc>
              <w:tc>
                <w:tcPr>
                  <w:tcW w:w="719" w:type="pct"/>
                  <w:vAlign w:val="center"/>
                </w:tcPr>
                <w:p>
                  <w:pPr>
                    <w:adjustRightInd w:val="0"/>
                    <w:snapToGrid w:val="0"/>
                    <w:jc w:val="center"/>
                    <w:rPr>
                      <w:bCs/>
                      <w:color w:val="auto"/>
                      <w:sz w:val="18"/>
                      <w:szCs w:val="18"/>
                    </w:rPr>
                  </w:pPr>
                  <w:r>
                    <w:rPr>
                      <w:rFonts w:hint="eastAsia"/>
                      <w:bCs/>
                      <w:color w:val="auto"/>
                      <w:sz w:val="18"/>
                      <w:szCs w:val="18"/>
                    </w:rPr>
                    <w:t>混炼废气</w:t>
                  </w:r>
                </w:p>
              </w:tc>
              <w:tc>
                <w:tcPr>
                  <w:tcW w:w="515" w:type="pct"/>
                  <w:vAlign w:val="center"/>
                </w:tcPr>
                <w:p>
                  <w:pPr>
                    <w:adjustRightInd w:val="0"/>
                    <w:snapToGrid w:val="0"/>
                    <w:jc w:val="center"/>
                    <w:rPr>
                      <w:bCs/>
                      <w:color w:val="auto"/>
                      <w:sz w:val="18"/>
                      <w:szCs w:val="18"/>
                    </w:rPr>
                  </w:pPr>
                  <w:r>
                    <w:rPr>
                      <w:bCs/>
                      <w:color w:val="auto"/>
                      <w:sz w:val="18"/>
                      <w:szCs w:val="18"/>
                    </w:rPr>
                    <w:t>G1</w:t>
                  </w:r>
                  <w:r>
                    <w:rPr>
                      <w:rFonts w:hint="eastAsia"/>
                      <w:bCs/>
                      <w:color w:val="auto"/>
                      <w:sz w:val="18"/>
                      <w:szCs w:val="18"/>
                    </w:rPr>
                    <w:t>-1</w:t>
                  </w:r>
                </w:p>
              </w:tc>
              <w:tc>
                <w:tcPr>
                  <w:tcW w:w="694" w:type="pct"/>
                  <w:vMerge w:val="restart"/>
                  <w:vAlign w:val="center"/>
                </w:tcPr>
                <w:p>
                  <w:pPr>
                    <w:adjustRightInd w:val="0"/>
                    <w:snapToGrid w:val="0"/>
                    <w:jc w:val="center"/>
                    <w:rPr>
                      <w:bCs/>
                      <w:color w:val="auto"/>
                      <w:sz w:val="18"/>
                      <w:szCs w:val="18"/>
                    </w:rPr>
                  </w:pPr>
                  <w:r>
                    <w:rPr>
                      <w:rFonts w:hint="eastAsia"/>
                      <w:color w:val="auto"/>
                      <w:sz w:val="18"/>
                      <w:szCs w:val="18"/>
                    </w:rPr>
                    <w:t>颗粒物、</w:t>
                  </w:r>
                  <w:r>
                    <w:rPr>
                      <w:color w:val="auto"/>
                      <w:sz w:val="18"/>
                      <w:szCs w:val="18"/>
                    </w:rPr>
                    <w:t>非甲烷总烃</w:t>
                  </w:r>
                  <w:r>
                    <w:rPr>
                      <w:rFonts w:hint="eastAsia"/>
                      <w:color w:val="auto"/>
                      <w:sz w:val="18"/>
                      <w:szCs w:val="18"/>
                    </w:rPr>
                    <w:t>、H</w:t>
                  </w:r>
                  <w:r>
                    <w:rPr>
                      <w:rFonts w:hint="eastAsia"/>
                      <w:color w:val="auto"/>
                      <w:sz w:val="18"/>
                      <w:szCs w:val="18"/>
                      <w:vertAlign w:val="subscript"/>
                    </w:rPr>
                    <w:t>2</w:t>
                  </w:r>
                  <w:r>
                    <w:rPr>
                      <w:rFonts w:hint="eastAsia"/>
                      <w:color w:val="auto"/>
                      <w:sz w:val="18"/>
                      <w:szCs w:val="18"/>
                    </w:rPr>
                    <w:t>S、CS</w:t>
                  </w:r>
                  <w:r>
                    <w:rPr>
                      <w:rFonts w:hint="eastAsia"/>
                      <w:color w:val="auto"/>
                      <w:sz w:val="18"/>
                      <w:szCs w:val="18"/>
                      <w:vertAlign w:val="subscript"/>
                    </w:rPr>
                    <w:t>2</w:t>
                  </w:r>
                </w:p>
              </w:tc>
              <w:tc>
                <w:tcPr>
                  <w:tcW w:w="742" w:type="pct"/>
                  <w:vAlign w:val="center"/>
                </w:tcPr>
                <w:p>
                  <w:pPr>
                    <w:adjustRightInd w:val="0"/>
                    <w:snapToGrid w:val="0"/>
                    <w:jc w:val="center"/>
                    <w:rPr>
                      <w:bCs/>
                      <w:color w:val="auto"/>
                      <w:sz w:val="18"/>
                      <w:szCs w:val="18"/>
                    </w:rPr>
                  </w:pPr>
                  <w:r>
                    <w:rPr>
                      <w:rFonts w:hint="eastAsia"/>
                      <w:bCs/>
                      <w:color w:val="auto"/>
                      <w:sz w:val="18"/>
                      <w:szCs w:val="18"/>
                    </w:rPr>
                    <w:t>混炼</w:t>
                  </w:r>
                </w:p>
              </w:tc>
              <w:tc>
                <w:tcPr>
                  <w:tcW w:w="605" w:type="pct"/>
                  <w:vAlign w:val="center"/>
                </w:tcPr>
                <w:p>
                  <w:pPr>
                    <w:adjustRightInd w:val="0"/>
                    <w:snapToGrid w:val="0"/>
                    <w:jc w:val="center"/>
                    <w:rPr>
                      <w:bCs/>
                      <w:color w:val="auto"/>
                      <w:sz w:val="18"/>
                      <w:szCs w:val="18"/>
                    </w:rPr>
                  </w:pPr>
                  <w:r>
                    <w:rPr>
                      <w:rFonts w:hint="eastAsia"/>
                      <w:bCs/>
                      <w:color w:val="auto"/>
                      <w:sz w:val="18"/>
                      <w:szCs w:val="18"/>
                    </w:rPr>
                    <w:t>混炼</w:t>
                  </w:r>
                </w:p>
              </w:tc>
              <w:tc>
                <w:tcPr>
                  <w:tcW w:w="534" w:type="pct"/>
                  <w:vMerge w:val="restart"/>
                  <w:vAlign w:val="center"/>
                </w:tcPr>
                <w:p>
                  <w:pPr>
                    <w:adjustRightInd w:val="0"/>
                    <w:snapToGrid w:val="0"/>
                    <w:jc w:val="center"/>
                    <w:rPr>
                      <w:bCs/>
                      <w:color w:val="auto"/>
                      <w:sz w:val="18"/>
                      <w:szCs w:val="18"/>
                    </w:rPr>
                  </w:pPr>
                  <w:r>
                    <w:rPr>
                      <w:rFonts w:hint="eastAsia"/>
                      <w:bCs/>
                      <w:color w:val="auto"/>
                      <w:sz w:val="18"/>
                      <w:szCs w:val="18"/>
                    </w:rPr>
                    <w:t>集气罩+布袋除尘+二级活性炭吸附装置</w:t>
                  </w:r>
                </w:p>
              </w:tc>
              <w:tc>
                <w:tcPr>
                  <w:tcW w:w="534" w:type="pct"/>
                  <w:vMerge w:val="restart"/>
                  <w:vAlign w:val="center"/>
                </w:tcPr>
                <w:p>
                  <w:pPr>
                    <w:adjustRightInd w:val="0"/>
                    <w:snapToGrid w:val="0"/>
                    <w:jc w:val="center"/>
                    <w:rPr>
                      <w:bCs/>
                      <w:color w:val="auto"/>
                      <w:sz w:val="18"/>
                      <w:szCs w:val="18"/>
                    </w:rPr>
                  </w:pPr>
                  <w:r>
                    <w:rPr>
                      <w:rFonts w:hint="eastAsia"/>
                      <w:bCs/>
                      <w:color w:val="auto"/>
                      <w:sz w:val="18"/>
                      <w:szCs w:val="18"/>
                      <w:lang w:val="en-US" w:eastAsia="zh-CN"/>
                    </w:rPr>
                    <w:t>25</w:t>
                  </w:r>
                  <w:r>
                    <w:rPr>
                      <w:rFonts w:hint="eastAsia"/>
                      <w:bCs/>
                      <w:color w:val="auto"/>
                      <w:sz w:val="18"/>
                      <w:szCs w:val="18"/>
                    </w:rPr>
                    <w:t>米高1#排气筒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2</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rFonts w:hint="eastAsia"/>
                      <w:color w:val="auto"/>
                      <w:sz w:val="18"/>
                      <w:szCs w:val="18"/>
                    </w:rPr>
                    <w:t>开炼废气</w:t>
                  </w:r>
                </w:p>
              </w:tc>
              <w:tc>
                <w:tcPr>
                  <w:tcW w:w="515" w:type="pct"/>
                  <w:vAlign w:val="center"/>
                </w:tcPr>
                <w:p>
                  <w:pPr>
                    <w:adjustRightInd w:val="0"/>
                    <w:snapToGrid w:val="0"/>
                    <w:jc w:val="center"/>
                    <w:rPr>
                      <w:color w:val="auto"/>
                      <w:sz w:val="18"/>
                      <w:szCs w:val="18"/>
                    </w:rPr>
                  </w:pPr>
                  <w:r>
                    <w:rPr>
                      <w:bCs/>
                      <w:color w:val="auto"/>
                      <w:sz w:val="18"/>
                      <w:szCs w:val="18"/>
                    </w:rPr>
                    <w:t>G1</w:t>
                  </w:r>
                  <w:r>
                    <w:rPr>
                      <w:rFonts w:hint="eastAsia"/>
                      <w:bCs/>
                      <w:color w:val="auto"/>
                      <w:sz w:val="18"/>
                      <w:szCs w:val="18"/>
                    </w:rPr>
                    <w:t>-2</w:t>
                  </w:r>
                </w:p>
              </w:tc>
              <w:tc>
                <w:tcPr>
                  <w:tcW w:w="694" w:type="pct"/>
                  <w:vMerge w:val="continue"/>
                  <w:vAlign w:val="center"/>
                </w:tcPr>
                <w:p>
                  <w:pPr>
                    <w:adjustRightInd w:val="0"/>
                    <w:snapToGrid w:val="0"/>
                    <w:jc w:val="center"/>
                    <w:rPr>
                      <w:color w:val="auto"/>
                      <w:sz w:val="18"/>
                      <w:szCs w:val="18"/>
                    </w:rPr>
                  </w:pPr>
                </w:p>
              </w:tc>
              <w:tc>
                <w:tcPr>
                  <w:tcW w:w="742" w:type="pct"/>
                  <w:vAlign w:val="center"/>
                </w:tcPr>
                <w:p>
                  <w:pPr>
                    <w:adjustRightInd w:val="0"/>
                    <w:snapToGrid w:val="0"/>
                    <w:jc w:val="center"/>
                    <w:rPr>
                      <w:color w:val="auto"/>
                      <w:sz w:val="18"/>
                      <w:szCs w:val="18"/>
                    </w:rPr>
                  </w:pPr>
                  <w:r>
                    <w:rPr>
                      <w:rFonts w:hint="eastAsia"/>
                      <w:color w:val="auto"/>
                      <w:sz w:val="18"/>
                      <w:szCs w:val="18"/>
                    </w:rPr>
                    <w:t>开炼</w:t>
                  </w:r>
                </w:p>
              </w:tc>
              <w:tc>
                <w:tcPr>
                  <w:tcW w:w="605" w:type="pct"/>
                  <w:vAlign w:val="center"/>
                </w:tcPr>
                <w:p>
                  <w:pPr>
                    <w:adjustRightInd w:val="0"/>
                    <w:snapToGrid w:val="0"/>
                    <w:jc w:val="center"/>
                    <w:rPr>
                      <w:color w:val="auto"/>
                      <w:sz w:val="18"/>
                      <w:szCs w:val="18"/>
                    </w:rPr>
                  </w:pPr>
                  <w:r>
                    <w:rPr>
                      <w:rFonts w:hint="eastAsia"/>
                      <w:color w:val="auto"/>
                      <w:sz w:val="18"/>
                      <w:szCs w:val="18"/>
                    </w:rPr>
                    <w:t>开炼</w:t>
                  </w:r>
                </w:p>
              </w:tc>
              <w:tc>
                <w:tcPr>
                  <w:tcW w:w="534" w:type="pct"/>
                  <w:vMerge w:val="continue"/>
                  <w:vAlign w:val="center"/>
                </w:tcPr>
                <w:p>
                  <w:pPr>
                    <w:adjustRightInd w:val="0"/>
                    <w:snapToGrid w:val="0"/>
                    <w:jc w:val="center"/>
                    <w:rPr>
                      <w:color w:val="auto"/>
                      <w:sz w:val="18"/>
                      <w:szCs w:val="18"/>
                    </w:rPr>
                  </w:pPr>
                </w:p>
              </w:tc>
              <w:tc>
                <w:tcPr>
                  <w:tcW w:w="534" w:type="pct"/>
                  <w:vMerge w:val="continue"/>
                  <w:vAlign w:val="center"/>
                </w:tcPr>
                <w:p>
                  <w:pPr>
                    <w:adjustRightInd w:val="0"/>
                    <w:snapToGrid w:val="0"/>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3</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rFonts w:hint="eastAsia"/>
                      <w:color w:val="auto"/>
                      <w:sz w:val="18"/>
                      <w:szCs w:val="18"/>
                    </w:rPr>
                    <w:t>一次成型废气</w:t>
                  </w:r>
                </w:p>
              </w:tc>
              <w:tc>
                <w:tcPr>
                  <w:tcW w:w="515" w:type="pct"/>
                  <w:vAlign w:val="center"/>
                </w:tcPr>
                <w:p>
                  <w:pPr>
                    <w:adjustRightInd w:val="0"/>
                    <w:snapToGrid w:val="0"/>
                    <w:jc w:val="center"/>
                    <w:rPr>
                      <w:color w:val="auto"/>
                      <w:kern w:val="0"/>
                      <w:sz w:val="18"/>
                      <w:szCs w:val="18"/>
                    </w:rPr>
                  </w:pPr>
                  <w:r>
                    <w:rPr>
                      <w:bCs/>
                      <w:color w:val="auto"/>
                      <w:sz w:val="18"/>
                      <w:szCs w:val="18"/>
                    </w:rPr>
                    <w:t>G1</w:t>
                  </w:r>
                  <w:r>
                    <w:rPr>
                      <w:rFonts w:hint="eastAsia"/>
                      <w:bCs/>
                      <w:color w:val="auto"/>
                      <w:sz w:val="18"/>
                      <w:szCs w:val="18"/>
                    </w:rPr>
                    <w:t>-3</w:t>
                  </w:r>
                </w:p>
              </w:tc>
              <w:tc>
                <w:tcPr>
                  <w:tcW w:w="694" w:type="pct"/>
                  <w:vMerge w:val="continue"/>
                  <w:vAlign w:val="center"/>
                </w:tcPr>
                <w:p>
                  <w:pPr>
                    <w:adjustRightInd w:val="0"/>
                    <w:snapToGrid w:val="0"/>
                    <w:jc w:val="center"/>
                    <w:rPr>
                      <w:color w:val="auto"/>
                      <w:sz w:val="18"/>
                      <w:szCs w:val="18"/>
                    </w:rPr>
                  </w:pPr>
                </w:p>
              </w:tc>
              <w:tc>
                <w:tcPr>
                  <w:tcW w:w="742" w:type="pct"/>
                  <w:vAlign w:val="center"/>
                </w:tcPr>
                <w:p>
                  <w:pPr>
                    <w:adjustRightInd w:val="0"/>
                    <w:snapToGrid w:val="0"/>
                    <w:jc w:val="center"/>
                    <w:rPr>
                      <w:color w:val="auto"/>
                      <w:sz w:val="18"/>
                      <w:szCs w:val="18"/>
                    </w:rPr>
                  </w:pPr>
                  <w:r>
                    <w:rPr>
                      <w:rFonts w:hint="eastAsia"/>
                      <w:color w:val="auto"/>
                      <w:sz w:val="18"/>
                      <w:szCs w:val="18"/>
                    </w:rPr>
                    <w:t>成型</w:t>
                  </w:r>
                </w:p>
              </w:tc>
              <w:tc>
                <w:tcPr>
                  <w:tcW w:w="605" w:type="pct"/>
                  <w:vAlign w:val="center"/>
                </w:tcPr>
                <w:p>
                  <w:pPr>
                    <w:adjustRightInd w:val="0"/>
                    <w:snapToGrid w:val="0"/>
                    <w:jc w:val="center"/>
                    <w:rPr>
                      <w:color w:val="auto"/>
                      <w:sz w:val="18"/>
                      <w:szCs w:val="18"/>
                    </w:rPr>
                  </w:pPr>
                  <w:r>
                    <w:rPr>
                      <w:rFonts w:hint="eastAsia"/>
                      <w:color w:val="auto"/>
                      <w:sz w:val="18"/>
                      <w:szCs w:val="18"/>
                    </w:rPr>
                    <w:t>成型</w:t>
                  </w:r>
                </w:p>
              </w:tc>
              <w:tc>
                <w:tcPr>
                  <w:tcW w:w="534" w:type="pct"/>
                  <w:vMerge w:val="continue"/>
                  <w:vAlign w:val="center"/>
                </w:tcPr>
                <w:p>
                  <w:pPr>
                    <w:adjustRightInd w:val="0"/>
                    <w:snapToGrid w:val="0"/>
                    <w:jc w:val="center"/>
                    <w:rPr>
                      <w:color w:val="auto"/>
                      <w:sz w:val="18"/>
                      <w:szCs w:val="18"/>
                    </w:rPr>
                  </w:pPr>
                </w:p>
              </w:tc>
              <w:tc>
                <w:tcPr>
                  <w:tcW w:w="534" w:type="pct"/>
                  <w:vMerge w:val="continue"/>
                  <w:vAlign w:val="center"/>
                </w:tcPr>
                <w:p>
                  <w:pPr>
                    <w:adjustRightInd w:val="0"/>
                    <w:snapToGrid w:val="0"/>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4</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rFonts w:hint="eastAsia"/>
                      <w:color w:val="auto"/>
                      <w:sz w:val="18"/>
                      <w:szCs w:val="18"/>
                    </w:rPr>
                    <w:t>二次成型废气</w:t>
                  </w:r>
                </w:p>
              </w:tc>
              <w:tc>
                <w:tcPr>
                  <w:tcW w:w="515" w:type="pct"/>
                  <w:vAlign w:val="center"/>
                </w:tcPr>
                <w:p>
                  <w:pPr>
                    <w:adjustRightInd w:val="0"/>
                    <w:snapToGrid w:val="0"/>
                    <w:jc w:val="center"/>
                    <w:rPr>
                      <w:color w:val="auto"/>
                      <w:kern w:val="0"/>
                      <w:sz w:val="18"/>
                      <w:szCs w:val="18"/>
                    </w:rPr>
                  </w:pPr>
                  <w:r>
                    <w:rPr>
                      <w:bCs/>
                      <w:color w:val="auto"/>
                      <w:sz w:val="18"/>
                      <w:szCs w:val="18"/>
                    </w:rPr>
                    <w:t>G1</w:t>
                  </w:r>
                  <w:r>
                    <w:rPr>
                      <w:rFonts w:hint="eastAsia"/>
                      <w:bCs/>
                      <w:color w:val="auto"/>
                      <w:sz w:val="18"/>
                      <w:szCs w:val="18"/>
                    </w:rPr>
                    <w:t>-4</w:t>
                  </w:r>
                </w:p>
              </w:tc>
              <w:tc>
                <w:tcPr>
                  <w:tcW w:w="694" w:type="pct"/>
                  <w:vMerge w:val="continue"/>
                  <w:vAlign w:val="center"/>
                </w:tcPr>
                <w:p>
                  <w:pPr>
                    <w:adjustRightInd w:val="0"/>
                    <w:snapToGrid w:val="0"/>
                    <w:jc w:val="center"/>
                    <w:rPr>
                      <w:color w:val="auto"/>
                      <w:sz w:val="18"/>
                      <w:szCs w:val="18"/>
                    </w:rPr>
                  </w:pPr>
                </w:p>
              </w:tc>
              <w:tc>
                <w:tcPr>
                  <w:tcW w:w="742" w:type="pct"/>
                  <w:vAlign w:val="center"/>
                </w:tcPr>
                <w:p>
                  <w:pPr>
                    <w:adjustRightInd w:val="0"/>
                    <w:snapToGrid w:val="0"/>
                    <w:jc w:val="center"/>
                    <w:rPr>
                      <w:color w:val="auto"/>
                      <w:sz w:val="18"/>
                      <w:szCs w:val="18"/>
                    </w:rPr>
                  </w:pPr>
                  <w:r>
                    <w:rPr>
                      <w:rFonts w:hint="eastAsia"/>
                      <w:color w:val="auto"/>
                      <w:sz w:val="18"/>
                      <w:szCs w:val="18"/>
                    </w:rPr>
                    <w:t>成型</w:t>
                  </w:r>
                </w:p>
              </w:tc>
              <w:tc>
                <w:tcPr>
                  <w:tcW w:w="605" w:type="pct"/>
                  <w:vAlign w:val="center"/>
                </w:tcPr>
                <w:p>
                  <w:pPr>
                    <w:adjustRightInd w:val="0"/>
                    <w:snapToGrid w:val="0"/>
                    <w:jc w:val="center"/>
                    <w:rPr>
                      <w:color w:val="auto"/>
                      <w:sz w:val="18"/>
                      <w:szCs w:val="18"/>
                    </w:rPr>
                  </w:pPr>
                  <w:r>
                    <w:rPr>
                      <w:rFonts w:hint="eastAsia"/>
                      <w:color w:val="auto"/>
                      <w:sz w:val="18"/>
                      <w:szCs w:val="18"/>
                    </w:rPr>
                    <w:t>成型</w:t>
                  </w:r>
                </w:p>
              </w:tc>
              <w:tc>
                <w:tcPr>
                  <w:tcW w:w="534" w:type="pct"/>
                  <w:vMerge w:val="continue"/>
                  <w:vAlign w:val="center"/>
                </w:tcPr>
                <w:p>
                  <w:pPr>
                    <w:adjustRightInd w:val="0"/>
                    <w:snapToGrid w:val="0"/>
                    <w:jc w:val="center"/>
                    <w:rPr>
                      <w:color w:val="auto"/>
                      <w:sz w:val="18"/>
                      <w:szCs w:val="18"/>
                    </w:rPr>
                  </w:pPr>
                </w:p>
              </w:tc>
              <w:tc>
                <w:tcPr>
                  <w:tcW w:w="534" w:type="pct"/>
                  <w:vMerge w:val="continue"/>
                  <w:vAlign w:val="center"/>
                </w:tcPr>
                <w:p>
                  <w:pPr>
                    <w:adjustRightInd w:val="0"/>
                    <w:snapToGrid w:val="0"/>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5</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rFonts w:hint="eastAsia"/>
                      <w:color w:val="auto"/>
                      <w:sz w:val="18"/>
                      <w:szCs w:val="18"/>
                    </w:rPr>
                    <w:t>注塑废气</w:t>
                  </w:r>
                </w:p>
              </w:tc>
              <w:tc>
                <w:tcPr>
                  <w:tcW w:w="515" w:type="pct"/>
                  <w:vAlign w:val="center"/>
                </w:tcPr>
                <w:p>
                  <w:pPr>
                    <w:adjustRightInd w:val="0"/>
                    <w:snapToGrid w:val="0"/>
                    <w:jc w:val="center"/>
                    <w:rPr>
                      <w:color w:val="auto"/>
                      <w:kern w:val="0"/>
                      <w:sz w:val="18"/>
                      <w:szCs w:val="18"/>
                    </w:rPr>
                  </w:pPr>
                  <w:r>
                    <w:rPr>
                      <w:rFonts w:hint="eastAsia"/>
                      <w:color w:val="auto"/>
                      <w:kern w:val="0"/>
                      <w:sz w:val="18"/>
                      <w:szCs w:val="18"/>
                    </w:rPr>
                    <w:t>G2-1</w:t>
                  </w:r>
                </w:p>
              </w:tc>
              <w:tc>
                <w:tcPr>
                  <w:tcW w:w="694" w:type="pct"/>
                  <w:vAlign w:val="center"/>
                </w:tcPr>
                <w:p>
                  <w:pPr>
                    <w:adjustRightInd w:val="0"/>
                    <w:snapToGrid w:val="0"/>
                    <w:jc w:val="center"/>
                    <w:rPr>
                      <w:color w:val="auto"/>
                      <w:sz w:val="18"/>
                      <w:szCs w:val="18"/>
                    </w:rPr>
                  </w:pPr>
                  <w:r>
                    <w:rPr>
                      <w:color w:val="auto"/>
                      <w:sz w:val="18"/>
                      <w:szCs w:val="18"/>
                    </w:rPr>
                    <w:t>非甲烷总烃</w:t>
                  </w:r>
                </w:p>
              </w:tc>
              <w:tc>
                <w:tcPr>
                  <w:tcW w:w="742" w:type="pct"/>
                  <w:vAlign w:val="center"/>
                </w:tcPr>
                <w:p>
                  <w:pPr>
                    <w:adjustRightInd w:val="0"/>
                    <w:snapToGrid w:val="0"/>
                    <w:jc w:val="center"/>
                    <w:rPr>
                      <w:color w:val="auto"/>
                      <w:sz w:val="18"/>
                      <w:szCs w:val="18"/>
                    </w:rPr>
                  </w:pPr>
                  <w:r>
                    <w:rPr>
                      <w:rFonts w:hint="eastAsia"/>
                      <w:color w:val="auto"/>
                      <w:sz w:val="18"/>
                      <w:szCs w:val="18"/>
                    </w:rPr>
                    <w:t>注塑</w:t>
                  </w:r>
                </w:p>
              </w:tc>
              <w:tc>
                <w:tcPr>
                  <w:tcW w:w="605" w:type="pct"/>
                  <w:vAlign w:val="center"/>
                </w:tcPr>
                <w:p>
                  <w:pPr>
                    <w:adjustRightInd w:val="0"/>
                    <w:snapToGrid w:val="0"/>
                    <w:jc w:val="center"/>
                    <w:rPr>
                      <w:color w:val="auto"/>
                      <w:sz w:val="18"/>
                      <w:szCs w:val="18"/>
                    </w:rPr>
                  </w:pPr>
                  <w:r>
                    <w:rPr>
                      <w:rFonts w:hint="eastAsia"/>
                      <w:color w:val="auto"/>
                      <w:sz w:val="18"/>
                      <w:szCs w:val="18"/>
                    </w:rPr>
                    <w:t>注塑</w:t>
                  </w:r>
                </w:p>
              </w:tc>
              <w:tc>
                <w:tcPr>
                  <w:tcW w:w="534" w:type="pct"/>
                  <w:vMerge w:val="continue"/>
                  <w:vAlign w:val="center"/>
                </w:tcPr>
                <w:p>
                  <w:pPr>
                    <w:adjustRightInd w:val="0"/>
                    <w:snapToGrid w:val="0"/>
                    <w:jc w:val="center"/>
                    <w:rPr>
                      <w:color w:val="auto"/>
                      <w:sz w:val="18"/>
                      <w:szCs w:val="18"/>
                    </w:rPr>
                  </w:pPr>
                </w:p>
              </w:tc>
              <w:tc>
                <w:tcPr>
                  <w:tcW w:w="534" w:type="pct"/>
                  <w:vMerge w:val="continue"/>
                  <w:vAlign w:val="center"/>
                </w:tcPr>
                <w:p>
                  <w:pPr>
                    <w:adjustRightInd w:val="0"/>
                    <w:snapToGrid w:val="0"/>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6</w:t>
                  </w:r>
                </w:p>
              </w:tc>
              <w:tc>
                <w:tcPr>
                  <w:tcW w:w="338" w:type="pct"/>
                  <w:vAlign w:val="center"/>
                </w:tcPr>
                <w:p>
                  <w:pPr>
                    <w:adjustRightInd w:val="0"/>
                    <w:snapToGrid w:val="0"/>
                    <w:jc w:val="center"/>
                    <w:rPr>
                      <w:color w:val="auto"/>
                      <w:sz w:val="18"/>
                      <w:szCs w:val="18"/>
                    </w:rPr>
                  </w:pPr>
                  <w:r>
                    <w:rPr>
                      <w:color w:val="auto"/>
                      <w:sz w:val="18"/>
                      <w:szCs w:val="18"/>
                    </w:rPr>
                    <w:t>废水</w:t>
                  </w:r>
                </w:p>
              </w:tc>
              <w:tc>
                <w:tcPr>
                  <w:tcW w:w="719" w:type="pct"/>
                  <w:vAlign w:val="center"/>
                </w:tcPr>
                <w:p>
                  <w:pPr>
                    <w:adjustRightInd w:val="0"/>
                    <w:snapToGrid w:val="0"/>
                    <w:jc w:val="center"/>
                    <w:rPr>
                      <w:color w:val="auto"/>
                      <w:kern w:val="0"/>
                      <w:sz w:val="18"/>
                      <w:szCs w:val="18"/>
                    </w:rPr>
                  </w:pPr>
                  <w:r>
                    <w:rPr>
                      <w:color w:val="auto"/>
                      <w:kern w:val="0"/>
                      <w:sz w:val="18"/>
                      <w:szCs w:val="18"/>
                    </w:rPr>
                    <w:t>生活污水</w:t>
                  </w:r>
                </w:p>
              </w:tc>
              <w:tc>
                <w:tcPr>
                  <w:tcW w:w="515" w:type="pct"/>
                  <w:vAlign w:val="center"/>
                </w:tcPr>
                <w:p>
                  <w:pPr>
                    <w:adjustRightInd w:val="0"/>
                    <w:snapToGrid w:val="0"/>
                    <w:jc w:val="center"/>
                    <w:rPr>
                      <w:color w:val="auto"/>
                      <w:kern w:val="0"/>
                      <w:sz w:val="18"/>
                      <w:szCs w:val="18"/>
                    </w:rPr>
                  </w:pPr>
                  <w:r>
                    <w:rPr>
                      <w:color w:val="auto"/>
                      <w:sz w:val="18"/>
                      <w:szCs w:val="18"/>
                    </w:rPr>
                    <w:t>W1</w:t>
                  </w:r>
                </w:p>
              </w:tc>
              <w:tc>
                <w:tcPr>
                  <w:tcW w:w="694" w:type="pct"/>
                  <w:vAlign w:val="center"/>
                </w:tcPr>
                <w:p>
                  <w:pPr>
                    <w:adjustRightInd w:val="0"/>
                    <w:snapToGrid w:val="0"/>
                    <w:jc w:val="center"/>
                    <w:rPr>
                      <w:color w:val="auto"/>
                      <w:sz w:val="18"/>
                      <w:szCs w:val="18"/>
                    </w:rPr>
                  </w:pPr>
                  <w:r>
                    <w:rPr>
                      <w:color w:val="auto"/>
                      <w:sz w:val="18"/>
                      <w:szCs w:val="18"/>
                    </w:rPr>
                    <w:t>pH、COD、SS、氨氮、总磷</w:t>
                  </w:r>
                  <w:r>
                    <w:rPr>
                      <w:rFonts w:hint="eastAsia"/>
                      <w:color w:val="auto"/>
                      <w:sz w:val="18"/>
                      <w:szCs w:val="18"/>
                    </w:rPr>
                    <w:t>、总氮</w:t>
                  </w:r>
                </w:p>
              </w:tc>
              <w:tc>
                <w:tcPr>
                  <w:tcW w:w="742" w:type="pct"/>
                  <w:vAlign w:val="center"/>
                </w:tcPr>
                <w:p>
                  <w:pPr>
                    <w:adjustRightInd w:val="0"/>
                    <w:snapToGrid w:val="0"/>
                    <w:jc w:val="center"/>
                    <w:rPr>
                      <w:color w:val="auto"/>
                      <w:sz w:val="18"/>
                      <w:szCs w:val="18"/>
                    </w:rPr>
                  </w:pPr>
                  <w:r>
                    <w:rPr>
                      <w:color w:val="auto"/>
                      <w:kern w:val="0"/>
                      <w:sz w:val="18"/>
                      <w:szCs w:val="18"/>
                    </w:rPr>
                    <w:t>员工生活</w:t>
                  </w:r>
                </w:p>
              </w:tc>
              <w:tc>
                <w:tcPr>
                  <w:tcW w:w="605" w:type="pct"/>
                  <w:vAlign w:val="center"/>
                </w:tcPr>
                <w:p>
                  <w:pPr>
                    <w:adjustRightInd w:val="0"/>
                    <w:snapToGrid w:val="0"/>
                    <w:jc w:val="center"/>
                    <w:rPr>
                      <w:color w:val="auto"/>
                      <w:kern w:val="0"/>
                      <w:sz w:val="18"/>
                      <w:szCs w:val="18"/>
                    </w:rPr>
                  </w:pPr>
                  <w:r>
                    <w:rPr>
                      <w:color w:val="auto"/>
                      <w:kern w:val="0"/>
                      <w:sz w:val="18"/>
                      <w:szCs w:val="18"/>
                    </w:rPr>
                    <w:t>员工生活</w:t>
                  </w:r>
                </w:p>
              </w:tc>
              <w:tc>
                <w:tcPr>
                  <w:tcW w:w="534" w:type="pct"/>
                  <w:vAlign w:val="center"/>
                </w:tcPr>
                <w:p>
                  <w:pPr>
                    <w:adjustRightInd w:val="0"/>
                    <w:snapToGrid w:val="0"/>
                    <w:jc w:val="center"/>
                    <w:rPr>
                      <w:color w:val="auto"/>
                      <w:kern w:val="0"/>
                      <w:sz w:val="18"/>
                      <w:szCs w:val="18"/>
                    </w:rPr>
                  </w:pPr>
                  <w:r>
                    <w:rPr>
                      <w:rFonts w:hint="eastAsia"/>
                      <w:color w:val="auto"/>
                      <w:kern w:val="0"/>
                      <w:sz w:val="18"/>
                      <w:szCs w:val="18"/>
                    </w:rPr>
                    <w:t>化粪池</w:t>
                  </w:r>
                </w:p>
              </w:tc>
              <w:tc>
                <w:tcPr>
                  <w:tcW w:w="534" w:type="pct"/>
                  <w:vAlign w:val="center"/>
                </w:tcPr>
                <w:p>
                  <w:pPr>
                    <w:adjustRightInd w:val="0"/>
                    <w:snapToGrid w:val="0"/>
                    <w:jc w:val="center"/>
                    <w:rPr>
                      <w:color w:val="auto"/>
                      <w:kern w:val="0"/>
                      <w:sz w:val="18"/>
                      <w:szCs w:val="18"/>
                    </w:rPr>
                  </w:pPr>
                  <w:r>
                    <w:rPr>
                      <w:rFonts w:hint="eastAsia"/>
                      <w:color w:val="auto"/>
                      <w:kern w:val="0"/>
                      <w:sz w:val="18"/>
                      <w:szCs w:val="18"/>
                    </w:rPr>
                    <w:t>城东污水处理厂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8</w:t>
                  </w:r>
                </w:p>
              </w:tc>
              <w:tc>
                <w:tcPr>
                  <w:tcW w:w="338" w:type="pct"/>
                  <w:vAlign w:val="center"/>
                </w:tcPr>
                <w:p>
                  <w:pPr>
                    <w:adjustRightInd w:val="0"/>
                    <w:snapToGrid w:val="0"/>
                    <w:jc w:val="center"/>
                    <w:rPr>
                      <w:color w:val="auto"/>
                      <w:sz w:val="18"/>
                      <w:szCs w:val="18"/>
                    </w:rPr>
                  </w:pPr>
                  <w:r>
                    <w:rPr>
                      <w:color w:val="auto"/>
                      <w:sz w:val="18"/>
                      <w:szCs w:val="18"/>
                    </w:rPr>
                    <w:t>噪声</w:t>
                  </w:r>
                </w:p>
              </w:tc>
              <w:tc>
                <w:tcPr>
                  <w:tcW w:w="719" w:type="pct"/>
                  <w:vAlign w:val="center"/>
                </w:tcPr>
                <w:p>
                  <w:pPr>
                    <w:adjustRightInd w:val="0"/>
                    <w:snapToGrid w:val="0"/>
                    <w:jc w:val="center"/>
                    <w:rPr>
                      <w:color w:val="auto"/>
                      <w:sz w:val="18"/>
                      <w:szCs w:val="18"/>
                    </w:rPr>
                  </w:pPr>
                  <w:r>
                    <w:rPr>
                      <w:color w:val="auto"/>
                      <w:sz w:val="18"/>
                      <w:szCs w:val="18"/>
                    </w:rPr>
                    <w:t>设备噪声</w:t>
                  </w:r>
                </w:p>
              </w:tc>
              <w:tc>
                <w:tcPr>
                  <w:tcW w:w="515" w:type="pct"/>
                  <w:vAlign w:val="center"/>
                </w:tcPr>
                <w:p>
                  <w:pPr>
                    <w:adjustRightInd w:val="0"/>
                    <w:snapToGrid w:val="0"/>
                    <w:jc w:val="center"/>
                    <w:rPr>
                      <w:color w:val="auto"/>
                      <w:sz w:val="18"/>
                      <w:szCs w:val="18"/>
                    </w:rPr>
                  </w:pPr>
                  <w:r>
                    <w:rPr>
                      <w:color w:val="auto"/>
                      <w:sz w:val="18"/>
                      <w:szCs w:val="18"/>
                    </w:rPr>
                    <w:t>N</w:t>
                  </w:r>
                </w:p>
              </w:tc>
              <w:tc>
                <w:tcPr>
                  <w:tcW w:w="694" w:type="pct"/>
                  <w:vAlign w:val="center"/>
                </w:tcPr>
                <w:p>
                  <w:pPr>
                    <w:adjustRightInd w:val="0"/>
                    <w:snapToGrid w:val="0"/>
                    <w:jc w:val="center"/>
                    <w:rPr>
                      <w:color w:val="auto"/>
                      <w:sz w:val="18"/>
                      <w:szCs w:val="18"/>
                    </w:rPr>
                  </w:pPr>
                  <w:r>
                    <w:rPr>
                      <w:color w:val="auto"/>
                      <w:sz w:val="18"/>
                      <w:szCs w:val="18"/>
                    </w:rPr>
                    <w:t>噪声</w:t>
                  </w:r>
                </w:p>
              </w:tc>
              <w:tc>
                <w:tcPr>
                  <w:tcW w:w="742" w:type="pct"/>
                  <w:vAlign w:val="center"/>
                </w:tcPr>
                <w:p>
                  <w:pPr>
                    <w:adjustRightInd w:val="0"/>
                    <w:snapToGrid w:val="0"/>
                    <w:jc w:val="center"/>
                    <w:rPr>
                      <w:color w:val="auto"/>
                      <w:sz w:val="18"/>
                      <w:szCs w:val="18"/>
                    </w:rPr>
                  </w:pPr>
                  <w:r>
                    <w:rPr>
                      <w:color w:val="auto"/>
                      <w:sz w:val="18"/>
                      <w:szCs w:val="18"/>
                    </w:rPr>
                    <w:t>设备运转</w:t>
                  </w:r>
                </w:p>
              </w:tc>
              <w:tc>
                <w:tcPr>
                  <w:tcW w:w="605" w:type="pct"/>
                  <w:vAlign w:val="center"/>
                </w:tcPr>
                <w:p>
                  <w:pPr>
                    <w:adjustRightInd w:val="0"/>
                    <w:snapToGrid w:val="0"/>
                    <w:jc w:val="center"/>
                    <w:rPr>
                      <w:color w:val="auto"/>
                      <w:sz w:val="18"/>
                      <w:szCs w:val="18"/>
                    </w:rPr>
                  </w:pPr>
                  <w:r>
                    <w:rPr>
                      <w:color w:val="auto"/>
                      <w:sz w:val="18"/>
                      <w:szCs w:val="18"/>
                    </w:rPr>
                    <w:t>设备运转</w:t>
                  </w:r>
                </w:p>
              </w:tc>
              <w:tc>
                <w:tcPr>
                  <w:tcW w:w="534" w:type="pct"/>
                  <w:vAlign w:val="center"/>
                </w:tcPr>
                <w:p>
                  <w:pPr>
                    <w:adjustRightInd w:val="0"/>
                    <w:snapToGrid w:val="0"/>
                    <w:jc w:val="center"/>
                    <w:rPr>
                      <w:color w:val="auto"/>
                      <w:sz w:val="18"/>
                      <w:szCs w:val="18"/>
                    </w:rPr>
                  </w:pPr>
                  <w:r>
                    <w:rPr>
                      <w:rFonts w:hint="eastAsia"/>
                      <w:color w:val="auto"/>
                      <w:sz w:val="18"/>
                      <w:szCs w:val="18"/>
                    </w:rPr>
                    <w:t>设备减振、厂房隔声</w:t>
                  </w:r>
                </w:p>
              </w:tc>
              <w:tc>
                <w:tcPr>
                  <w:tcW w:w="534" w:type="pct"/>
                  <w:vAlign w:val="center"/>
                </w:tcPr>
                <w:p>
                  <w:pPr>
                    <w:adjustRightInd w:val="0"/>
                    <w:snapToGrid w:val="0"/>
                    <w:jc w:val="center"/>
                    <w:rPr>
                      <w:color w:val="auto"/>
                      <w:sz w:val="18"/>
                      <w:szCs w:val="18"/>
                    </w:rPr>
                  </w:pPr>
                  <w:r>
                    <w:rPr>
                      <w:rFonts w:hint="eastAsia"/>
                      <w:color w:val="auto"/>
                      <w:sz w:val="18"/>
                      <w:szCs w:val="18"/>
                    </w:rPr>
                    <w:t>周边</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9</w:t>
                  </w:r>
                </w:p>
              </w:tc>
              <w:tc>
                <w:tcPr>
                  <w:tcW w:w="338" w:type="pct"/>
                  <w:vMerge w:val="restart"/>
                  <w:vAlign w:val="center"/>
                </w:tcPr>
                <w:p>
                  <w:pPr>
                    <w:adjustRightInd w:val="0"/>
                    <w:snapToGrid w:val="0"/>
                    <w:jc w:val="center"/>
                    <w:rPr>
                      <w:color w:val="auto"/>
                      <w:sz w:val="18"/>
                      <w:szCs w:val="18"/>
                    </w:rPr>
                  </w:pPr>
                  <w:r>
                    <w:rPr>
                      <w:color w:val="auto"/>
                      <w:sz w:val="18"/>
                      <w:szCs w:val="18"/>
                    </w:rPr>
                    <w:t>固废</w:t>
                  </w:r>
                </w:p>
              </w:tc>
              <w:tc>
                <w:tcPr>
                  <w:tcW w:w="719" w:type="pct"/>
                  <w:vAlign w:val="center"/>
                </w:tcPr>
                <w:p>
                  <w:pPr>
                    <w:adjustRightInd w:val="0"/>
                    <w:snapToGrid w:val="0"/>
                    <w:jc w:val="center"/>
                    <w:rPr>
                      <w:color w:val="auto"/>
                      <w:sz w:val="18"/>
                      <w:szCs w:val="18"/>
                    </w:rPr>
                  </w:pPr>
                  <w:r>
                    <w:rPr>
                      <w:rFonts w:hint="eastAsia"/>
                      <w:color w:val="auto"/>
                      <w:sz w:val="18"/>
                      <w:szCs w:val="18"/>
                    </w:rPr>
                    <w:t>废边角料</w:t>
                  </w:r>
                </w:p>
              </w:tc>
              <w:tc>
                <w:tcPr>
                  <w:tcW w:w="515" w:type="pct"/>
                  <w:vAlign w:val="center"/>
                </w:tcPr>
                <w:p>
                  <w:pPr>
                    <w:adjustRightInd w:val="0"/>
                    <w:snapToGrid w:val="0"/>
                    <w:jc w:val="center"/>
                    <w:rPr>
                      <w:color w:val="auto"/>
                      <w:sz w:val="18"/>
                      <w:szCs w:val="18"/>
                    </w:rPr>
                  </w:pPr>
                  <w:r>
                    <w:rPr>
                      <w:rFonts w:hint="eastAsia"/>
                      <w:color w:val="auto"/>
                      <w:sz w:val="18"/>
                      <w:szCs w:val="18"/>
                    </w:rPr>
                    <w:t>S</w:t>
                  </w:r>
                  <w:r>
                    <w:rPr>
                      <w:color w:val="auto"/>
                      <w:sz w:val="18"/>
                      <w:szCs w:val="18"/>
                    </w:rPr>
                    <w:t>1</w:t>
                  </w:r>
                  <w:r>
                    <w:rPr>
                      <w:rFonts w:hint="eastAsia"/>
                      <w:color w:val="auto"/>
                      <w:sz w:val="18"/>
                      <w:szCs w:val="18"/>
                    </w:rPr>
                    <w:t>-1</w:t>
                  </w:r>
                </w:p>
              </w:tc>
              <w:tc>
                <w:tcPr>
                  <w:tcW w:w="694" w:type="pct"/>
                  <w:vMerge w:val="restart"/>
                  <w:vAlign w:val="center"/>
                </w:tcPr>
                <w:p>
                  <w:pPr>
                    <w:adjustRightInd w:val="0"/>
                    <w:snapToGrid w:val="0"/>
                    <w:jc w:val="center"/>
                    <w:rPr>
                      <w:color w:val="auto"/>
                      <w:sz w:val="18"/>
                      <w:szCs w:val="18"/>
                    </w:rPr>
                  </w:pPr>
                  <w:r>
                    <w:rPr>
                      <w:rFonts w:hint="eastAsia"/>
                      <w:color w:val="auto"/>
                      <w:sz w:val="18"/>
                      <w:szCs w:val="18"/>
                    </w:rPr>
                    <w:t>一般固废</w:t>
                  </w:r>
                </w:p>
              </w:tc>
              <w:tc>
                <w:tcPr>
                  <w:tcW w:w="742" w:type="pct"/>
                  <w:vAlign w:val="center"/>
                </w:tcPr>
                <w:p>
                  <w:pPr>
                    <w:adjustRightInd w:val="0"/>
                    <w:snapToGrid w:val="0"/>
                    <w:jc w:val="center"/>
                    <w:rPr>
                      <w:color w:val="auto"/>
                      <w:sz w:val="18"/>
                      <w:szCs w:val="18"/>
                    </w:rPr>
                  </w:pPr>
                  <w:r>
                    <w:rPr>
                      <w:rFonts w:hint="eastAsia"/>
                      <w:color w:val="auto"/>
                      <w:sz w:val="18"/>
                      <w:szCs w:val="18"/>
                    </w:rPr>
                    <w:t>修边</w:t>
                  </w:r>
                </w:p>
              </w:tc>
              <w:tc>
                <w:tcPr>
                  <w:tcW w:w="605" w:type="pct"/>
                  <w:vAlign w:val="center"/>
                </w:tcPr>
                <w:p>
                  <w:pPr>
                    <w:adjustRightInd w:val="0"/>
                    <w:snapToGrid w:val="0"/>
                    <w:jc w:val="center"/>
                    <w:rPr>
                      <w:color w:val="auto"/>
                      <w:sz w:val="18"/>
                      <w:szCs w:val="18"/>
                    </w:rPr>
                  </w:pPr>
                  <w:r>
                    <w:rPr>
                      <w:rFonts w:hint="eastAsia"/>
                      <w:color w:val="auto"/>
                      <w:sz w:val="18"/>
                      <w:szCs w:val="18"/>
                    </w:rPr>
                    <w:t>修边</w:t>
                  </w:r>
                </w:p>
              </w:tc>
              <w:tc>
                <w:tcPr>
                  <w:tcW w:w="534" w:type="pct"/>
                  <w:vMerge w:val="restart"/>
                  <w:vAlign w:val="center"/>
                </w:tcPr>
                <w:p>
                  <w:pPr>
                    <w:adjustRightInd w:val="0"/>
                    <w:snapToGrid w:val="0"/>
                    <w:jc w:val="center"/>
                    <w:rPr>
                      <w:color w:val="auto"/>
                      <w:sz w:val="18"/>
                      <w:szCs w:val="18"/>
                    </w:rPr>
                  </w:pPr>
                  <w:r>
                    <w:rPr>
                      <w:rFonts w:hint="eastAsia"/>
                      <w:color w:val="auto"/>
                      <w:sz w:val="18"/>
                      <w:szCs w:val="18"/>
                    </w:rPr>
                    <w:t>暂存于一般固废库</w:t>
                  </w:r>
                </w:p>
              </w:tc>
              <w:tc>
                <w:tcPr>
                  <w:tcW w:w="534" w:type="pct"/>
                  <w:vMerge w:val="restart"/>
                  <w:vAlign w:val="center"/>
                </w:tcPr>
                <w:p>
                  <w:pPr>
                    <w:adjustRightInd w:val="0"/>
                    <w:snapToGrid w:val="0"/>
                    <w:jc w:val="center"/>
                    <w:rPr>
                      <w:color w:val="auto"/>
                      <w:sz w:val="18"/>
                      <w:szCs w:val="18"/>
                    </w:rPr>
                  </w:pPr>
                  <w:r>
                    <w:rPr>
                      <w:rFonts w:hint="eastAsia"/>
                      <w:color w:val="auto"/>
                      <w:sz w:val="18"/>
                      <w:szCs w:val="18"/>
                    </w:rPr>
                    <w:t>外售处置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10</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rFonts w:hint="eastAsia"/>
                      <w:color w:val="auto"/>
                      <w:sz w:val="18"/>
                      <w:szCs w:val="18"/>
                    </w:rPr>
                    <w:t>不合格品</w:t>
                  </w:r>
                </w:p>
              </w:tc>
              <w:tc>
                <w:tcPr>
                  <w:tcW w:w="515" w:type="pct"/>
                  <w:vAlign w:val="center"/>
                </w:tcPr>
                <w:p>
                  <w:pPr>
                    <w:adjustRightInd w:val="0"/>
                    <w:snapToGrid w:val="0"/>
                    <w:jc w:val="center"/>
                    <w:rPr>
                      <w:color w:val="auto"/>
                      <w:sz w:val="18"/>
                      <w:szCs w:val="18"/>
                    </w:rPr>
                  </w:pPr>
                  <w:r>
                    <w:rPr>
                      <w:rFonts w:hint="eastAsia"/>
                      <w:color w:val="auto"/>
                      <w:sz w:val="18"/>
                      <w:szCs w:val="18"/>
                    </w:rPr>
                    <w:t>S1-2</w:t>
                  </w:r>
                </w:p>
              </w:tc>
              <w:tc>
                <w:tcPr>
                  <w:tcW w:w="694" w:type="pct"/>
                  <w:vMerge w:val="continue"/>
                  <w:vAlign w:val="center"/>
                </w:tcPr>
                <w:p>
                  <w:pPr>
                    <w:adjustRightInd w:val="0"/>
                    <w:snapToGrid w:val="0"/>
                    <w:jc w:val="center"/>
                    <w:rPr>
                      <w:color w:val="auto"/>
                      <w:sz w:val="18"/>
                      <w:szCs w:val="18"/>
                    </w:rPr>
                  </w:pPr>
                </w:p>
              </w:tc>
              <w:tc>
                <w:tcPr>
                  <w:tcW w:w="742" w:type="pct"/>
                  <w:vAlign w:val="center"/>
                </w:tcPr>
                <w:p>
                  <w:pPr>
                    <w:adjustRightInd w:val="0"/>
                    <w:snapToGrid w:val="0"/>
                    <w:jc w:val="center"/>
                    <w:rPr>
                      <w:color w:val="auto"/>
                      <w:sz w:val="18"/>
                      <w:szCs w:val="18"/>
                    </w:rPr>
                  </w:pPr>
                  <w:r>
                    <w:rPr>
                      <w:rFonts w:hint="eastAsia"/>
                      <w:color w:val="auto"/>
                      <w:sz w:val="18"/>
                      <w:szCs w:val="18"/>
                    </w:rPr>
                    <w:t>检测</w:t>
                  </w:r>
                </w:p>
              </w:tc>
              <w:tc>
                <w:tcPr>
                  <w:tcW w:w="605" w:type="pct"/>
                  <w:vAlign w:val="center"/>
                </w:tcPr>
                <w:p>
                  <w:pPr>
                    <w:adjustRightInd w:val="0"/>
                    <w:snapToGrid w:val="0"/>
                    <w:jc w:val="center"/>
                    <w:rPr>
                      <w:color w:val="auto"/>
                      <w:sz w:val="18"/>
                      <w:szCs w:val="18"/>
                    </w:rPr>
                  </w:pPr>
                  <w:r>
                    <w:rPr>
                      <w:rFonts w:hint="eastAsia"/>
                      <w:color w:val="auto"/>
                      <w:sz w:val="18"/>
                      <w:szCs w:val="18"/>
                    </w:rPr>
                    <w:t>检测</w:t>
                  </w:r>
                </w:p>
              </w:tc>
              <w:tc>
                <w:tcPr>
                  <w:tcW w:w="534" w:type="pct"/>
                  <w:vMerge w:val="continue"/>
                  <w:vAlign w:val="center"/>
                </w:tcPr>
                <w:p>
                  <w:pPr>
                    <w:adjustRightInd w:val="0"/>
                    <w:snapToGrid w:val="0"/>
                    <w:jc w:val="center"/>
                    <w:rPr>
                      <w:color w:val="auto"/>
                      <w:sz w:val="18"/>
                      <w:szCs w:val="18"/>
                    </w:rPr>
                  </w:pPr>
                </w:p>
              </w:tc>
              <w:tc>
                <w:tcPr>
                  <w:tcW w:w="534" w:type="pct"/>
                  <w:vMerge w:val="continue"/>
                  <w:vAlign w:val="center"/>
                </w:tcPr>
                <w:p>
                  <w:pPr>
                    <w:adjustRightInd w:val="0"/>
                    <w:snapToGrid w:val="0"/>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11</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rFonts w:hint="eastAsia"/>
                      <w:color w:val="auto"/>
                      <w:sz w:val="18"/>
                      <w:szCs w:val="18"/>
                    </w:rPr>
                    <w:t>废边角料</w:t>
                  </w:r>
                </w:p>
              </w:tc>
              <w:tc>
                <w:tcPr>
                  <w:tcW w:w="515" w:type="pct"/>
                  <w:vAlign w:val="center"/>
                </w:tcPr>
                <w:p>
                  <w:pPr>
                    <w:adjustRightInd w:val="0"/>
                    <w:snapToGrid w:val="0"/>
                    <w:jc w:val="center"/>
                    <w:rPr>
                      <w:color w:val="auto"/>
                      <w:sz w:val="18"/>
                      <w:szCs w:val="18"/>
                    </w:rPr>
                  </w:pPr>
                  <w:r>
                    <w:rPr>
                      <w:rFonts w:hint="eastAsia"/>
                      <w:color w:val="auto"/>
                      <w:sz w:val="18"/>
                      <w:szCs w:val="18"/>
                    </w:rPr>
                    <w:t>S2-1</w:t>
                  </w:r>
                </w:p>
              </w:tc>
              <w:tc>
                <w:tcPr>
                  <w:tcW w:w="694" w:type="pct"/>
                  <w:vMerge w:val="continue"/>
                  <w:vAlign w:val="center"/>
                </w:tcPr>
                <w:p>
                  <w:pPr>
                    <w:adjustRightInd w:val="0"/>
                    <w:snapToGrid w:val="0"/>
                    <w:jc w:val="center"/>
                    <w:rPr>
                      <w:color w:val="auto"/>
                      <w:sz w:val="18"/>
                      <w:szCs w:val="18"/>
                    </w:rPr>
                  </w:pPr>
                </w:p>
              </w:tc>
              <w:tc>
                <w:tcPr>
                  <w:tcW w:w="742" w:type="pct"/>
                  <w:vAlign w:val="center"/>
                </w:tcPr>
                <w:p>
                  <w:pPr>
                    <w:adjustRightInd w:val="0"/>
                    <w:snapToGrid w:val="0"/>
                    <w:jc w:val="center"/>
                    <w:rPr>
                      <w:bCs/>
                      <w:color w:val="auto"/>
                      <w:sz w:val="18"/>
                      <w:szCs w:val="18"/>
                    </w:rPr>
                  </w:pPr>
                  <w:r>
                    <w:rPr>
                      <w:rFonts w:hint="eastAsia"/>
                      <w:color w:val="auto"/>
                      <w:sz w:val="18"/>
                      <w:szCs w:val="18"/>
                    </w:rPr>
                    <w:t>修边</w:t>
                  </w:r>
                </w:p>
              </w:tc>
              <w:tc>
                <w:tcPr>
                  <w:tcW w:w="605" w:type="pct"/>
                  <w:vAlign w:val="center"/>
                </w:tcPr>
                <w:p>
                  <w:pPr>
                    <w:adjustRightInd w:val="0"/>
                    <w:snapToGrid w:val="0"/>
                    <w:jc w:val="center"/>
                    <w:rPr>
                      <w:bCs/>
                      <w:color w:val="auto"/>
                      <w:sz w:val="18"/>
                      <w:szCs w:val="18"/>
                    </w:rPr>
                  </w:pPr>
                  <w:r>
                    <w:rPr>
                      <w:rFonts w:hint="eastAsia"/>
                      <w:color w:val="auto"/>
                      <w:sz w:val="18"/>
                      <w:szCs w:val="18"/>
                    </w:rPr>
                    <w:t>修边</w:t>
                  </w:r>
                </w:p>
              </w:tc>
              <w:tc>
                <w:tcPr>
                  <w:tcW w:w="534" w:type="pct"/>
                  <w:vMerge w:val="continue"/>
                  <w:vAlign w:val="center"/>
                </w:tcPr>
                <w:p>
                  <w:pPr>
                    <w:adjustRightInd w:val="0"/>
                    <w:snapToGrid w:val="0"/>
                    <w:jc w:val="center"/>
                    <w:rPr>
                      <w:bCs/>
                      <w:color w:val="auto"/>
                      <w:sz w:val="18"/>
                      <w:szCs w:val="18"/>
                    </w:rPr>
                  </w:pPr>
                </w:p>
              </w:tc>
              <w:tc>
                <w:tcPr>
                  <w:tcW w:w="534" w:type="pct"/>
                  <w:vMerge w:val="continue"/>
                  <w:vAlign w:val="center"/>
                </w:tcPr>
                <w:p>
                  <w:pPr>
                    <w:adjustRightInd w:val="0"/>
                    <w:snapToGrid w:val="0"/>
                    <w:jc w:val="center"/>
                    <w:rPr>
                      <w:bCs/>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12</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rFonts w:hint="eastAsia"/>
                      <w:color w:val="auto"/>
                      <w:sz w:val="18"/>
                      <w:szCs w:val="18"/>
                    </w:rPr>
                    <w:t>不合格品</w:t>
                  </w:r>
                </w:p>
              </w:tc>
              <w:tc>
                <w:tcPr>
                  <w:tcW w:w="515" w:type="pct"/>
                  <w:vAlign w:val="center"/>
                </w:tcPr>
                <w:p>
                  <w:pPr>
                    <w:adjustRightInd w:val="0"/>
                    <w:snapToGrid w:val="0"/>
                    <w:jc w:val="center"/>
                    <w:rPr>
                      <w:color w:val="auto"/>
                      <w:sz w:val="18"/>
                      <w:szCs w:val="18"/>
                    </w:rPr>
                  </w:pPr>
                  <w:r>
                    <w:rPr>
                      <w:rFonts w:hint="eastAsia"/>
                      <w:color w:val="auto"/>
                      <w:sz w:val="18"/>
                      <w:szCs w:val="18"/>
                    </w:rPr>
                    <w:t>S2-2</w:t>
                  </w:r>
                </w:p>
              </w:tc>
              <w:tc>
                <w:tcPr>
                  <w:tcW w:w="694" w:type="pct"/>
                  <w:vMerge w:val="continue"/>
                  <w:vAlign w:val="center"/>
                </w:tcPr>
                <w:p>
                  <w:pPr>
                    <w:adjustRightInd w:val="0"/>
                    <w:snapToGrid w:val="0"/>
                    <w:jc w:val="center"/>
                    <w:rPr>
                      <w:color w:val="auto"/>
                      <w:sz w:val="18"/>
                      <w:szCs w:val="18"/>
                    </w:rPr>
                  </w:pPr>
                </w:p>
              </w:tc>
              <w:tc>
                <w:tcPr>
                  <w:tcW w:w="742" w:type="pct"/>
                  <w:vAlign w:val="center"/>
                </w:tcPr>
                <w:p>
                  <w:pPr>
                    <w:adjustRightInd w:val="0"/>
                    <w:snapToGrid w:val="0"/>
                    <w:jc w:val="center"/>
                    <w:rPr>
                      <w:bCs/>
                      <w:color w:val="auto"/>
                      <w:sz w:val="18"/>
                      <w:szCs w:val="18"/>
                    </w:rPr>
                  </w:pPr>
                  <w:r>
                    <w:rPr>
                      <w:rFonts w:hint="eastAsia"/>
                      <w:color w:val="auto"/>
                      <w:sz w:val="18"/>
                      <w:szCs w:val="18"/>
                    </w:rPr>
                    <w:t>检测</w:t>
                  </w:r>
                </w:p>
              </w:tc>
              <w:tc>
                <w:tcPr>
                  <w:tcW w:w="605" w:type="pct"/>
                  <w:vAlign w:val="center"/>
                </w:tcPr>
                <w:p>
                  <w:pPr>
                    <w:adjustRightInd w:val="0"/>
                    <w:snapToGrid w:val="0"/>
                    <w:jc w:val="center"/>
                    <w:rPr>
                      <w:bCs/>
                      <w:color w:val="auto"/>
                      <w:sz w:val="18"/>
                      <w:szCs w:val="18"/>
                    </w:rPr>
                  </w:pPr>
                  <w:r>
                    <w:rPr>
                      <w:rFonts w:hint="eastAsia"/>
                      <w:color w:val="auto"/>
                      <w:sz w:val="18"/>
                      <w:szCs w:val="18"/>
                    </w:rPr>
                    <w:t>检测</w:t>
                  </w:r>
                </w:p>
              </w:tc>
              <w:tc>
                <w:tcPr>
                  <w:tcW w:w="534" w:type="pct"/>
                  <w:vMerge w:val="continue"/>
                  <w:vAlign w:val="center"/>
                </w:tcPr>
                <w:p>
                  <w:pPr>
                    <w:adjustRightInd w:val="0"/>
                    <w:snapToGrid w:val="0"/>
                    <w:jc w:val="center"/>
                    <w:rPr>
                      <w:color w:val="auto"/>
                      <w:kern w:val="0"/>
                      <w:sz w:val="18"/>
                      <w:szCs w:val="18"/>
                    </w:rPr>
                  </w:pPr>
                </w:p>
              </w:tc>
              <w:tc>
                <w:tcPr>
                  <w:tcW w:w="534" w:type="pct"/>
                  <w:vMerge w:val="continue"/>
                  <w:vAlign w:val="center"/>
                </w:tcPr>
                <w:p>
                  <w:pPr>
                    <w:adjustRightInd w:val="0"/>
                    <w:snapToGrid w:val="0"/>
                    <w:jc w:val="center"/>
                    <w:rPr>
                      <w:color w:val="auto"/>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13</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color w:val="auto"/>
                      <w:sz w:val="18"/>
                      <w:szCs w:val="18"/>
                    </w:rPr>
                    <w:t>废</w:t>
                  </w:r>
                  <w:r>
                    <w:rPr>
                      <w:rFonts w:hint="eastAsia"/>
                      <w:color w:val="auto"/>
                      <w:sz w:val="18"/>
                      <w:szCs w:val="18"/>
                    </w:rPr>
                    <w:t>包装材料</w:t>
                  </w:r>
                </w:p>
              </w:tc>
              <w:tc>
                <w:tcPr>
                  <w:tcW w:w="515" w:type="pct"/>
                  <w:vAlign w:val="center"/>
                </w:tcPr>
                <w:p>
                  <w:pPr>
                    <w:adjustRightInd w:val="0"/>
                    <w:snapToGrid w:val="0"/>
                    <w:jc w:val="center"/>
                    <w:rPr>
                      <w:color w:val="auto"/>
                      <w:sz w:val="18"/>
                      <w:szCs w:val="18"/>
                    </w:rPr>
                  </w:pPr>
                  <w:r>
                    <w:rPr>
                      <w:color w:val="auto"/>
                      <w:sz w:val="18"/>
                      <w:szCs w:val="18"/>
                    </w:rPr>
                    <w:t>S</w:t>
                  </w:r>
                  <w:r>
                    <w:rPr>
                      <w:rFonts w:hint="eastAsia"/>
                      <w:color w:val="auto"/>
                      <w:sz w:val="18"/>
                      <w:szCs w:val="18"/>
                    </w:rPr>
                    <w:t>3</w:t>
                  </w:r>
                </w:p>
              </w:tc>
              <w:tc>
                <w:tcPr>
                  <w:tcW w:w="694" w:type="pct"/>
                  <w:vMerge w:val="continue"/>
                  <w:vAlign w:val="center"/>
                </w:tcPr>
                <w:p>
                  <w:pPr>
                    <w:adjustRightInd w:val="0"/>
                    <w:snapToGrid w:val="0"/>
                    <w:jc w:val="center"/>
                    <w:rPr>
                      <w:color w:val="auto"/>
                      <w:sz w:val="18"/>
                      <w:szCs w:val="18"/>
                    </w:rPr>
                  </w:pPr>
                </w:p>
              </w:tc>
              <w:tc>
                <w:tcPr>
                  <w:tcW w:w="742" w:type="pct"/>
                  <w:vAlign w:val="center"/>
                </w:tcPr>
                <w:p>
                  <w:pPr>
                    <w:adjustRightInd w:val="0"/>
                    <w:snapToGrid w:val="0"/>
                    <w:jc w:val="center"/>
                    <w:rPr>
                      <w:color w:val="auto"/>
                      <w:kern w:val="0"/>
                      <w:sz w:val="18"/>
                      <w:szCs w:val="18"/>
                    </w:rPr>
                  </w:pPr>
                  <w:r>
                    <w:rPr>
                      <w:rFonts w:hint="eastAsia"/>
                      <w:bCs/>
                      <w:color w:val="auto"/>
                      <w:sz w:val="18"/>
                      <w:szCs w:val="18"/>
                    </w:rPr>
                    <w:t>原料包装</w:t>
                  </w:r>
                </w:p>
              </w:tc>
              <w:tc>
                <w:tcPr>
                  <w:tcW w:w="605" w:type="pct"/>
                  <w:vAlign w:val="center"/>
                </w:tcPr>
                <w:p>
                  <w:pPr>
                    <w:adjustRightInd w:val="0"/>
                    <w:snapToGrid w:val="0"/>
                    <w:jc w:val="center"/>
                    <w:rPr>
                      <w:color w:val="auto"/>
                      <w:kern w:val="0"/>
                      <w:sz w:val="18"/>
                      <w:szCs w:val="18"/>
                    </w:rPr>
                  </w:pPr>
                  <w:r>
                    <w:rPr>
                      <w:rFonts w:hint="eastAsia"/>
                      <w:color w:val="auto"/>
                      <w:sz w:val="18"/>
                      <w:szCs w:val="18"/>
                    </w:rPr>
                    <w:t>原料包装</w:t>
                  </w:r>
                </w:p>
              </w:tc>
              <w:tc>
                <w:tcPr>
                  <w:tcW w:w="534" w:type="pct"/>
                  <w:vMerge w:val="continue"/>
                  <w:vAlign w:val="center"/>
                </w:tcPr>
                <w:p>
                  <w:pPr>
                    <w:adjustRightInd w:val="0"/>
                    <w:snapToGrid w:val="0"/>
                    <w:jc w:val="center"/>
                    <w:rPr>
                      <w:color w:val="auto"/>
                      <w:sz w:val="18"/>
                      <w:szCs w:val="18"/>
                    </w:rPr>
                  </w:pPr>
                </w:p>
              </w:tc>
              <w:tc>
                <w:tcPr>
                  <w:tcW w:w="534" w:type="pct"/>
                  <w:vMerge w:val="continue"/>
                  <w:vAlign w:val="center"/>
                </w:tcPr>
                <w:p>
                  <w:pPr>
                    <w:adjustRightInd w:val="0"/>
                    <w:snapToGrid w:val="0"/>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14</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rFonts w:hint="eastAsia"/>
                      <w:color w:val="auto"/>
                      <w:sz w:val="18"/>
                      <w:szCs w:val="18"/>
                    </w:rPr>
                    <w:t>除尘灰</w:t>
                  </w:r>
                </w:p>
              </w:tc>
              <w:tc>
                <w:tcPr>
                  <w:tcW w:w="515" w:type="pct"/>
                  <w:vAlign w:val="center"/>
                </w:tcPr>
                <w:p>
                  <w:pPr>
                    <w:adjustRightInd w:val="0"/>
                    <w:snapToGrid w:val="0"/>
                    <w:jc w:val="center"/>
                    <w:rPr>
                      <w:color w:val="auto"/>
                      <w:sz w:val="18"/>
                      <w:szCs w:val="18"/>
                    </w:rPr>
                  </w:pPr>
                  <w:r>
                    <w:rPr>
                      <w:rFonts w:hint="eastAsia"/>
                      <w:color w:val="auto"/>
                      <w:sz w:val="18"/>
                      <w:szCs w:val="18"/>
                    </w:rPr>
                    <w:t>S7</w:t>
                  </w:r>
                </w:p>
              </w:tc>
              <w:tc>
                <w:tcPr>
                  <w:tcW w:w="694" w:type="pct"/>
                  <w:vMerge w:val="continue"/>
                  <w:vAlign w:val="center"/>
                </w:tcPr>
                <w:p>
                  <w:pPr>
                    <w:adjustRightInd w:val="0"/>
                    <w:snapToGrid w:val="0"/>
                    <w:jc w:val="center"/>
                    <w:rPr>
                      <w:color w:val="auto"/>
                      <w:sz w:val="18"/>
                      <w:szCs w:val="18"/>
                    </w:rPr>
                  </w:pPr>
                </w:p>
              </w:tc>
              <w:tc>
                <w:tcPr>
                  <w:tcW w:w="742" w:type="pct"/>
                  <w:vAlign w:val="center"/>
                </w:tcPr>
                <w:p>
                  <w:pPr>
                    <w:adjustRightInd w:val="0"/>
                    <w:snapToGrid w:val="0"/>
                    <w:jc w:val="center"/>
                    <w:rPr>
                      <w:bCs/>
                      <w:color w:val="auto"/>
                      <w:sz w:val="18"/>
                      <w:szCs w:val="18"/>
                    </w:rPr>
                  </w:pPr>
                  <w:r>
                    <w:rPr>
                      <w:rFonts w:hint="eastAsia"/>
                      <w:bCs/>
                      <w:color w:val="auto"/>
                      <w:sz w:val="18"/>
                      <w:szCs w:val="18"/>
                    </w:rPr>
                    <w:t>废气处理</w:t>
                  </w:r>
                </w:p>
              </w:tc>
              <w:tc>
                <w:tcPr>
                  <w:tcW w:w="605" w:type="pct"/>
                  <w:vAlign w:val="center"/>
                </w:tcPr>
                <w:p>
                  <w:pPr>
                    <w:adjustRightInd w:val="0"/>
                    <w:snapToGrid w:val="0"/>
                    <w:jc w:val="center"/>
                    <w:rPr>
                      <w:color w:val="auto"/>
                      <w:sz w:val="18"/>
                      <w:szCs w:val="18"/>
                    </w:rPr>
                  </w:pPr>
                  <w:r>
                    <w:rPr>
                      <w:rFonts w:hint="eastAsia"/>
                      <w:color w:val="auto"/>
                      <w:sz w:val="18"/>
                      <w:szCs w:val="18"/>
                    </w:rPr>
                    <w:t>废气处理</w:t>
                  </w:r>
                </w:p>
              </w:tc>
              <w:tc>
                <w:tcPr>
                  <w:tcW w:w="534" w:type="pct"/>
                  <w:vMerge w:val="continue"/>
                  <w:vAlign w:val="center"/>
                </w:tcPr>
                <w:p>
                  <w:pPr>
                    <w:adjustRightInd w:val="0"/>
                    <w:snapToGrid w:val="0"/>
                    <w:jc w:val="center"/>
                    <w:rPr>
                      <w:color w:val="auto"/>
                      <w:sz w:val="18"/>
                      <w:szCs w:val="18"/>
                    </w:rPr>
                  </w:pPr>
                </w:p>
              </w:tc>
              <w:tc>
                <w:tcPr>
                  <w:tcW w:w="534" w:type="pct"/>
                  <w:vMerge w:val="continue"/>
                  <w:vAlign w:val="center"/>
                </w:tcPr>
                <w:p>
                  <w:pPr>
                    <w:adjustRightInd w:val="0"/>
                    <w:snapToGrid w:val="0"/>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15</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rFonts w:hint="eastAsia"/>
                      <w:color w:val="auto"/>
                      <w:sz w:val="18"/>
                      <w:szCs w:val="18"/>
                    </w:rPr>
                    <w:t>废旧布袋</w:t>
                  </w:r>
                </w:p>
              </w:tc>
              <w:tc>
                <w:tcPr>
                  <w:tcW w:w="515" w:type="pct"/>
                  <w:vAlign w:val="center"/>
                </w:tcPr>
                <w:p>
                  <w:pPr>
                    <w:adjustRightInd w:val="0"/>
                    <w:snapToGrid w:val="0"/>
                    <w:jc w:val="center"/>
                    <w:rPr>
                      <w:color w:val="auto"/>
                      <w:sz w:val="18"/>
                      <w:szCs w:val="18"/>
                    </w:rPr>
                  </w:pPr>
                  <w:r>
                    <w:rPr>
                      <w:rFonts w:hint="eastAsia"/>
                      <w:color w:val="auto"/>
                      <w:sz w:val="18"/>
                      <w:szCs w:val="18"/>
                    </w:rPr>
                    <w:t>S8</w:t>
                  </w:r>
                </w:p>
              </w:tc>
              <w:tc>
                <w:tcPr>
                  <w:tcW w:w="694" w:type="pct"/>
                  <w:vMerge w:val="continue"/>
                  <w:vAlign w:val="center"/>
                </w:tcPr>
                <w:p>
                  <w:pPr>
                    <w:adjustRightInd w:val="0"/>
                    <w:snapToGrid w:val="0"/>
                    <w:jc w:val="center"/>
                    <w:rPr>
                      <w:color w:val="auto"/>
                      <w:sz w:val="18"/>
                      <w:szCs w:val="18"/>
                    </w:rPr>
                  </w:pPr>
                </w:p>
              </w:tc>
              <w:tc>
                <w:tcPr>
                  <w:tcW w:w="742" w:type="pct"/>
                  <w:vAlign w:val="center"/>
                </w:tcPr>
                <w:p>
                  <w:pPr>
                    <w:adjustRightInd w:val="0"/>
                    <w:snapToGrid w:val="0"/>
                    <w:jc w:val="center"/>
                    <w:rPr>
                      <w:bCs/>
                      <w:color w:val="auto"/>
                      <w:sz w:val="18"/>
                      <w:szCs w:val="18"/>
                    </w:rPr>
                  </w:pPr>
                  <w:r>
                    <w:rPr>
                      <w:rFonts w:hint="eastAsia"/>
                      <w:bCs/>
                      <w:color w:val="auto"/>
                      <w:sz w:val="18"/>
                      <w:szCs w:val="18"/>
                    </w:rPr>
                    <w:t>废气处理</w:t>
                  </w:r>
                </w:p>
              </w:tc>
              <w:tc>
                <w:tcPr>
                  <w:tcW w:w="605" w:type="pct"/>
                  <w:vAlign w:val="center"/>
                </w:tcPr>
                <w:p>
                  <w:pPr>
                    <w:adjustRightInd w:val="0"/>
                    <w:snapToGrid w:val="0"/>
                    <w:jc w:val="center"/>
                    <w:rPr>
                      <w:color w:val="auto"/>
                      <w:sz w:val="18"/>
                      <w:szCs w:val="18"/>
                    </w:rPr>
                  </w:pPr>
                  <w:r>
                    <w:rPr>
                      <w:rFonts w:hint="eastAsia"/>
                      <w:bCs/>
                      <w:color w:val="auto"/>
                      <w:sz w:val="18"/>
                      <w:szCs w:val="18"/>
                    </w:rPr>
                    <w:t>废气处理</w:t>
                  </w:r>
                </w:p>
              </w:tc>
              <w:tc>
                <w:tcPr>
                  <w:tcW w:w="534" w:type="pct"/>
                  <w:vMerge w:val="continue"/>
                  <w:vAlign w:val="center"/>
                </w:tcPr>
                <w:p>
                  <w:pPr>
                    <w:adjustRightInd w:val="0"/>
                    <w:snapToGrid w:val="0"/>
                    <w:jc w:val="center"/>
                    <w:rPr>
                      <w:color w:val="auto"/>
                      <w:sz w:val="18"/>
                      <w:szCs w:val="18"/>
                    </w:rPr>
                  </w:pPr>
                </w:p>
              </w:tc>
              <w:tc>
                <w:tcPr>
                  <w:tcW w:w="534" w:type="pct"/>
                  <w:vMerge w:val="continue"/>
                  <w:vAlign w:val="center"/>
                </w:tcPr>
                <w:p>
                  <w:pPr>
                    <w:adjustRightInd w:val="0"/>
                    <w:snapToGrid w:val="0"/>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16</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rFonts w:hint="eastAsia"/>
                      <w:color w:val="auto"/>
                      <w:sz w:val="18"/>
                      <w:szCs w:val="18"/>
                    </w:rPr>
                    <w:t>生活垃圾</w:t>
                  </w:r>
                </w:p>
              </w:tc>
              <w:tc>
                <w:tcPr>
                  <w:tcW w:w="515" w:type="pct"/>
                  <w:vAlign w:val="center"/>
                </w:tcPr>
                <w:p>
                  <w:pPr>
                    <w:adjustRightInd w:val="0"/>
                    <w:snapToGrid w:val="0"/>
                    <w:jc w:val="center"/>
                    <w:rPr>
                      <w:color w:val="auto"/>
                      <w:sz w:val="18"/>
                      <w:szCs w:val="18"/>
                    </w:rPr>
                  </w:pPr>
                  <w:r>
                    <w:rPr>
                      <w:color w:val="auto"/>
                      <w:sz w:val="18"/>
                      <w:szCs w:val="18"/>
                    </w:rPr>
                    <w:t>S</w:t>
                  </w:r>
                  <w:r>
                    <w:rPr>
                      <w:rFonts w:hint="eastAsia"/>
                      <w:color w:val="auto"/>
                      <w:sz w:val="18"/>
                      <w:szCs w:val="18"/>
                    </w:rPr>
                    <w:t>4</w:t>
                  </w:r>
                </w:p>
              </w:tc>
              <w:tc>
                <w:tcPr>
                  <w:tcW w:w="694" w:type="pct"/>
                  <w:vMerge w:val="continue"/>
                  <w:vAlign w:val="center"/>
                </w:tcPr>
                <w:p>
                  <w:pPr>
                    <w:adjustRightInd w:val="0"/>
                    <w:snapToGrid w:val="0"/>
                    <w:jc w:val="center"/>
                    <w:rPr>
                      <w:color w:val="auto"/>
                      <w:sz w:val="18"/>
                      <w:szCs w:val="18"/>
                    </w:rPr>
                  </w:pPr>
                </w:p>
              </w:tc>
              <w:tc>
                <w:tcPr>
                  <w:tcW w:w="742" w:type="pct"/>
                  <w:vAlign w:val="center"/>
                </w:tcPr>
                <w:p>
                  <w:pPr>
                    <w:adjustRightInd w:val="0"/>
                    <w:snapToGrid w:val="0"/>
                    <w:jc w:val="center"/>
                    <w:rPr>
                      <w:color w:val="auto"/>
                      <w:sz w:val="18"/>
                      <w:szCs w:val="18"/>
                    </w:rPr>
                  </w:pPr>
                  <w:r>
                    <w:rPr>
                      <w:color w:val="auto"/>
                      <w:kern w:val="0"/>
                      <w:sz w:val="18"/>
                      <w:szCs w:val="18"/>
                    </w:rPr>
                    <w:t>员工生活</w:t>
                  </w:r>
                </w:p>
              </w:tc>
              <w:tc>
                <w:tcPr>
                  <w:tcW w:w="605" w:type="pct"/>
                  <w:vAlign w:val="center"/>
                </w:tcPr>
                <w:p>
                  <w:pPr>
                    <w:adjustRightInd w:val="0"/>
                    <w:snapToGrid w:val="0"/>
                    <w:jc w:val="center"/>
                    <w:rPr>
                      <w:color w:val="auto"/>
                      <w:sz w:val="18"/>
                      <w:szCs w:val="18"/>
                    </w:rPr>
                  </w:pPr>
                  <w:r>
                    <w:rPr>
                      <w:color w:val="auto"/>
                      <w:kern w:val="0"/>
                      <w:sz w:val="18"/>
                      <w:szCs w:val="18"/>
                    </w:rPr>
                    <w:t>员工生活</w:t>
                  </w:r>
                </w:p>
              </w:tc>
              <w:tc>
                <w:tcPr>
                  <w:tcW w:w="534" w:type="pct"/>
                  <w:vAlign w:val="center"/>
                </w:tcPr>
                <w:p>
                  <w:pPr>
                    <w:adjustRightInd w:val="0"/>
                    <w:snapToGrid w:val="0"/>
                    <w:jc w:val="center"/>
                    <w:rPr>
                      <w:color w:val="auto"/>
                      <w:sz w:val="18"/>
                      <w:szCs w:val="18"/>
                    </w:rPr>
                  </w:pPr>
                  <w:r>
                    <w:rPr>
                      <w:rFonts w:hint="eastAsia"/>
                      <w:color w:val="auto"/>
                      <w:sz w:val="18"/>
                      <w:szCs w:val="18"/>
                    </w:rPr>
                    <w:t>垃圾桶</w:t>
                  </w:r>
                </w:p>
              </w:tc>
              <w:tc>
                <w:tcPr>
                  <w:tcW w:w="534" w:type="pct"/>
                  <w:vAlign w:val="center"/>
                </w:tcPr>
                <w:p>
                  <w:pPr>
                    <w:adjustRightInd w:val="0"/>
                    <w:snapToGrid w:val="0"/>
                    <w:jc w:val="center"/>
                    <w:rPr>
                      <w:color w:val="auto"/>
                      <w:sz w:val="18"/>
                      <w:szCs w:val="18"/>
                    </w:rPr>
                  </w:pPr>
                  <w:r>
                    <w:rPr>
                      <w:rFonts w:hint="eastAsia"/>
                      <w:color w:val="auto"/>
                      <w:sz w:val="18"/>
                      <w:szCs w:val="18"/>
                    </w:rPr>
                    <w:t>环卫清运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17</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color w:val="auto"/>
                      <w:sz w:val="18"/>
                      <w:szCs w:val="18"/>
                    </w:rPr>
                    <w:t>废活性炭</w:t>
                  </w:r>
                </w:p>
              </w:tc>
              <w:tc>
                <w:tcPr>
                  <w:tcW w:w="515" w:type="pct"/>
                  <w:vAlign w:val="center"/>
                </w:tcPr>
                <w:p>
                  <w:pPr>
                    <w:adjustRightInd w:val="0"/>
                    <w:snapToGrid w:val="0"/>
                    <w:jc w:val="center"/>
                    <w:rPr>
                      <w:color w:val="auto"/>
                      <w:sz w:val="18"/>
                      <w:szCs w:val="18"/>
                    </w:rPr>
                  </w:pPr>
                  <w:r>
                    <w:rPr>
                      <w:color w:val="auto"/>
                      <w:sz w:val="18"/>
                      <w:szCs w:val="18"/>
                    </w:rPr>
                    <w:t>S</w:t>
                  </w:r>
                  <w:r>
                    <w:rPr>
                      <w:rFonts w:hint="eastAsia"/>
                      <w:color w:val="auto"/>
                      <w:sz w:val="18"/>
                      <w:szCs w:val="18"/>
                    </w:rPr>
                    <w:t>5</w:t>
                  </w:r>
                </w:p>
              </w:tc>
              <w:tc>
                <w:tcPr>
                  <w:tcW w:w="694" w:type="pct"/>
                  <w:vMerge w:val="restart"/>
                  <w:vAlign w:val="center"/>
                </w:tcPr>
                <w:p>
                  <w:pPr>
                    <w:adjustRightInd w:val="0"/>
                    <w:snapToGrid w:val="0"/>
                    <w:jc w:val="center"/>
                    <w:rPr>
                      <w:color w:val="auto"/>
                      <w:sz w:val="18"/>
                      <w:szCs w:val="18"/>
                    </w:rPr>
                  </w:pPr>
                  <w:r>
                    <w:rPr>
                      <w:color w:val="auto"/>
                      <w:sz w:val="18"/>
                      <w:szCs w:val="18"/>
                    </w:rPr>
                    <w:t>危险废物</w:t>
                  </w:r>
                </w:p>
              </w:tc>
              <w:tc>
                <w:tcPr>
                  <w:tcW w:w="742" w:type="pct"/>
                  <w:vAlign w:val="center"/>
                </w:tcPr>
                <w:p>
                  <w:pPr>
                    <w:adjustRightInd w:val="0"/>
                    <w:snapToGrid w:val="0"/>
                    <w:jc w:val="center"/>
                    <w:rPr>
                      <w:bCs/>
                      <w:color w:val="auto"/>
                      <w:sz w:val="18"/>
                      <w:szCs w:val="18"/>
                    </w:rPr>
                  </w:pPr>
                  <w:r>
                    <w:rPr>
                      <w:color w:val="auto"/>
                      <w:sz w:val="18"/>
                      <w:szCs w:val="18"/>
                    </w:rPr>
                    <w:t>活性炭</w:t>
                  </w:r>
                </w:p>
              </w:tc>
              <w:tc>
                <w:tcPr>
                  <w:tcW w:w="605" w:type="pct"/>
                  <w:vAlign w:val="center"/>
                </w:tcPr>
                <w:p>
                  <w:pPr>
                    <w:adjustRightInd w:val="0"/>
                    <w:snapToGrid w:val="0"/>
                    <w:jc w:val="center"/>
                    <w:rPr>
                      <w:bCs/>
                      <w:color w:val="auto"/>
                      <w:sz w:val="18"/>
                      <w:szCs w:val="18"/>
                    </w:rPr>
                  </w:pPr>
                  <w:r>
                    <w:rPr>
                      <w:color w:val="auto"/>
                      <w:sz w:val="18"/>
                      <w:szCs w:val="18"/>
                    </w:rPr>
                    <w:t>废气处理</w:t>
                  </w:r>
                </w:p>
              </w:tc>
              <w:tc>
                <w:tcPr>
                  <w:tcW w:w="534" w:type="pct"/>
                  <w:vMerge w:val="restart"/>
                  <w:vAlign w:val="center"/>
                </w:tcPr>
                <w:p>
                  <w:pPr>
                    <w:adjustRightInd w:val="0"/>
                    <w:snapToGrid w:val="0"/>
                    <w:jc w:val="center"/>
                    <w:rPr>
                      <w:color w:val="auto"/>
                      <w:sz w:val="18"/>
                      <w:szCs w:val="18"/>
                    </w:rPr>
                  </w:pPr>
                  <w:r>
                    <w:rPr>
                      <w:rFonts w:hint="eastAsia"/>
                      <w:color w:val="auto"/>
                      <w:sz w:val="18"/>
                      <w:szCs w:val="18"/>
                    </w:rPr>
                    <w:t>暂存于危险固废库</w:t>
                  </w:r>
                </w:p>
              </w:tc>
              <w:tc>
                <w:tcPr>
                  <w:tcW w:w="534" w:type="pct"/>
                  <w:vMerge w:val="restart"/>
                  <w:vAlign w:val="center"/>
                </w:tcPr>
                <w:p>
                  <w:pPr>
                    <w:adjustRightInd w:val="0"/>
                    <w:snapToGrid w:val="0"/>
                    <w:jc w:val="center"/>
                    <w:rPr>
                      <w:color w:val="auto"/>
                      <w:sz w:val="18"/>
                      <w:szCs w:val="18"/>
                    </w:rPr>
                  </w:pPr>
                  <w:r>
                    <w:rPr>
                      <w:rFonts w:hint="eastAsia"/>
                      <w:color w:val="auto"/>
                      <w:sz w:val="18"/>
                      <w:szCs w:val="18"/>
                    </w:rPr>
                    <w:t>交由有资质单位处理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15" w:type="pct"/>
                  <w:vAlign w:val="center"/>
                </w:tcPr>
                <w:p>
                  <w:pPr>
                    <w:adjustRightInd w:val="0"/>
                    <w:snapToGrid w:val="0"/>
                    <w:jc w:val="center"/>
                    <w:rPr>
                      <w:color w:val="auto"/>
                      <w:sz w:val="18"/>
                      <w:szCs w:val="18"/>
                    </w:rPr>
                  </w:pPr>
                  <w:r>
                    <w:rPr>
                      <w:rFonts w:hint="eastAsia"/>
                      <w:color w:val="auto"/>
                      <w:sz w:val="18"/>
                      <w:szCs w:val="18"/>
                    </w:rPr>
                    <w:t>18</w:t>
                  </w:r>
                </w:p>
              </w:tc>
              <w:tc>
                <w:tcPr>
                  <w:tcW w:w="338" w:type="pct"/>
                  <w:vMerge w:val="continue"/>
                  <w:vAlign w:val="center"/>
                </w:tcPr>
                <w:p>
                  <w:pPr>
                    <w:adjustRightInd w:val="0"/>
                    <w:snapToGrid w:val="0"/>
                    <w:jc w:val="center"/>
                    <w:rPr>
                      <w:color w:val="auto"/>
                      <w:sz w:val="18"/>
                      <w:szCs w:val="18"/>
                    </w:rPr>
                  </w:pPr>
                </w:p>
              </w:tc>
              <w:tc>
                <w:tcPr>
                  <w:tcW w:w="719" w:type="pct"/>
                  <w:vAlign w:val="center"/>
                </w:tcPr>
                <w:p>
                  <w:pPr>
                    <w:adjustRightInd w:val="0"/>
                    <w:snapToGrid w:val="0"/>
                    <w:jc w:val="center"/>
                    <w:rPr>
                      <w:color w:val="auto"/>
                      <w:sz w:val="18"/>
                      <w:szCs w:val="18"/>
                    </w:rPr>
                  </w:pPr>
                  <w:r>
                    <w:rPr>
                      <w:rFonts w:hint="eastAsia"/>
                      <w:color w:val="auto"/>
                      <w:sz w:val="18"/>
                      <w:szCs w:val="18"/>
                    </w:rPr>
                    <w:t>废包装桶</w:t>
                  </w:r>
                </w:p>
              </w:tc>
              <w:tc>
                <w:tcPr>
                  <w:tcW w:w="515" w:type="pct"/>
                  <w:vAlign w:val="center"/>
                </w:tcPr>
                <w:p>
                  <w:pPr>
                    <w:adjustRightInd w:val="0"/>
                    <w:snapToGrid w:val="0"/>
                    <w:jc w:val="center"/>
                    <w:rPr>
                      <w:color w:val="auto"/>
                      <w:sz w:val="18"/>
                      <w:szCs w:val="18"/>
                    </w:rPr>
                  </w:pPr>
                  <w:r>
                    <w:rPr>
                      <w:rFonts w:hint="eastAsia"/>
                      <w:color w:val="auto"/>
                      <w:sz w:val="18"/>
                      <w:szCs w:val="18"/>
                    </w:rPr>
                    <w:t>S6</w:t>
                  </w:r>
                </w:p>
              </w:tc>
              <w:tc>
                <w:tcPr>
                  <w:tcW w:w="694" w:type="pct"/>
                  <w:vMerge w:val="continue"/>
                  <w:vAlign w:val="center"/>
                </w:tcPr>
                <w:p>
                  <w:pPr>
                    <w:adjustRightInd w:val="0"/>
                    <w:snapToGrid w:val="0"/>
                    <w:jc w:val="center"/>
                    <w:rPr>
                      <w:color w:val="auto"/>
                      <w:sz w:val="18"/>
                      <w:szCs w:val="18"/>
                    </w:rPr>
                  </w:pPr>
                </w:p>
              </w:tc>
              <w:tc>
                <w:tcPr>
                  <w:tcW w:w="742" w:type="pct"/>
                  <w:vAlign w:val="center"/>
                </w:tcPr>
                <w:p>
                  <w:pPr>
                    <w:adjustRightInd w:val="0"/>
                    <w:snapToGrid w:val="0"/>
                    <w:jc w:val="center"/>
                    <w:rPr>
                      <w:bCs/>
                      <w:color w:val="auto"/>
                      <w:sz w:val="18"/>
                      <w:szCs w:val="18"/>
                    </w:rPr>
                  </w:pPr>
                  <w:r>
                    <w:rPr>
                      <w:rFonts w:hint="eastAsia"/>
                      <w:bCs/>
                      <w:color w:val="auto"/>
                      <w:sz w:val="18"/>
                      <w:szCs w:val="18"/>
                    </w:rPr>
                    <w:t>硫化剂的包装</w:t>
                  </w:r>
                </w:p>
              </w:tc>
              <w:tc>
                <w:tcPr>
                  <w:tcW w:w="605" w:type="pct"/>
                  <w:vAlign w:val="center"/>
                </w:tcPr>
                <w:p>
                  <w:pPr>
                    <w:adjustRightInd w:val="0"/>
                    <w:snapToGrid w:val="0"/>
                    <w:jc w:val="center"/>
                    <w:rPr>
                      <w:bCs/>
                      <w:color w:val="auto"/>
                      <w:sz w:val="18"/>
                      <w:szCs w:val="18"/>
                    </w:rPr>
                  </w:pPr>
                  <w:r>
                    <w:rPr>
                      <w:rFonts w:hint="eastAsia"/>
                      <w:bCs/>
                      <w:color w:val="auto"/>
                      <w:sz w:val="18"/>
                      <w:szCs w:val="18"/>
                    </w:rPr>
                    <w:t>包装</w:t>
                  </w:r>
                </w:p>
              </w:tc>
              <w:tc>
                <w:tcPr>
                  <w:tcW w:w="534" w:type="pct"/>
                  <w:vMerge w:val="continue"/>
                  <w:vAlign w:val="center"/>
                </w:tcPr>
                <w:p>
                  <w:pPr>
                    <w:adjustRightInd w:val="0"/>
                    <w:snapToGrid w:val="0"/>
                    <w:jc w:val="center"/>
                    <w:rPr>
                      <w:color w:val="auto"/>
                      <w:sz w:val="18"/>
                      <w:szCs w:val="18"/>
                    </w:rPr>
                  </w:pPr>
                </w:p>
              </w:tc>
              <w:tc>
                <w:tcPr>
                  <w:tcW w:w="534" w:type="pct"/>
                  <w:vMerge w:val="continue"/>
                  <w:vAlign w:val="center"/>
                </w:tcPr>
                <w:p>
                  <w:pPr>
                    <w:adjustRightInd w:val="0"/>
                    <w:snapToGrid w:val="0"/>
                    <w:jc w:val="center"/>
                    <w:rPr>
                      <w:color w:val="auto"/>
                      <w:sz w:val="18"/>
                      <w:szCs w:val="18"/>
                    </w:rPr>
                  </w:pPr>
                </w:p>
              </w:tc>
            </w:tr>
          </w:tbl>
          <w:p>
            <w:pPr>
              <w:spacing w:line="360" w:lineRule="auto"/>
              <w:rPr>
                <w:b/>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684" w:hRule="atLeast"/>
        </w:trPr>
        <w:tc>
          <w:tcPr>
            <w:tcW w:w="431" w:type="dxa"/>
            <w:tcBorders>
              <w:top w:val="single" w:color="auto" w:sz="4" w:space="0"/>
              <w:left w:val="single" w:color="auto" w:sz="4" w:space="0"/>
              <w:bottom w:val="single" w:color="auto" w:sz="4" w:space="0"/>
            </w:tcBorders>
            <w:vAlign w:val="center"/>
          </w:tcPr>
          <w:p>
            <w:pPr>
              <w:adjustRightInd w:val="0"/>
              <w:snapToGrid w:val="0"/>
              <w:jc w:val="center"/>
              <w:rPr>
                <w:color w:val="auto"/>
                <w:szCs w:val="21"/>
              </w:rPr>
            </w:pPr>
            <w:r>
              <w:rPr>
                <w:bCs/>
                <w:color w:val="auto"/>
                <w:szCs w:val="21"/>
              </w:rPr>
              <w:t>与项目有关的原有环境污染问题</w:t>
            </w:r>
          </w:p>
        </w:tc>
        <w:tc>
          <w:tcPr>
            <w:tcW w:w="9531" w:type="dxa"/>
            <w:tcBorders>
              <w:top w:val="single" w:color="auto" w:sz="4" w:space="0"/>
              <w:bottom w:val="single" w:color="auto" w:sz="4" w:space="0"/>
              <w:right w:val="single" w:color="auto" w:sz="4" w:space="0"/>
            </w:tcBorders>
          </w:tcPr>
          <w:p>
            <w:pPr>
              <w:adjustRightInd w:val="0"/>
              <w:snapToGrid w:val="0"/>
              <w:spacing w:line="360" w:lineRule="auto"/>
              <w:ind w:firstLine="422" w:firstLineChars="200"/>
              <w:rPr>
                <w:b/>
                <w:color w:val="auto"/>
                <w:szCs w:val="21"/>
              </w:rPr>
            </w:pPr>
            <w:r>
              <w:rPr>
                <w:b/>
                <w:color w:val="auto"/>
                <w:szCs w:val="21"/>
              </w:rPr>
              <w:t>一、现有项目概况</w:t>
            </w:r>
          </w:p>
          <w:p>
            <w:pPr>
              <w:adjustRightInd w:val="0"/>
              <w:snapToGrid w:val="0"/>
              <w:spacing w:line="360" w:lineRule="auto"/>
              <w:ind w:firstLine="384" w:firstLineChars="200"/>
              <w:rPr>
                <w:color w:val="auto"/>
                <w:spacing w:val="-9"/>
                <w:szCs w:val="21"/>
              </w:rPr>
            </w:pPr>
            <w:r>
              <w:rPr>
                <w:rFonts w:hint="eastAsia"/>
                <w:color w:val="auto"/>
                <w:spacing w:val="-9"/>
                <w:szCs w:val="21"/>
              </w:rPr>
              <w:t>1、现有项目基本情况</w:t>
            </w:r>
          </w:p>
          <w:p>
            <w:pPr>
              <w:adjustRightInd w:val="0"/>
              <w:snapToGrid w:val="0"/>
              <w:spacing w:line="360" w:lineRule="auto"/>
              <w:ind w:firstLine="384" w:firstLineChars="200"/>
              <w:rPr>
                <w:color w:val="auto"/>
              </w:rPr>
            </w:pPr>
            <w:r>
              <w:rPr>
                <w:color w:val="auto"/>
                <w:spacing w:val="-9"/>
                <w:szCs w:val="21"/>
              </w:rPr>
              <w:t>苏州路似达橡胶有限公司</w:t>
            </w:r>
            <w:r>
              <w:rPr>
                <w:rFonts w:hint="eastAsia"/>
                <w:color w:val="auto"/>
                <w:spacing w:val="-9"/>
                <w:szCs w:val="21"/>
              </w:rPr>
              <w:t>原厂址位于太仓港经济开发区兴业南路11号</w:t>
            </w:r>
            <w:r>
              <w:rPr>
                <w:rFonts w:hint="eastAsia"/>
                <w:color w:val="auto"/>
              </w:rPr>
              <w:t>，主要从事橡塑和塑料制品的生产、加工。</w:t>
            </w:r>
          </w:p>
          <w:p>
            <w:pPr>
              <w:adjustRightInd w:val="0"/>
              <w:snapToGrid w:val="0"/>
              <w:spacing w:line="360" w:lineRule="auto"/>
              <w:ind w:firstLine="420" w:firstLineChars="200"/>
              <w:rPr>
                <w:color w:val="auto"/>
                <w:szCs w:val="21"/>
              </w:rPr>
            </w:pPr>
            <w:r>
              <w:rPr>
                <w:color w:val="auto"/>
                <w:szCs w:val="21"/>
              </w:rPr>
              <w:t>苏州路似达橡胶有限公司现有项目环保手续履行情况见表2</w:t>
            </w:r>
            <w:r>
              <w:rPr>
                <w:rFonts w:hint="eastAsia"/>
                <w:color w:val="auto"/>
                <w:szCs w:val="21"/>
              </w:rPr>
              <w:t>-</w:t>
            </w:r>
            <w:r>
              <w:rPr>
                <w:color w:val="auto"/>
                <w:szCs w:val="21"/>
              </w:rPr>
              <w:t>8。</w:t>
            </w:r>
          </w:p>
          <w:p>
            <w:pPr>
              <w:adjustRightInd w:val="0"/>
              <w:snapToGrid w:val="0"/>
              <w:jc w:val="center"/>
              <w:rPr>
                <w:b/>
                <w:snapToGrid w:val="0"/>
                <w:color w:val="auto"/>
                <w:kern w:val="0"/>
                <w:szCs w:val="21"/>
              </w:rPr>
            </w:pPr>
            <w:r>
              <w:rPr>
                <w:b/>
                <w:snapToGrid w:val="0"/>
                <w:color w:val="auto"/>
                <w:kern w:val="0"/>
                <w:szCs w:val="21"/>
              </w:rPr>
              <w:t>表2</w:t>
            </w:r>
            <w:r>
              <w:rPr>
                <w:rFonts w:hint="eastAsia"/>
                <w:b/>
                <w:snapToGrid w:val="0"/>
                <w:color w:val="auto"/>
                <w:kern w:val="0"/>
                <w:szCs w:val="21"/>
              </w:rPr>
              <w:t>-</w:t>
            </w:r>
            <w:r>
              <w:rPr>
                <w:b/>
                <w:snapToGrid w:val="0"/>
                <w:color w:val="auto"/>
                <w:kern w:val="0"/>
                <w:szCs w:val="21"/>
              </w:rPr>
              <w:t xml:space="preserve">8  </w:t>
            </w:r>
            <w:r>
              <w:rPr>
                <w:rFonts w:hint="eastAsia"/>
                <w:b/>
                <w:snapToGrid w:val="0"/>
                <w:color w:val="auto"/>
                <w:kern w:val="0"/>
                <w:szCs w:val="21"/>
              </w:rPr>
              <w:t>苏州路似达橡胶有限公司</w:t>
            </w:r>
            <w:r>
              <w:rPr>
                <w:b/>
                <w:snapToGrid w:val="0"/>
                <w:color w:val="auto"/>
                <w:kern w:val="0"/>
                <w:szCs w:val="21"/>
              </w:rPr>
              <w:t>产品规模及审批情况一览表</w:t>
            </w:r>
          </w:p>
          <w:tbl>
            <w:tblPr>
              <w:tblStyle w:val="38"/>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108"/>
              <w:gridCol w:w="1929"/>
              <w:gridCol w:w="1432"/>
              <w:gridCol w:w="711"/>
              <w:gridCol w:w="1313"/>
              <w:gridCol w:w="711"/>
              <w:gridCol w:w="89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08" w:type="dxa"/>
                  <w:vAlign w:val="center"/>
                </w:tcPr>
                <w:p>
                  <w:pPr>
                    <w:jc w:val="center"/>
                    <w:rPr>
                      <w:b/>
                      <w:bCs/>
                      <w:color w:val="auto"/>
                      <w:sz w:val="18"/>
                      <w:szCs w:val="18"/>
                    </w:rPr>
                  </w:pPr>
                  <w:r>
                    <w:rPr>
                      <w:rFonts w:hint="eastAsia"/>
                      <w:b/>
                      <w:bCs/>
                      <w:color w:val="auto"/>
                      <w:sz w:val="18"/>
                      <w:szCs w:val="18"/>
                    </w:rPr>
                    <w:t>项目名称</w:t>
                  </w:r>
                </w:p>
              </w:tc>
              <w:tc>
                <w:tcPr>
                  <w:tcW w:w="1929" w:type="dxa"/>
                  <w:vAlign w:val="center"/>
                </w:tcPr>
                <w:p>
                  <w:pPr>
                    <w:jc w:val="center"/>
                    <w:rPr>
                      <w:b/>
                      <w:bCs/>
                      <w:color w:val="auto"/>
                      <w:sz w:val="18"/>
                      <w:szCs w:val="18"/>
                    </w:rPr>
                  </w:pPr>
                  <w:r>
                    <w:rPr>
                      <w:rFonts w:hint="eastAsia"/>
                      <w:b/>
                      <w:bCs/>
                      <w:color w:val="auto"/>
                      <w:sz w:val="18"/>
                      <w:szCs w:val="18"/>
                    </w:rPr>
                    <w:t>产品名称及规格</w:t>
                  </w:r>
                </w:p>
              </w:tc>
              <w:tc>
                <w:tcPr>
                  <w:tcW w:w="1432" w:type="dxa"/>
                  <w:vAlign w:val="center"/>
                </w:tcPr>
                <w:p>
                  <w:pPr>
                    <w:jc w:val="center"/>
                    <w:rPr>
                      <w:b/>
                      <w:bCs/>
                      <w:color w:val="auto"/>
                      <w:sz w:val="18"/>
                      <w:szCs w:val="18"/>
                    </w:rPr>
                  </w:pPr>
                  <w:r>
                    <w:rPr>
                      <w:rFonts w:hint="eastAsia"/>
                      <w:b/>
                      <w:bCs/>
                      <w:color w:val="auto"/>
                      <w:sz w:val="18"/>
                      <w:szCs w:val="18"/>
                    </w:rPr>
                    <w:t>环境影响评价审批文号及审批时间</w:t>
                  </w:r>
                </w:p>
              </w:tc>
              <w:tc>
                <w:tcPr>
                  <w:tcW w:w="711" w:type="dxa"/>
                  <w:vAlign w:val="center"/>
                </w:tcPr>
                <w:p>
                  <w:pPr>
                    <w:jc w:val="center"/>
                    <w:rPr>
                      <w:b/>
                      <w:bCs/>
                      <w:color w:val="auto"/>
                      <w:sz w:val="18"/>
                      <w:szCs w:val="18"/>
                    </w:rPr>
                  </w:pPr>
                  <w:r>
                    <w:rPr>
                      <w:b/>
                      <w:bCs/>
                      <w:color w:val="auto"/>
                      <w:sz w:val="18"/>
                      <w:szCs w:val="18"/>
                    </w:rPr>
                    <w:t>审批部门</w:t>
                  </w:r>
                </w:p>
              </w:tc>
              <w:tc>
                <w:tcPr>
                  <w:tcW w:w="1313" w:type="dxa"/>
                  <w:vAlign w:val="center"/>
                </w:tcPr>
                <w:p>
                  <w:pPr>
                    <w:jc w:val="center"/>
                    <w:rPr>
                      <w:b/>
                      <w:bCs/>
                      <w:color w:val="auto"/>
                      <w:sz w:val="18"/>
                      <w:szCs w:val="18"/>
                    </w:rPr>
                  </w:pPr>
                  <w:r>
                    <w:rPr>
                      <w:rFonts w:hint="eastAsia"/>
                      <w:b/>
                      <w:bCs/>
                      <w:color w:val="auto"/>
                      <w:sz w:val="18"/>
                      <w:szCs w:val="18"/>
                    </w:rPr>
                    <w:t>“三同时”环保验收文号及通过时间</w:t>
                  </w:r>
                </w:p>
              </w:tc>
              <w:tc>
                <w:tcPr>
                  <w:tcW w:w="711" w:type="dxa"/>
                  <w:vAlign w:val="center"/>
                </w:tcPr>
                <w:p>
                  <w:pPr>
                    <w:jc w:val="center"/>
                    <w:rPr>
                      <w:b/>
                      <w:bCs/>
                      <w:color w:val="auto"/>
                      <w:sz w:val="18"/>
                      <w:szCs w:val="18"/>
                    </w:rPr>
                  </w:pPr>
                  <w:r>
                    <w:rPr>
                      <w:rFonts w:hint="eastAsia"/>
                      <w:b/>
                      <w:bCs/>
                      <w:color w:val="auto"/>
                      <w:sz w:val="18"/>
                      <w:szCs w:val="18"/>
                    </w:rPr>
                    <w:t>验收部门</w:t>
                  </w:r>
                </w:p>
              </w:tc>
              <w:tc>
                <w:tcPr>
                  <w:tcW w:w="890" w:type="dxa"/>
                  <w:vAlign w:val="center"/>
                </w:tcPr>
                <w:p>
                  <w:pPr>
                    <w:jc w:val="center"/>
                    <w:rPr>
                      <w:b/>
                      <w:bCs/>
                      <w:color w:val="auto"/>
                      <w:sz w:val="18"/>
                      <w:szCs w:val="18"/>
                    </w:rPr>
                  </w:pPr>
                  <w:r>
                    <w:rPr>
                      <w:rFonts w:hint="eastAsia"/>
                      <w:b/>
                      <w:bCs/>
                      <w:color w:val="auto"/>
                      <w:sz w:val="18"/>
                      <w:szCs w:val="18"/>
                    </w:rPr>
                    <w:t>实际建设情况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08" w:type="dxa"/>
                  <w:vAlign w:val="center"/>
                </w:tcPr>
                <w:p>
                  <w:pPr>
                    <w:jc w:val="center"/>
                    <w:rPr>
                      <w:color w:val="auto"/>
                      <w:sz w:val="18"/>
                      <w:szCs w:val="18"/>
                    </w:rPr>
                  </w:pPr>
                  <w:r>
                    <w:rPr>
                      <w:rFonts w:hint="eastAsia"/>
                      <w:color w:val="auto"/>
                      <w:sz w:val="18"/>
                      <w:szCs w:val="18"/>
                    </w:rPr>
                    <w:t>年产密封件30吨、密封垫20吨、O型圈10吨、胶管20吨、塑料件30吨新建项目</w:t>
                  </w:r>
                </w:p>
              </w:tc>
              <w:tc>
                <w:tcPr>
                  <w:tcW w:w="1929" w:type="dxa"/>
                  <w:vMerge w:val="restart"/>
                  <w:vAlign w:val="center"/>
                </w:tcPr>
                <w:p>
                  <w:pPr>
                    <w:jc w:val="center"/>
                    <w:rPr>
                      <w:color w:val="auto"/>
                      <w:sz w:val="18"/>
                      <w:szCs w:val="18"/>
                    </w:rPr>
                  </w:pPr>
                  <w:r>
                    <w:rPr>
                      <w:rFonts w:hint="eastAsia"/>
                      <w:color w:val="auto"/>
                      <w:sz w:val="18"/>
                      <w:szCs w:val="18"/>
                    </w:rPr>
                    <w:t>年产密封件30吨、密封垫20吨、O型圈10吨、胶管20吨、塑料件30吨</w:t>
                  </w:r>
                </w:p>
              </w:tc>
              <w:tc>
                <w:tcPr>
                  <w:tcW w:w="1432" w:type="dxa"/>
                  <w:vAlign w:val="center"/>
                </w:tcPr>
                <w:p>
                  <w:pPr>
                    <w:jc w:val="center"/>
                    <w:rPr>
                      <w:color w:val="auto"/>
                      <w:sz w:val="18"/>
                      <w:szCs w:val="18"/>
                    </w:rPr>
                  </w:pPr>
                  <w:r>
                    <w:rPr>
                      <w:rFonts w:hint="eastAsia"/>
                      <w:color w:val="auto"/>
                      <w:sz w:val="18"/>
                      <w:szCs w:val="18"/>
                    </w:rPr>
                    <w:t>太环建〔2013〕16号；</w:t>
                  </w:r>
                </w:p>
                <w:p>
                  <w:pPr>
                    <w:jc w:val="center"/>
                    <w:rPr>
                      <w:color w:val="auto"/>
                      <w:sz w:val="18"/>
                      <w:szCs w:val="18"/>
                    </w:rPr>
                  </w:pPr>
                  <w:r>
                    <w:rPr>
                      <w:rFonts w:hint="eastAsia"/>
                      <w:color w:val="auto"/>
                      <w:sz w:val="18"/>
                      <w:szCs w:val="18"/>
                    </w:rPr>
                    <w:t>2</w:t>
                  </w:r>
                  <w:r>
                    <w:rPr>
                      <w:color w:val="auto"/>
                      <w:sz w:val="18"/>
                      <w:szCs w:val="18"/>
                    </w:rPr>
                    <w:t>013</w:t>
                  </w:r>
                  <w:r>
                    <w:rPr>
                      <w:rFonts w:hint="eastAsia"/>
                      <w:color w:val="auto"/>
                      <w:sz w:val="18"/>
                      <w:szCs w:val="18"/>
                    </w:rPr>
                    <w:t>年</w:t>
                  </w:r>
                  <w:r>
                    <w:rPr>
                      <w:color w:val="auto"/>
                      <w:sz w:val="18"/>
                      <w:szCs w:val="18"/>
                    </w:rPr>
                    <w:t>1</w:t>
                  </w:r>
                  <w:r>
                    <w:rPr>
                      <w:rFonts w:hint="eastAsia"/>
                      <w:color w:val="auto"/>
                      <w:sz w:val="18"/>
                      <w:szCs w:val="18"/>
                    </w:rPr>
                    <w:t>月</w:t>
                  </w:r>
                  <w:r>
                    <w:rPr>
                      <w:color w:val="auto"/>
                      <w:sz w:val="18"/>
                      <w:szCs w:val="18"/>
                    </w:rPr>
                    <w:t>13</w:t>
                  </w:r>
                  <w:r>
                    <w:rPr>
                      <w:rFonts w:hint="eastAsia"/>
                      <w:color w:val="auto"/>
                      <w:sz w:val="18"/>
                      <w:szCs w:val="18"/>
                    </w:rPr>
                    <w:t>日</w:t>
                  </w:r>
                </w:p>
              </w:tc>
              <w:tc>
                <w:tcPr>
                  <w:tcW w:w="711" w:type="dxa"/>
                  <w:vAlign w:val="center"/>
                </w:tcPr>
                <w:p>
                  <w:pPr>
                    <w:jc w:val="center"/>
                    <w:rPr>
                      <w:color w:val="auto"/>
                      <w:sz w:val="18"/>
                      <w:szCs w:val="18"/>
                    </w:rPr>
                  </w:pPr>
                  <w:r>
                    <w:rPr>
                      <w:rFonts w:hint="eastAsia"/>
                      <w:color w:val="auto"/>
                      <w:sz w:val="18"/>
                      <w:szCs w:val="18"/>
                    </w:rPr>
                    <w:t>太仓市环境保护局</w:t>
                  </w:r>
                </w:p>
              </w:tc>
              <w:tc>
                <w:tcPr>
                  <w:tcW w:w="1313" w:type="dxa"/>
                  <w:vMerge w:val="restart"/>
                  <w:vAlign w:val="center"/>
                </w:tcPr>
                <w:p>
                  <w:pPr>
                    <w:jc w:val="center"/>
                    <w:rPr>
                      <w:color w:val="auto"/>
                      <w:sz w:val="18"/>
                      <w:szCs w:val="18"/>
                    </w:rPr>
                  </w:pPr>
                  <w:r>
                    <w:rPr>
                      <w:rFonts w:hint="eastAsia"/>
                      <w:color w:val="auto"/>
                      <w:sz w:val="18"/>
                      <w:szCs w:val="18"/>
                    </w:rPr>
                    <w:t>太环建验[</w:t>
                  </w:r>
                  <w:r>
                    <w:rPr>
                      <w:color w:val="auto"/>
                      <w:sz w:val="18"/>
                      <w:szCs w:val="18"/>
                    </w:rPr>
                    <w:t>2017]</w:t>
                  </w:r>
                </w:p>
                <w:p>
                  <w:pPr>
                    <w:jc w:val="center"/>
                    <w:rPr>
                      <w:color w:val="auto"/>
                      <w:sz w:val="18"/>
                      <w:szCs w:val="18"/>
                    </w:rPr>
                  </w:pPr>
                  <w:r>
                    <w:rPr>
                      <w:color w:val="auto"/>
                      <w:sz w:val="18"/>
                      <w:szCs w:val="18"/>
                    </w:rPr>
                    <w:t>299</w:t>
                  </w:r>
                  <w:r>
                    <w:rPr>
                      <w:rFonts w:hint="eastAsia"/>
                      <w:color w:val="auto"/>
                      <w:sz w:val="18"/>
                      <w:szCs w:val="18"/>
                    </w:rPr>
                    <w:t>号；</w:t>
                  </w:r>
                </w:p>
                <w:p>
                  <w:pPr>
                    <w:jc w:val="center"/>
                    <w:rPr>
                      <w:color w:val="auto"/>
                      <w:sz w:val="18"/>
                      <w:szCs w:val="18"/>
                    </w:rPr>
                  </w:pPr>
                  <w:r>
                    <w:rPr>
                      <w:rFonts w:hint="eastAsia"/>
                      <w:color w:val="auto"/>
                      <w:sz w:val="18"/>
                      <w:szCs w:val="18"/>
                    </w:rPr>
                    <w:t>2</w:t>
                  </w:r>
                  <w:r>
                    <w:rPr>
                      <w:color w:val="auto"/>
                      <w:sz w:val="18"/>
                      <w:szCs w:val="18"/>
                    </w:rPr>
                    <w:t>017</w:t>
                  </w:r>
                  <w:r>
                    <w:rPr>
                      <w:rFonts w:hint="eastAsia"/>
                      <w:color w:val="auto"/>
                      <w:sz w:val="18"/>
                      <w:szCs w:val="18"/>
                    </w:rPr>
                    <w:t>年9月</w:t>
                  </w:r>
                </w:p>
                <w:p>
                  <w:pPr>
                    <w:jc w:val="center"/>
                    <w:rPr>
                      <w:color w:val="auto"/>
                      <w:sz w:val="18"/>
                      <w:szCs w:val="18"/>
                    </w:rPr>
                  </w:pPr>
                  <w:r>
                    <w:rPr>
                      <w:color w:val="auto"/>
                      <w:sz w:val="18"/>
                      <w:szCs w:val="18"/>
                    </w:rPr>
                    <w:t>2</w:t>
                  </w:r>
                  <w:r>
                    <w:rPr>
                      <w:rFonts w:hint="eastAsia"/>
                      <w:color w:val="auto"/>
                      <w:sz w:val="18"/>
                      <w:szCs w:val="18"/>
                    </w:rPr>
                    <w:t>1日</w:t>
                  </w:r>
                </w:p>
              </w:tc>
              <w:tc>
                <w:tcPr>
                  <w:tcW w:w="711" w:type="dxa"/>
                  <w:vMerge w:val="restart"/>
                  <w:vAlign w:val="center"/>
                </w:tcPr>
                <w:p>
                  <w:pPr>
                    <w:jc w:val="center"/>
                    <w:rPr>
                      <w:color w:val="auto"/>
                      <w:sz w:val="18"/>
                      <w:szCs w:val="18"/>
                    </w:rPr>
                  </w:pPr>
                  <w:r>
                    <w:rPr>
                      <w:rFonts w:hint="eastAsia"/>
                      <w:color w:val="auto"/>
                      <w:sz w:val="18"/>
                      <w:szCs w:val="18"/>
                    </w:rPr>
                    <w:t>太仓市环境保护局</w:t>
                  </w:r>
                </w:p>
              </w:tc>
              <w:tc>
                <w:tcPr>
                  <w:tcW w:w="890" w:type="dxa"/>
                  <w:vMerge w:val="restart"/>
                  <w:vAlign w:val="center"/>
                </w:tcPr>
                <w:p>
                  <w:pPr>
                    <w:jc w:val="center"/>
                    <w:rPr>
                      <w:color w:val="auto"/>
                      <w:sz w:val="18"/>
                      <w:szCs w:val="18"/>
                    </w:rPr>
                  </w:pPr>
                  <w:r>
                    <w:rPr>
                      <w:rFonts w:hint="eastAsia"/>
                      <w:color w:val="auto"/>
                      <w:sz w:val="18"/>
                      <w:szCs w:val="18"/>
                    </w:rPr>
                    <w:t>部分投产，阶段验收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108" w:type="dxa"/>
                  <w:vAlign w:val="center"/>
                </w:tcPr>
                <w:p>
                  <w:pPr>
                    <w:jc w:val="center"/>
                    <w:rPr>
                      <w:color w:val="auto"/>
                      <w:sz w:val="18"/>
                      <w:szCs w:val="18"/>
                    </w:rPr>
                  </w:pPr>
                  <w:r>
                    <w:rPr>
                      <w:rFonts w:hint="eastAsia"/>
                      <w:color w:val="auto"/>
                      <w:sz w:val="18"/>
                      <w:szCs w:val="18"/>
                    </w:rPr>
                    <w:t>苏州瑞拓橡塑科技有限公司更名为苏州路似达橡胶有限公司项目</w:t>
                  </w:r>
                </w:p>
              </w:tc>
              <w:tc>
                <w:tcPr>
                  <w:tcW w:w="1929" w:type="dxa"/>
                  <w:vMerge w:val="continue"/>
                  <w:vAlign w:val="center"/>
                </w:tcPr>
                <w:p>
                  <w:pPr>
                    <w:jc w:val="center"/>
                    <w:rPr>
                      <w:color w:val="auto"/>
                      <w:sz w:val="18"/>
                      <w:szCs w:val="18"/>
                    </w:rPr>
                  </w:pPr>
                </w:p>
              </w:tc>
              <w:tc>
                <w:tcPr>
                  <w:tcW w:w="1432" w:type="dxa"/>
                  <w:vAlign w:val="center"/>
                </w:tcPr>
                <w:p>
                  <w:pPr>
                    <w:jc w:val="center"/>
                    <w:rPr>
                      <w:color w:val="auto"/>
                      <w:sz w:val="18"/>
                      <w:szCs w:val="18"/>
                    </w:rPr>
                  </w:pPr>
                  <w:r>
                    <w:rPr>
                      <w:rFonts w:hint="eastAsia"/>
                      <w:color w:val="auto"/>
                      <w:sz w:val="18"/>
                      <w:szCs w:val="18"/>
                    </w:rPr>
                    <w:t>太环建〔2016〕2号；</w:t>
                  </w:r>
                </w:p>
                <w:p>
                  <w:pPr>
                    <w:jc w:val="center"/>
                    <w:rPr>
                      <w:color w:val="auto"/>
                      <w:sz w:val="18"/>
                      <w:szCs w:val="18"/>
                    </w:rPr>
                  </w:pPr>
                  <w:r>
                    <w:rPr>
                      <w:rFonts w:hint="eastAsia"/>
                      <w:color w:val="auto"/>
                      <w:sz w:val="18"/>
                      <w:szCs w:val="18"/>
                    </w:rPr>
                    <w:t>2</w:t>
                  </w:r>
                  <w:r>
                    <w:rPr>
                      <w:color w:val="auto"/>
                      <w:sz w:val="18"/>
                      <w:szCs w:val="18"/>
                    </w:rPr>
                    <w:t>016</w:t>
                  </w:r>
                  <w:r>
                    <w:rPr>
                      <w:rFonts w:hint="eastAsia"/>
                      <w:color w:val="auto"/>
                      <w:sz w:val="18"/>
                      <w:szCs w:val="18"/>
                    </w:rPr>
                    <w:t>年</w:t>
                  </w:r>
                  <w:r>
                    <w:rPr>
                      <w:color w:val="auto"/>
                      <w:sz w:val="18"/>
                      <w:szCs w:val="18"/>
                    </w:rPr>
                    <w:t>1</w:t>
                  </w:r>
                  <w:r>
                    <w:rPr>
                      <w:rFonts w:hint="eastAsia"/>
                      <w:color w:val="auto"/>
                      <w:sz w:val="18"/>
                      <w:szCs w:val="18"/>
                    </w:rPr>
                    <w:t>月</w:t>
                  </w:r>
                </w:p>
                <w:p>
                  <w:pPr>
                    <w:jc w:val="center"/>
                    <w:rPr>
                      <w:color w:val="auto"/>
                      <w:sz w:val="18"/>
                      <w:szCs w:val="18"/>
                    </w:rPr>
                  </w:pPr>
                  <w:r>
                    <w:rPr>
                      <w:color w:val="auto"/>
                      <w:sz w:val="18"/>
                      <w:szCs w:val="18"/>
                    </w:rPr>
                    <w:t>7</w:t>
                  </w:r>
                  <w:r>
                    <w:rPr>
                      <w:rFonts w:hint="eastAsia"/>
                      <w:color w:val="auto"/>
                      <w:sz w:val="18"/>
                      <w:szCs w:val="18"/>
                    </w:rPr>
                    <w:t>日</w:t>
                  </w:r>
                </w:p>
              </w:tc>
              <w:tc>
                <w:tcPr>
                  <w:tcW w:w="711" w:type="dxa"/>
                  <w:vAlign w:val="center"/>
                </w:tcPr>
                <w:p>
                  <w:pPr>
                    <w:jc w:val="center"/>
                    <w:rPr>
                      <w:color w:val="auto"/>
                      <w:sz w:val="18"/>
                      <w:szCs w:val="18"/>
                    </w:rPr>
                  </w:pPr>
                  <w:r>
                    <w:rPr>
                      <w:rFonts w:hint="eastAsia"/>
                      <w:color w:val="auto"/>
                      <w:sz w:val="18"/>
                      <w:szCs w:val="18"/>
                    </w:rPr>
                    <w:t>太仓市环境保护局</w:t>
                  </w:r>
                </w:p>
              </w:tc>
              <w:tc>
                <w:tcPr>
                  <w:tcW w:w="1313" w:type="dxa"/>
                  <w:vMerge w:val="continue"/>
                  <w:vAlign w:val="center"/>
                </w:tcPr>
                <w:p>
                  <w:pPr>
                    <w:jc w:val="center"/>
                    <w:rPr>
                      <w:color w:val="auto"/>
                      <w:sz w:val="18"/>
                      <w:szCs w:val="18"/>
                    </w:rPr>
                  </w:pPr>
                </w:p>
              </w:tc>
              <w:tc>
                <w:tcPr>
                  <w:tcW w:w="711" w:type="dxa"/>
                  <w:vMerge w:val="continue"/>
                  <w:vAlign w:val="center"/>
                </w:tcPr>
                <w:p>
                  <w:pPr>
                    <w:jc w:val="center"/>
                    <w:rPr>
                      <w:color w:val="auto"/>
                      <w:sz w:val="18"/>
                      <w:szCs w:val="18"/>
                    </w:rPr>
                  </w:pPr>
                </w:p>
              </w:tc>
              <w:tc>
                <w:tcPr>
                  <w:tcW w:w="890" w:type="dxa"/>
                  <w:vMerge w:val="continue"/>
                  <w:vAlign w:val="center"/>
                </w:tcPr>
                <w:p>
                  <w:pPr>
                    <w:jc w:val="center"/>
                    <w:rPr>
                      <w:color w:val="auto"/>
                      <w:sz w:val="18"/>
                      <w:szCs w:val="18"/>
                    </w:rPr>
                  </w:pPr>
                </w:p>
              </w:tc>
            </w:tr>
          </w:tbl>
          <w:p>
            <w:pPr>
              <w:adjustRightInd w:val="0"/>
              <w:snapToGrid w:val="0"/>
              <w:spacing w:line="360" w:lineRule="auto"/>
              <w:ind w:firstLine="420" w:firstLineChars="200"/>
              <w:rPr>
                <w:color w:val="auto"/>
                <w:szCs w:val="21"/>
              </w:rPr>
            </w:pPr>
            <w:r>
              <w:rPr>
                <w:color w:val="auto"/>
                <w:szCs w:val="21"/>
              </w:rPr>
              <w:t>苏州路似达橡胶有限公司目前全厂</w:t>
            </w:r>
            <w:r>
              <w:rPr>
                <w:rFonts w:hint="eastAsia"/>
                <w:color w:val="auto"/>
                <w:szCs w:val="21"/>
              </w:rPr>
              <w:t>具有年产密封件30吨、密封垫20吨、O型圈10吨、胶管20吨的生产规模。</w:t>
            </w:r>
          </w:p>
          <w:p>
            <w:pPr>
              <w:adjustRightInd w:val="0"/>
              <w:snapToGrid w:val="0"/>
              <w:spacing w:line="360" w:lineRule="auto"/>
              <w:ind w:firstLine="420" w:firstLineChars="200"/>
              <w:rPr>
                <w:color w:val="auto"/>
                <w:szCs w:val="21"/>
              </w:rPr>
            </w:pPr>
            <w:r>
              <w:rPr>
                <w:color w:val="auto"/>
                <w:szCs w:val="21"/>
              </w:rPr>
              <w:t>苏州路似达橡胶有限公司现有项目职工人数</w:t>
            </w:r>
            <w:r>
              <w:rPr>
                <w:rFonts w:hint="eastAsia"/>
                <w:color w:val="auto"/>
                <w:szCs w:val="21"/>
              </w:rPr>
              <w:t>15</w:t>
            </w:r>
            <w:r>
              <w:rPr>
                <w:color w:val="auto"/>
                <w:szCs w:val="21"/>
              </w:rPr>
              <w:t>人，</w:t>
            </w:r>
            <w:r>
              <w:rPr>
                <w:rFonts w:hint="eastAsia"/>
                <w:color w:val="auto"/>
                <w:szCs w:val="21"/>
              </w:rPr>
              <w:t>三</w:t>
            </w:r>
            <w:r>
              <w:rPr>
                <w:color w:val="auto"/>
                <w:szCs w:val="21"/>
              </w:rPr>
              <w:t>班工作制，年工作300天。</w:t>
            </w:r>
          </w:p>
          <w:p>
            <w:pPr>
              <w:adjustRightInd w:val="0"/>
              <w:snapToGrid w:val="0"/>
              <w:spacing w:line="360" w:lineRule="auto"/>
              <w:ind w:firstLine="384" w:firstLineChars="200"/>
              <w:rPr>
                <w:color w:val="auto"/>
                <w:spacing w:val="-9"/>
                <w:szCs w:val="21"/>
              </w:rPr>
            </w:pPr>
            <w:r>
              <w:rPr>
                <w:rFonts w:hint="eastAsia"/>
                <w:color w:val="auto"/>
                <w:spacing w:val="-9"/>
                <w:szCs w:val="21"/>
              </w:rPr>
              <w:t>2、现有项目的产品方案、设备、原辅料已于表2-1、表2-2、表2-4中介绍，此处不再赘述。</w:t>
            </w:r>
          </w:p>
          <w:p>
            <w:pPr>
              <w:adjustRightInd w:val="0"/>
              <w:snapToGrid w:val="0"/>
              <w:spacing w:line="360" w:lineRule="auto"/>
              <w:ind w:firstLine="420" w:firstLineChars="200"/>
              <w:rPr>
                <w:color w:val="auto"/>
                <w:szCs w:val="21"/>
              </w:rPr>
            </w:pPr>
            <w:r>
              <w:rPr>
                <w:rFonts w:hint="eastAsia"/>
                <w:color w:val="auto"/>
                <w:szCs w:val="21"/>
              </w:rPr>
              <w:t>3、现有项目仅生产橡胶件，其生产工艺与本项目橡胶件生产工艺一样，工艺已于本项目工艺流程章节介绍</w:t>
            </w:r>
            <w:r>
              <w:rPr>
                <w:rFonts w:hint="eastAsia"/>
                <w:color w:val="auto"/>
                <w:spacing w:val="-9"/>
                <w:szCs w:val="21"/>
              </w:rPr>
              <w:t>，此处不再赘述。</w:t>
            </w:r>
          </w:p>
          <w:p>
            <w:pPr>
              <w:adjustRightInd w:val="0"/>
              <w:snapToGrid w:val="0"/>
              <w:spacing w:line="360" w:lineRule="auto"/>
              <w:ind w:firstLine="420" w:firstLineChars="200"/>
              <w:rPr>
                <w:color w:val="auto"/>
                <w:szCs w:val="21"/>
              </w:rPr>
            </w:pPr>
          </w:p>
          <w:p>
            <w:pPr>
              <w:adjustRightInd w:val="0"/>
              <w:snapToGrid w:val="0"/>
              <w:spacing w:line="360" w:lineRule="auto"/>
              <w:ind w:firstLine="422" w:firstLineChars="200"/>
              <w:rPr>
                <w:b/>
                <w:bCs/>
                <w:color w:val="auto"/>
                <w:kern w:val="0"/>
                <w:szCs w:val="21"/>
              </w:rPr>
            </w:pPr>
            <w:r>
              <w:rPr>
                <w:rFonts w:hint="eastAsia"/>
                <w:b/>
                <w:bCs/>
                <w:color w:val="auto"/>
                <w:kern w:val="0"/>
                <w:szCs w:val="21"/>
              </w:rPr>
              <w:t>排污许可申领情况：</w:t>
            </w:r>
          </w:p>
          <w:p>
            <w:pPr>
              <w:adjustRightInd w:val="0"/>
              <w:snapToGrid w:val="0"/>
              <w:spacing w:line="360" w:lineRule="auto"/>
              <w:ind w:firstLine="420" w:firstLineChars="200"/>
              <w:rPr>
                <w:color w:val="auto"/>
                <w:kern w:val="0"/>
                <w:szCs w:val="21"/>
              </w:rPr>
            </w:pPr>
            <w:r>
              <w:rPr>
                <w:rFonts w:hint="eastAsia"/>
                <w:color w:val="auto"/>
                <w:kern w:val="0"/>
                <w:szCs w:val="21"/>
              </w:rPr>
              <w:t>建设单位已于2020年8月15日进行了排污许可证的登记，排污许可管理类别为登记管理，登记编号∶91320585061848806X001X。</w:t>
            </w:r>
          </w:p>
          <w:p>
            <w:pPr>
              <w:pStyle w:val="2"/>
              <w:spacing w:before="0" w:after="0" w:line="360" w:lineRule="auto"/>
              <w:rPr>
                <w:color w:val="auto"/>
                <w:sz w:val="21"/>
                <w:szCs w:val="21"/>
              </w:rPr>
            </w:pPr>
          </w:p>
          <w:p>
            <w:pPr>
              <w:pStyle w:val="15"/>
              <w:adjustRightInd w:val="0"/>
              <w:spacing w:before="0" w:after="0" w:line="360" w:lineRule="auto"/>
              <w:ind w:right="0" w:firstLine="422" w:firstLineChars="200"/>
              <w:rPr>
                <w:b/>
                <w:color w:val="auto"/>
                <w:sz w:val="21"/>
                <w:szCs w:val="21"/>
              </w:rPr>
            </w:pPr>
            <w:r>
              <w:rPr>
                <w:rFonts w:hint="eastAsia"/>
                <w:b/>
                <w:color w:val="auto"/>
                <w:sz w:val="21"/>
                <w:szCs w:val="21"/>
              </w:rPr>
              <w:t>二</w:t>
            </w:r>
            <w:r>
              <w:rPr>
                <w:b/>
                <w:color w:val="auto"/>
                <w:sz w:val="21"/>
                <w:szCs w:val="21"/>
              </w:rPr>
              <w:t>、现有项目水平衡</w:t>
            </w:r>
          </w:p>
          <w:p>
            <w:pPr>
              <w:pStyle w:val="15"/>
              <w:adjustRightInd w:val="0"/>
              <w:spacing w:before="0" w:after="0" w:line="360" w:lineRule="auto"/>
              <w:ind w:right="0" w:firstLine="420" w:firstLineChars="200"/>
              <w:rPr>
                <w:color w:val="auto"/>
                <w:sz w:val="21"/>
                <w:szCs w:val="21"/>
              </w:rPr>
            </w:pPr>
            <w:r>
              <w:rPr>
                <w:color w:val="auto"/>
                <w:sz w:val="21"/>
                <w:szCs w:val="21"/>
              </w:rPr>
              <w:t>现有项目水平衡见图2</w:t>
            </w:r>
            <w:r>
              <w:rPr>
                <w:rFonts w:hint="eastAsia"/>
                <w:color w:val="auto"/>
                <w:sz w:val="21"/>
                <w:szCs w:val="21"/>
              </w:rPr>
              <w:t>-4</w:t>
            </w:r>
            <w:r>
              <w:rPr>
                <w:color w:val="auto"/>
                <w:sz w:val="21"/>
                <w:szCs w:val="21"/>
              </w:rPr>
              <w:t>。</w:t>
            </w:r>
          </w:p>
          <w:p>
            <w:pPr>
              <w:pStyle w:val="15"/>
              <w:adjustRightInd w:val="0"/>
              <w:spacing w:before="0" w:after="0" w:line="360" w:lineRule="auto"/>
              <w:ind w:right="0" w:firstLine="480" w:firstLineChars="200"/>
              <w:rPr>
                <w:color w:val="auto"/>
                <w:sz w:val="21"/>
                <w:szCs w:val="21"/>
              </w:rPr>
            </w:pPr>
            <w:r>
              <w:rPr>
                <w:rFonts w:ascii="宋体" w:hAnsi="宋体"/>
                <w:color w:val="auto"/>
                <w:sz w:val="24"/>
              </w:rPr>
              <mc:AlternateContent>
                <mc:Choice Requires="wpc">
                  <w:drawing>
                    <wp:inline distT="0" distB="0" distL="114300" distR="114300">
                      <wp:extent cx="4987290" cy="1553845"/>
                      <wp:effectExtent l="0" t="0" r="0" b="0"/>
                      <wp:docPr id="118" name="画布 1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2" name="文本框 54"/>
                              <wps:cNvSpPr txBox="1"/>
                              <wps:spPr>
                                <a:xfrm>
                                  <a:off x="1440180" y="386715"/>
                                  <a:ext cx="847090" cy="304165"/>
                                </a:xfrm>
                                <a:prstGeom prst="rect">
                                  <a:avLst/>
                                </a:prstGeom>
                                <a:solidFill>
                                  <a:srgbClr val="FFFFFF"/>
                                </a:solidFill>
                                <a:ln w="0" cap="flat" cmpd="sng">
                                  <a:solidFill>
                                    <a:srgbClr val="000000"/>
                                  </a:solidFill>
                                  <a:prstDash val="solid"/>
                                  <a:miter/>
                                  <a:headEnd type="none" w="med" len="med"/>
                                  <a:tailEnd type="none" w="med" len="med"/>
                                </a:ln>
                              </wps:spPr>
                              <wps:txbx>
                                <w:txbxContent>
                                  <w:p>
                                    <w:pPr>
                                      <w:ind w:firstLine="105" w:firstLineChars="50"/>
                                      <w:rPr>
                                        <w:rFonts w:ascii="宋体" w:hAnsi="宋体"/>
                                        <w:szCs w:val="21"/>
                                      </w:rPr>
                                    </w:pPr>
                                    <w:r>
                                      <w:rPr>
                                        <w:rFonts w:ascii="宋体" w:hAnsi="宋体"/>
                                        <w:szCs w:val="21"/>
                                      </w:rPr>
                                      <w:t>生活用水</w:t>
                                    </w:r>
                                  </w:p>
                                </w:txbxContent>
                              </wps:txbx>
                              <wps:bodyPr upright="1"/>
                            </wps:wsp>
                            <wps:wsp>
                              <wps:cNvPr id="123" name="直接连接符 55"/>
                              <wps:cNvCnPr/>
                              <wps:spPr>
                                <a:xfrm>
                                  <a:off x="845820" y="546735"/>
                                  <a:ext cx="605790" cy="1905"/>
                                </a:xfrm>
                                <a:prstGeom prst="line">
                                  <a:avLst/>
                                </a:prstGeom>
                                <a:ln w="0" cap="flat" cmpd="sng">
                                  <a:solidFill>
                                    <a:srgbClr val="000000"/>
                                  </a:solidFill>
                                  <a:prstDash val="solid"/>
                                  <a:headEnd type="none" w="med" len="med"/>
                                  <a:tailEnd type="triangle" w="med" len="med"/>
                                </a:ln>
                              </wps:spPr>
                              <wps:bodyPr/>
                            </wps:wsp>
                            <wps:wsp>
                              <wps:cNvPr id="134" name="文本框 56"/>
                              <wps:cNvSpPr txBox="1"/>
                              <wps:spPr>
                                <a:xfrm>
                                  <a:off x="890270" y="264795"/>
                                  <a:ext cx="554355" cy="248920"/>
                                </a:xfrm>
                                <a:prstGeom prst="rect">
                                  <a:avLst/>
                                </a:prstGeom>
                                <a:noFill/>
                                <a:ln w="0">
                                  <a:noFill/>
                                </a:ln>
                              </wps:spPr>
                              <wps:txbx>
                                <w:txbxContent>
                                  <w:p>
                                    <w:pPr>
                                      <w:rPr>
                                        <w:rFonts w:ascii="宋体" w:hAnsi="宋体"/>
                                        <w:szCs w:val="21"/>
                                      </w:rPr>
                                    </w:pPr>
                                    <w:r>
                                      <w:rPr>
                                        <w:rFonts w:hint="eastAsia" w:ascii="宋体" w:hAnsi="宋体"/>
                                        <w:szCs w:val="21"/>
                                      </w:rPr>
                                      <w:t>225</w:t>
                                    </w:r>
                                  </w:p>
                                </w:txbxContent>
                              </wps:txbx>
                              <wps:bodyPr upright="1"/>
                            </wps:wsp>
                            <wps:wsp>
                              <wps:cNvPr id="135" name="曲线连接符 64"/>
                              <wps:cNvCnPr/>
                              <wps:spPr>
                                <a:xfrm rot="16200000">
                                  <a:off x="1687830" y="197485"/>
                                  <a:ext cx="248285" cy="169545"/>
                                </a:xfrm>
                                <a:prstGeom prst="curvedConnector3">
                                  <a:avLst>
                                    <a:gd name="adj1" fmla="val 49870"/>
                                  </a:avLst>
                                </a:prstGeom>
                                <a:ln w="0" cap="flat" cmpd="sng">
                                  <a:solidFill>
                                    <a:srgbClr val="000000"/>
                                  </a:solidFill>
                                  <a:prstDash val="solid"/>
                                  <a:headEnd type="none" w="med" len="med"/>
                                  <a:tailEnd type="triangle" w="med" len="med"/>
                                </a:ln>
                              </wps:spPr>
                              <wps:bodyPr/>
                            </wps:wsp>
                            <wps:wsp>
                              <wps:cNvPr id="143" name="文本框 65"/>
                              <wps:cNvSpPr txBox="1"/>
                              <wps:spPr>
                                <a:xfrm>
                                  <a:off x="1889760" y="0"/>
                                  <a:ext cx="1000760" cy="296545"/>
                                </a:xfrm>
                                <a:prstGeom prst="rect">
                                  <a:avLst/>
                                </a:prstGeom>
                                <a:noFill/>
                                <a:ln w="0">
                                  <a:noFill/>
                                </a:ln>
                              </wps:spPr>
                              <wps:txbx>
                                <w:txbxContent>
                                  <w:p>
                                    <w:pPr>
                                      <w:rPr>
                                        <w:rFonts w:ascii="宋体" w:hAnsi="宋体"/>
                                        <w:szCs w:val="21"/>
                                      </w:rPr>
                                    </w:pPr>
                                    <w:r>
                                      <w:rPr>
                                        <w:rFonts w:ascii="宋体" w:hAnsi="宋体"/>
                                        <w:szCs w:val="21"/>
                                      </w:rPr>
                                      <w:t>损耗</w:t>
                                    </w:r>
                                    <w:r>
                                      <w:rPr>
                                        <w:rFonts w:hint="eastAsia" w:ascii="宋体" w:hAnsi="宋体"/>
                                        <w:szCs w:val="21"/>
                                      </w:rPr>
                                      <w:t>34</w:t>
                                    </w:r>
                                  </w:p>
                                </w:txbxContent>
                              </wps:txbx>
                              <wps:bodyPr upright="1"/>
                            </wps:wsp>
                            <wps:wsp>
                              <wps:cNvPr id="144" name="文本框 66"/>
                              <wps:cNvSpPr txBox="1"/>
                              <wps:spPr>
                                <a:xfrm>
                                  <a:off x="2879090" y="251460"/>
                                  <a:ext cx="788670" cy="266065"/>
                                </a:xfrm>
                                <a:prstGeom prst="rect">
                                  <a:avLst/>
                                </a:prstGeom>
                                <a:noFill/>
                                <a:ln w="0">
                                  <a:noFill/>
                                </a:ln>
                              </wps:spPr>
                              <wps:txbx>
                                <w:txbxContent>
                                  <w:p>
                                    <w:pPr>
                                      <w:rPr>
                                        <w:rFonts w:ascii="宋体" w:hAnsi="宋体"/>
                                        <w:szCs w:val="21"/>
                                      </w:rPr>
                                    </w:pPr>
                                    <w:r>
                                      <w:rPr>
                                        <w:rFonts w:hint="eastAsia" w:ascii="宋体" w:hAnsi="宋体"/>
                                        <w:szCs w:val="21"/>
                                      </w:rPr>
                                      <w:t>191</w:t>
                                    </w:r>
                                  </w:p>
                                  <w:p>
                                    <w:pPr>
                                      <w:rPr>
                                        <w:rFonts w:ascii="宋体" w:hAnsi="宋体"/>
                                        <w:szCs w:val="21"/>
                                      </w:rPr>
                                    </w:pPr>
                                    <w:r>
                                      <w:rPr>
                                        <w:rFonts w:ascii="宋体" w:hAnsi="宋体"/>
                                        <w:szCs w:val="21"/>
                                      </w:rPr>
                                      <w:t>T</w:t>
                                    </w:r>
                                  </w:p>
                                </w:txbxContent>
                              </wps:txbx>
                              <wps:bodyPr upright="1"/>
                            </wps:wsp>
                            <wps:wsp>
                              <wps:cNvPr id="149" name="文本框 67"/>
                              <wps:cNvSpPr txBox="1"/>
                              <wps:spPr>
                                <a:xfrm>
                                  <a:off x="3967480" y="316230"/>
                                  <a:ext cx="896620" cy="758190"/>
                                </a:xfrm>
                                <a:prstGeom prst="rect">
                                  <a:avLst/>
                                </a:prstGeom>
                                <a:noFill/>
                                <a:ln w="0">
                                  <a:noFill/>
                                </a:ln>
                              </wps:spPr>
                              <wps:txbx>
                                <w:txbxContent>
                                  <w:p>
                                    <w:pPr>
                                      <w:ind w:left="105" w:hanging="105" w:hangingChars="50"/>
                                      <w:jc w:val="center"/>
                                      <w:rPr>
                                        <w:rFonts w:ascii="宋体" w:hAnsi="宋体"/>
                                        <w:szCs w:val="21"/>
                                      </w:rPr>
                                    </w:pPr>
                                    <w:r>
                                      <w:rPr>
                                        <w:rFonts w:hint="eastAsia" w:ascii="宋体" w:hAnsi="宋体"/>
                                        <w:szCs w:val="21"/>
                                      </w:rPr>
                                      <w:t>接管城东</w:t>
                                    </w:r>
                                    <w:r>
                                      <w:rPr>
                                        <w:rFonts w:ascii="宋体" w:hAnsi="宋体"/>
                                        <w:szCs w:val="21"/>
                                      </w:rPr>
                                      <w:t>污水</w:t>
                                    </w:r>
                                    <w:r>
                                      <w:rPr>
                                        <w:rFonts w:hint="eastAsia" w:ascii="宋体" w:hAnsi="宋体"/>
                                        <w:szCs w:val="21"/>
                                      </w:rPr>
                                      <w:t>处理厂</w:t>
                                    </w:r>
                                  </w:p>
                                </w:txbxContent>
                              </wps:txbx>
                              <wps:bodyPr upright="1"/>
                            </wps:wsp>
                            <wps:wsp>
                              <wps:cNvPr id="150" name="文本框 69"/>
                              <wps:cNvSpPr txBox="1"/>
                              <wps:spPr>
                                <a:xfrm>
                                  <a:off x="209550" y="1015365"/>
                                  <a:ext cx="604520" cy="268605"/>
                                </a:xfrm>
                                <a:prstGeom prst="rect">
                                  <a:avLst/>
                                </a:prstGeom>
                                <a:noFill/>
                                <a:ln w="0">
                                  <a:noFill/>
                                </a:ln>
                              </wps:spPr>
                              <wps:txbx>
                                <w:txbxContent>
                                  <w:p>
                                    <w:pPr>
                                      <w:rPr>
                                        <w:rFonts w:ascii="宋体" w:hAnsi="宋体"/>
                                        <w:szCs w:val="21"/>
                                      </w:rPr>
                                    </w:pPr>
                                    <w:r>
                                      <w:rPr>
                                        <w:rFonts w:ascii="宋体" w:hAnsi="宋体"/>
                                        <w:szCs w:val="21"/>
                                      </w:rPr>
                                      <w:t>自来水</w:t>
                                    </w:r>
                                  </w:p>
                                </w:txbxContent>
                              </wps:txbx>
                              <wps:bodyPr upright="1"/>
                            </wps:wsp>
                            <wps:wsp>
                              <wps:cNvPr id="151" name="直接连接符 70"/>
                              <wps:cNvCnPr/>
                              <wps:spPr>
                                <a:xfrm flipH="1">
                                  <a:off x="840740" y="548640"/>
                                  <a:ext cx="5080" cy="670560"/>
                                </a:xfrm>
                                <a:prstGeom prst="line">
                                  <a:avLst/>
                                </a:prstGeom>
                                <a:ln w="9525" cap="flat" cmpd="sng">
                                  <a:solidFill>
                                    <a:srgbClr val="000000"/>
                                  </a:solidFill>
                                  <a:prstDash val="solid"/>
                                  <a:headEnd type="none" w="med" len="med"/>
                                  <a:tailEnd type="none" w="med" len="med"/>
                                </a:ln>
                              </wps:spPr>
                              <wps:bodyPr/>
                            </wps:wsp>
                            <wps:wsp>
                              <wps:cNvPr id="152" name="直接连接符 71"/>
                              <wps:cNvCnPr/>
                              <wps:spPr>
                                <a:xfrm>
                                  <a:off x="839470" y="1213485"/>
                                  <a:ext cx="605790" cy="1905"/>
                                </a:xfrm>
                                <a:prstGeom prst="line">
                                  <a:avLst/>
                                </a:prstGeom>
                                <a:ln w="0" cap="flat" cmpd="sng">
                                  <a:solidFill>
                                    <a:srgbClr val="000000"/>
                                  </a:solidFill>
                                  <a:prstDash val="solid"/>
                                  <a:headEnd type="none" w="med" len="med"/>
                                  <a:tailEnd type="triangle" w="med" len="med"/>
                                </a:ln>
                              </wps:spPr>
                              <wps:bodyPr/>
                            </wps:wsp>
                            <wps:wsp>
                              <wps:cNvPr id="153" name="文本框 72"/>
                              <wps:cNvSpPr txBox="1"/>
                              <wps:spPr>
                                <a:xfrm>
                                  <a:off x="1478280" y="1078230"/>
                                  <a:ext cx="847090" cy="304165"/>
                                </a:xfrm>
                                <a:prstGeom prst="rect">
                                  <a:avLst/>
                                </a:prstGeom>
                                <a:solidFill>
                                  <a:srgbClr val="FFFFFF"/>
                                </a:solidFill>
                                <a:ln w="0" cap="flat" cmpd="sng">
                                  <a:solidFill>
                                    <a:srgbClr val="000000"/>
                                  </a:solidFill>
                                  <a:prstDash val="solid"/>
                                  <a:miter/>
                                  <a:headEnd type="none" w="med" len="med"/>
                                  <a:tailEnd type="none" w="med" len="med"/>
                                </a:ln>
                              </wps:spPr>
                              <wps:txbx>
                                <w:txbxContent>
                                  <w:p>
                                    <w:pPr>
                                      <w:ind w:firstLine="105" w:firstLineChars="50"/>
                                      <w:rPr>
                                        <w:rFonts w:ascii="宋体" w:hAnsi="宋体"/>
                                        <w:szCs w:val="21"/>
                                      </w:rPr>
                                    </w:pPr>
                                    <w:r>
                                      <w:rPr>
                                        <w:rFonts w:hint="eastAsia" w:ascii="宋体" w:hAnsi="宋体"/>
                                        <w:szCs w:val="21"/>
                                      </w:rPr>
                                      <w:t>冷却</w:t>
                                    </w:r>
                                    <w:r>
                                      <w:rPr>
                                        <w:rFonts w:ascii="宋体" w:hAnsi="宋体"/>
                                        <w:szCs w:val="21"/>
                                      </w:rPr>
                                      <w:t>用水</w:t>
                                    </w:r>
                                  </w:p>
                                </w:txbxContent>
                              </wps:txbx>
                              <wps:bodyPr upright="1"/>
                            </wps:wsp>
                            <wps:wsp>
                              <wps:cNvPr id="154" name="直接连接符 73"/>
                              <wps:cNvCnPr/>
                              <wps:spPr>
                                <a:xfrm>
                                  <a:off x="236220" y="946785"/>
                                  <a:ext cx="605790" cy="1905"/>
                                </a:xfrm>
                                <a:prstGeom prst="line">
                                  <a:avLst/>
                                </a:prstGeom>
                                <a:ln w="0" cap="flat" cmpd="sng">
                                  <a:solidFill>
                                    <a:srgbClr val="000000"/>
                                  </a:solidFill>
                                  <a:prstDash val="solid"/>
                                  <a:headEnd type="none" w="med" len="med"/>
                                  <a:tailEnd type="triangle" w="med" len="med"/>
                                </a:ln>
                              </wps:spPr>
                              <wps:bodyPr/>
                            </wps:wsp>
                            <wps:wsp>
                              <wps:cNvPr id="155" name="文本框 74"/>
                              <wps:cNvSpPr txBox="1"/>
                              <wps:spPr>
                                <a:xfrm>
                                  <a:off x="937895" y="904875"/>
                                  <a:ext cx="554355" cy="248920"/>
                                </a:xfrm>
                                <a:prstGeom prst="rect">
                                  <a:avLst/>
                                </a:prstGeom>
                                <a:noFill/>
                                <a:ln w="0">
                                  <a:noFill/>
                                </a:ln>
                              </wps:spPr>
                              <wps:txbx>
                                <w:txbxContent>
                                  <w:p>
                                    <w:pPr>
                                      <w:rPr>
                                        <w:rFonts w:ascii="宋体" w:hAnsi="宋体"/>
                                        <w:szCs w:val="21"/>
                                      </w:rPr>
                                    </w:pPr>
                                    <w:r>
                                      <w:rPr>
                                        <w:rFonts w:hint="eastAsia" w:ascii="宋体" w:hAnsi="宋体"/>
                                        <w:szCs w:val="21"/>
                                      </w:rPr>
                                      <w:t>24</w:t>
                                    </w:r>
                                  </w:p>
                                </w:txbxContent>
                              </wps:txbx>
                              <wps:bodyPr upright="1"/>
                            </wps:wsp>
                            <wps:wsp>
                              <wps:cNvPr id="156" name="曲线连接符 75"/>
                              <wps:cNvCnPr/>
                              <wps:spPr>
                                <a:xfrm rot="16200000">
                                  <a:off x="1586230" y="864235"/>
                                  <a:ext cx="248285" cy="169545"/>
                                </a:xfrm>
                                <a:prstGeom prst="curvedConnector3">
                                  <a:avLst>
                                    <a:gd name="adj1" fmla="val 49870"/>
                                  </a:avLst>
                                </a:prstGeom>
                                <a:ln w="0" cap="flat" cmpd="sng">
                                  <a:solidFill>
                                    <a:srgbClr val="000000"/>
                                  </a:solidFill>
                                  <a:prstDash val="solid"/>
                                  <a:headEnd type="none" w="med" len="med"/>
                                  <a:tailEnd type="triangle" w="med" len="med"/>
                                </a:ln>
                              </wps:spPr>
                              <wps:bodyPr/>
                            </wps:wsp>
                            <wps:wsp>
                              <wps:cNvPr id="157" name="文本框 76"/>
                              <wps:cNvSpPr txBox="1"/>
                              <wps:spPr>
                                <a:xfrm>
                                  <a:off x="1731010" y="641985"/>
                                  <a:ext cx="1000760" cy="296545"/>
                                </a:xfrm>
                                <a:prstGeom prst="rect">
                                  <a:avLst/>
                                </a:prstGeom>
                                <a:noFill/>
                                <a:ln w="0">
                                  <a:noFill/>
                                </a:ln>
                              </wps:spPr>
                              <wps:txbx>
                                <w:txbxContent>
                                  <w:p>
                                    <w:pPr>
                                      <w:rPr>
                                        <w:rFonts w:ascii="宋体" w:hAnsi="宋体"/>
                                        <w:szCs w:val="21"/>
                                      </w:rPr>
                                    </w:pPr>
                                    <w:r>
                                      <w:rPr>
                                        <w:rFonts w:ascii="宋体" w:hAnsi="宋体"/>
                                        <w:szCs w:val="21"/>
                                      </w:rPr>
                                      <w:t>损耗</w:t>
                                    </w:r>
                                    <w:r>
                                      <w:rPr>
                                        <w:rFonts w:hint="eastAsia" w:ascii="宋体" w:hAnsi="宋体"/>
                                        <w:szCs w:val="21"/>
                                      </w:rPr>
                                      <w:t>24</w:t>
                                    </w:r>
                                  </w:p>
                                </w:txbxContent>
                              </wps:txbx>
                              <wps:bodyPr upright="1"/>
                            </wps:wsp>
                            <wps:wsp>
                              <wps:cNvPr id="159" name="直接连接符 78"/>
                              <wps:cNvCnPr/>
                              <wps:spPr>
                                <a:xfrm flipV="1">
                                  <a:off x="2327910" y="1150620"/>
                                  <a:ext cx="215265" cy="1905"/>
                                </a:xfrm>
                                <a:prstGeom prst="line">
                                  <a:avLst/>
                                </a:prstGeom>
                                <a:ln w="9525" cap="flat" cmpd="sng">
                                  <a:solidFill>
                                    <a:srgbClr val="000000"/>
                                  </a:solidFill>
                                  <a:prstDash val="solid"/>
                                  <a:headEnd type="none" w="med" len="med"/>
                                  <a:tailEnd type="none" w="sm" len="lg"/>
                                </a:ln>
                              </wps:spPr>
                              <wps:bodyPr/>
                            </wps:wsp>
                            <wps:wsp>
                              <wps:cNvPr id="160" name="直接连接符 79"/>
                              <wps:cNvCnPr/>
                              <wps:spPr>
                                <a:xfrm>
                                  <a:off x="2180590" y="920115"/>
                                  <a:ext cx="635" cy="157480"/>
                                </a:xfrm>
                                <a:prstGeom prst="line">
                                  <a:avLst/>
                                </a:prstGeom>
                                <a:ln w="9525" cap="flat" cmpd="sng">
                                  <a:solidFill>
                                    <a:srgbClr val="000000"/>
                                  </a:solidFill>
                                  <a:prstDash val="solid"/>
                                  <a:headEnd type="none" w="med" len="med"/>
                                  <a:tailEnd type="triangle" w="med" len="med"/>
                                </a:ln>
                              </wps:spPr>
                              <wps:bodyPr/>
                            </wps:wsp>
                            <wps:wsp>
                              <wps:cNvPr id="161" name="直接连接符 80"/>
                              <wps:cNvCnPr/>
                              <wps:spPr>
                                <a:xfrm flipH="1">
                                  <a:off x="2180590" y="920115"/>
                                  <a:ext cx="373380" cy="635"/>
                                </a:xfrm>
                                <a:prstGeom prst="line">
                                  <a:avLst/>
                                </a:prstGeom>
                                <a:ln w="9525" cap="flat" cmpd="sng">
                                  <a:solidFill>
                                    <a:srgbClr val="000000"/>
                                  </a:solidFill>
                                  <a:prstDash val="solid"/>
                                  <a:headEnd type="none" w="med" len="med"/>
                                  <a:tailEnd type="none" w="med" len="med"/>
                                </a:ln>
                              </wps:spPr>
                              <wps:bodyPr/>
                            </wps:wsp>
                            <wps:wsp>
                              <wps:cNvPr id="162" name="直接连接符 81"/>
                              <wps:cNvCnPr/>
                              <wps:spPr>
                                <a:xfrm flipV="1">
                                  <a:off x="2551430" y="920115"/>
                                  <a:ext cx="2540" cy="240030"/>
                                </a:xfrm>
                                <a:prstGeom prst="line">
                                  <a:avLst/>
                                </a:prstGeom>
                                <a:ln w="9525" cap="flat" cmpd="sng">
                                  <a:solidFill>
                                    <a:srgbClr val="000000"/>
                                  </a:solidFill>
                                  <a:prstDash val="solid"/>
                                  <a:headEnd type="none" w="med" len="med"/>
                                  <a:tailEnd type="none" w="med" len="med"/>
                                </a:ln>
                              </wps:spPr>
                              <wps:bodyPr/>
                            </wps:wsp>
                            <wps:wsp>
                              <wps:cNvPr id="163" name="文本框 82"/>
                              <wps:cNvSpPr txBox="1"/>
                              <wps:spPr>
                                <a:xfrm>
                                  <a:off x="2504440" y="716280"/>
                                  <a:ext cx="1125220" cy="266065"/>
                                </a:xfrm>
                                <a:prstGeom prst="rect">
                                  <a:avLst/>
                                </a:prstGeom>
                                <a:noFill/>
                                <a:ln w="0">
                                  <a:noFill/>
                                </a:ln>
                              </wps:spPr>
                              <wps:txbx>
                                <w:txbxContent>
                                  <w:p>
                                    <w:pPr>
                                      <w:rPr>
                                        <w:rFonts w:ascii="宋体" w:hAnsi="宋体"/>
                                        <w:szCs w:val="21"/>
                                      </w:rPr>
                                    </w:pPr>
                                    <w:r>
                                      <w:rPr>
                                        <w:rFonts w:hint="eastAsia" w:ascii="宋体" w:hAnsi="宋体"/>
                                        <w:szCs w:val="21"/>
                                      </w:rPr>
                                      <w:t>循环2400</w:t>
                                    </w:r>
                                  </w:p>
                                  <w:p>
                                    <w:pPr>
                                      <w:rPr>
                                        <w:rFonts w:ascii="宋体" w:hAnsi="宋体"/>
                                        <w:szCs w:val="21"/>
                                      </w:rPr>
                                    </w:pPr>
                                    <w:r>
                                      <w:rPr>
                                        <w:rFonts w:ascii="宋体" w:hAnsi="宋体"/>
                                        <w:szCs w:val="21"/>
                                      </w:rPr>
                                      <w:t>T</w:t>
                                    </w:r>
                                  </w:p>
                                </w:txbxContent>
                              </wps:txbx>
                              <wps:bodyPr upright="1"/>
                            </wps:wsp>
                            <wps:wsp>
                              <wps:cNvPr id="164" name="文本框 83"/>
                              <wps:cNvSpPr txBox="1"/>
                              <wps:spPr>
                                <a:xfrm>
                                  <a:off x="171450" y="626745"/>
                                  <a:ext cx="521970" cy="266065"/>
                                </a:xfrm>
                                <a:prstGeom prst="rect">
                                  <a:avLst/>
                                </a:prstGeom>
                                <a:noFill/>
                                <a:ln w="0">
                                  <a:noFill/>
                                </a:ln>
                              </wps:spPr>
                              <wps:txbx>
                                <w:txbxContent>
                                  <w:p>
                                    <w:pPr>
                                      <w:rPr>
                                        <w:rFonts w:ascii="宋体" w:hAnsi="宋体"/>
                                        <w:szCs w:val="21"/>
                                      </w:rPr>
                                    </w:pPr>
                                    <w:r>
                                      <w:rPr>
                                        <w:rFonts w:hint="eastAsia" w:ascii="宋体" w:hAnsi="宋体"/>
                                        <w:szCs w:val="21"/>
                                      </w:rPr>
                                      <w:t>249</w:t>
                                    </w:r>
                                  </w:p>
                                  <w:p>
                                    <w:pPr>
                                      <w:rPr>
                                        <w:rFonts w:ascii="宋体" w:hAnsi="宋体"/>
                                        <w:szCs w:val="21"/>
                                      </w:rPr>
                                    </w:pPr>
                                    <w:r>
                                      <w:rPr>
                                        <w:rFonts w:ascii="宋体" w:hAnsi="宋体"/>
                                        <w:szCs w:val="21"/>
                                      </w:rPr>
                                      <w:t>T</w:t>
                                    </w:r>
                                  </w:p>
                                </w:txbxContent>
                              </wps:txbx>
                              <wps:bodyPr upright="1"/>
                            </wps:wsp>
                            <wps:wsp>
                              <wps:cNvPr id="165" name="直接连接符 84"/>
                              <wps:cNvCnPr/>
                              <wps:spPr>
                                <a:xfrm>
                                  <a:off x="2288540" y="533400"/>
                                  <a:ext cx="1563370" cy="5715"/>
                                </a:xfrm>
                                <a:prstGeom prst="line">
                                  <a:avLst/>
                                </a:prstGeom>
                                <a:ln w="9525" cap="flat" cmpd="sng">
                                  <a:solidFill>
                                    <a:srgbClr val="000000"/>
                                  </a:solidFill>
                                  <a:prstDash val="solid"/>
                                  <a:headEnd type="none" w="med" len="med"/>
                                  <a:tailEnd type="triangle" w="sm" len="lg"/>
                                </a:ln>
                              </wps:spPr>
                              <wps:bodyPr/>
                            </wps:wsp>
                          </wpc:wpc>
                        </a:graphicData>
                      </a:graphic>
                    </wp:inline>
                  </w:drawing>
                </mc:Choice>
                <mc:Fallback>
                  <w:pict>
                    <v:group id="_x0000_s1026" o:spid="_x0000_s1026" o:spt="203" style="height:122.35pt;width:392.7pt;" coordsize="4987290,1553845" editas="canvas" o:gfxdata="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">
                      <o:lock v:ext="edit" aspectratio="f"/>
                      <v:shape id="_x0000_s1026" o:spid="_x0000_s1026" style="position:absolute;left:0;top:0;height:1553845;width:4987290;" filled="f" stroked="f" coordsize="21600,21600" o:gfxdata="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">
                        <v:fill on="f" focussize="0,0"/>
                        <v:stroke on="f"/>
                        <v:imagedata o:title=""/>
                        <o:lock v:ext="edit" aspectratio="t"/>
                      </v:shape>
                      <v:shape id="文本框 54" o:spid="_x0000_s1026" o:spt="202" type="#_x0000_t202" style="position:absolute;left:1440180;top:386715;height:304165;width:847090;" fillcolor="#FFFFFF" filled="t" stroked="t" coordsize="21600,21600" o:gfxdata="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4UNUAAAAFAQAADwAAAAAAAAAB&#10;ACAAAAAiAAAAZHJzL2Rvd25yZXYueG1sUEsBAhQAFAAAAAgAh07iQM/0YsITAgAAQAQAAA4AAAAA&#10;AAAAAQAgAAAAJAEAAGRycy9lMm9Eb2MueG1sUEsFBgAAAAAGAAYAWQEAAKkFAAAAAA==&#10;">
                        <v:fill on="t" focussize="0,0"/>
                        <v:stroke weight="0pt" color="#000000" joinstyle="miter"/>
                        <v:imagedata o:title=""/>
                        <o:lock v:ext="edit" aspectratio="f"/>
                        <v:textbox>
                          <w:txbxContent>
                            <w:p>
                              <w:pPr>
                                <w:ind w:firstLine="105" w:firstLineChars="50"/>
                                <w:rPr>
                                  <w:rFonts w:ascii="宋体" w:hAnsi="宋体"/>
                                  <w:szCs w:val="21"/>
                                </w:rPr>
                              </w:pPr>
                              <w:r>
                                <w:rPr>
                                  <w:rFonts w:ascii="宋体" w:hAnsi="宋体"/>
                                  <w:szCs w:val="21"/>
                                </w:rPr>
                                <w:t>生活用水</w:t>
                              </w:r>
                            </w:p>
                          </w:txbxContent>
                        </v:textbox>
                      </v:shape>
                      <v:line id="直接连接符 55" o:spid="_x0000_s1026" o:spt="20" style="position:absolute;left:845820;top:546735;height:1905;width:605790;" filled="f" stroked="t" coordsize="21600,21600" o:gfxdata="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JHsvE1gAAAAUBAAAPAAAAAAAAAAEAIAAAACIAAABkcnMvZG93&#10;bnJldi54bWxQSwECFAAUAAAACACHTuJALXJr7QICAADoAwAADgAAAAAAAAABACAAAAAlAQAAZHJz&#10;L2Uyb0RvYy54bWxQSwUGAAAAAAYABgBZAQAAmQUAAAAA&#10;">
                        <v:fill on="f" focussize="0,0"/>
                        <v:stroke weight="0pt" color="#000000" joinstyle="round" endarrow="block"/>
                        <v:imagedata o:title=""/>
                        <o:lock v:ext="edit" aspectratio="f"/>
                      </v:line>
                      <v:shape id="文本框 56" o:spid="_x0000_s1026" o:spt="202" type="#_x0000_t202" style="position:absolute;left:890270;top:264795;height:248920;width:554355;" filled="f" stroked="f" coordsize="21600,21600" o:gfxdata="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5+7v4NYAAAAFAQAADwAAAAAAAAABACAAAAAiAAAAZHJzL2Rvd25yZXYueG1sUEsB&#10;AhQAFAAAAAgAh07iQPK7PnG+AQAAYAMAAA4AAAAAAAAAAQAgAAAAJQEAAGRycy9lMm9Eb2MueG1s&#10;UEsFBgAAAAAGAAYAWQEAAFUFAAAAAA==&#10;">
                        <v:fill on="f" focussize="0,0"/>
                        <v:stroke on="f" weight="0pt"/>
                        <v:imagedata o:title=""/>
                        <o:lock v:ext="edit" aspectratio="f"/>
                        <v:textbox>
                          <w:txbxContent>
                            <w:p>
                              <w:pPr>
                                <w:rPr>
                                  <w:rFonts w:ascii="宋体" w:hAnsi="宋体"/>
                                  <w:szCs w:val="21"/>
                                </w:rPr>
                              </w:pPr>
                              <w:r>
                                <w:rPr>
                                  <w:rFonts w:hint="eastAsia" w:ascii="宋体" w:hAnsi="宋体"/>
                                  <w:szCs w:val="21"/>
                                </w:rPr>
                                <w:t>225</w:t>
                              </w:r>
                            </w:p>
                          </w:txbxContent>
                        </v:textbox>
                      </v:shape>
                      <v:shape id="曲线连接符 64" o:spid="_x0000_s1026" o:spt="38" type="#_x0000_t38" style="position:absolute;left:1687830;top:197485;height:169545;width:248285;rotation:-5898240f;" filled="f" stroked="t" coordsize="21600,21600" o:gfxdata="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b0CqFdcAAAAFAQAADwAAAAAAAAABACAAAAAiAAAAZHJzL2Rvd25yZXYueG1sUEsBAhQA&#10;FAAAAAgAh07iQJjZ/UcsAgAAMwQAAA4AAAAAAAAAAQAgAAAAJgEAAGRycy9lMm9Eb2MueG1sUEsF&#10;BgAAAAAGAAYAWQEAAMQFAAAAAA==&#10;" adj="10772">
                        <v:fill on="f" focussize="0,0"/>
                        <v:stroke weight="0pt" color="#000000" joinstyle="round" endarrow="block"/>
                        <v:imagedata o:title=""/>
                        <o:lock v:ext="edit" aspectratio="f"/>
                      </v:shape>
                      <v:shape id="文本框 65" o:spid="_x0000_s1026" o:spt="202" type="#_x0000_t202" style="position:absolute;left:1889760;top:0;height:296545;width:1000760;" filled="f" stroked="f" coordsize="21600,21600" o:gfxdata="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5+7v4NYAAAAFAQAADwAAAAAAAAABACAAAAAiAAAAZHJzL2Rvd25yZXYueG1sUEsBAhQAFAAAAAgA&#10;h07iQLlzGZa1AQAAXQMAAA4AAAAAAAAAAQAgAAAAJQEAAGRycy9lMm9Eb2MueG1sUEsFBgAAAAAG&#10;AAYAWQEAAEwFAAAAAA==&#10;">
                        <v:fill on="f" focussize="0,0"/>
                        <v:stroke on="f" weight="0pt"/>
                        <v:imagedata o:title=""/>
                        <o:lock v:ext="edit" aspectratio="f"/>
                        <v:textbox>
                          <w:txbxContent>
                            <w:p>
                              <w:pPr>
                                <w:rPr>
                                  <w:rFonts w:ascii="宋体" w:hAnsi="宋体"/>
                                  <w:szCs w:val="21"/>
                                </w:rPr>
                              </w:pPr>
                              <w:r>
                                <w:rPr>
                                  <w:rFonts w:ascii="宋体" w:hAnsi="宋体"/>
                                  <w:szCs w:val="21"/>
                                </w:rPr>
                                <w:t>损耗</w:t>
                              </w:r>
                              <w:r>
                                <w:rPr>
                                  <w:rFonts w:hint="eastAsia" w:ascii="宋体" w:hAnsi="宋体"/>
                                  <w:szCs w:val="21"/>
                                </w:rPr>
                                <w:t>34</w:t>
                              </w:r>
                            </w:p>
                          </w:txbxContent>
                        </v:textbox>
                      </v:shape>
                      <v:shape id="文本框 66" o:spid="_x0000_s1026" o:spt="202" type="#_x0000_t202" style="position:absolute;left:2879090;top:251460;height:266065;width:788670;" filled="f" stroked="f" coordsize="21600,21600" o:gfxdata="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5+7v4NYAAAAFAQAADwAAAAAAAAABACAAAAAiAAAAZHJzL2Rvd25yZXYueG1sUEsBAhQA&#10;FAAAAAgAh07iQMhx4Vy7AQAAYQMAAA4AAAAAAAAAAQAgAAAAJQEAAGRycy9lMm9Eb2MueG1sUEsF&#10;BgAAAAAGAAYAWQEAAFIFAAAAAA==&#10;">
                        <v:fill on="f" focussize="0,0"/>
                        <v:stroke on="f" weight="0pt"/>
                        <v:imagedata o:title=""/>
                        <o:lock v:ext="edit" aspectratio="f"/>
                        <v:textbox>
                          <w:txbxContent>
                            <w:p>
                              <w:pPr>
                                <w:rPr>
                                  <w:rFonts w:ascii="宋体" w:hAnsi="宋体"/>
                                  <w:szCs w:val="21"/>
                                </w:rPr>
                              </w:pPr>
                              <w:r>
                                <w:rPr>
                                  <w:rFonts w:hint="eastAsia" w:ascii="宋体" w:hAnsi="宋体"/>
                                  <w:szCs w:val="21"/>
                                </w:rPr>
                                <w:t>191</w:t>
                              </w:r>
                            </w:p>
                            <w:p>
                              <w:pPr>
                                <w:rPr>
                                  <w:rFonts w:ascii="宋体" w:hAnsi="宋体"/>
                                  <w:szCs w:val="21"/>
                                </w:rPr>
                              </w:pPr>
                              <w:r>
                                <w:rPr>
                                  <w:rFonts w:ascii="宋体" w:hAnsi="宋体"/>
                                  <w:szCs w:val="21"/>
                                </w:rPr>
                                <w:t>T</w:t>
                              </w:r>
                            </w:p>
                          </w:txbxContent>
                        </v:textbox>
                      </v:shape>
                      <v:shape id="文本框 67" o:spid="_x0000_s1026" o:spt="202" type="#_x0000_t202" style="position:absolute;left:3967480;top:316230;height:758190;width:896620;" filled="f" stroked="f" coordsize="21600,21600" o:gfxdata="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n7u/g1gAAAAUBAAAPAAAAAAAAAAEAIAAAACIAAABkcnMvZG93bnJldi54bWxQSwEC&#10;FAAUAAAACACHTuJAgTzL1b0BAABhAwAADgAAAAAAAAABACAAAAAlAQAAZHJzL2Uyb0RvYy54bWxQ&#10;SwUGAAAAAAYABgBZAQAAVAUAAAAA&#10;">
                        <v:fill on="f" focussize="0,0"/>
                        <v:stroke on="f" weight="0pt"/>
                        <v:imagedata o:title=""/>
                        <o:lock v:ext="edit" aspectratio="f"/>
                        <v:textbox>
                          <w:txbxContent>
                            <w:p>
                              <w:pPr>
                                <w:ind w:left="105" w:hanging="105" w:hangingChars="50"/>
                                <w:jc w:val="center"/>
                                <w:rPr>
                                  <w:rFonts w:ascii="宋体" w:hAnsi="宋体"/>
                                  <w:szCs w:val="21"/>
                                </w:rPr>
                              </w:pPr>
                              <w:r>
                                <w:rPr>
                                  <w:rFonts w:hint="eastAsia" w:ascii="宋体" w:hAnsi="宋体"/>
                                  <w:szCs w:val="21"/>
                                </w:rPr>
                                <w:t>接管城东</w:t>
                              </w:r>
                              <w:r>
                                <w:rPr>
                                  <w:rFonts w:ascii="宋体" w:hAnsi="宋体"/>
                                  <w:szCs w:val="21"/>
                                </w:rPr>
                                <w:t>污水</w:t>
                              </w:r>
                              <w:r>
                                <w:rPr>
                                  <w:rFonts w:hint="eastAsia" w:ascii="宋体" w:hAnsi="宋体"/>
                                  <w:szCs w:val="21"/>
                                </w:rPr>
                                <w:t>处理厂</w:t>
                              </w:r>
                            </w:p>
                          </w:txbxContent>
                        </v:textbox>
                      </v:shape>
                      <v:shape id="文本框 69" o:spid="_x0000_s1026" o:spt="202" type="#_x0000_t202" style="position:absolute;left:209550;top:1015365;height:268605;width:604520;" filled="f" stroked="f" coordsize="21600,21600" o:gfxdata="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5+7v4NYAAAAFAQAADwAAAAAAAAABACAAAAAiAAAAZHJzL2Rvd25yZXYueG1sUEsBAhQA&#10;FAAAAAgAh07iQN3MKK67AQAAYQMAAA4AAAAAAAAAAQAgAAAAJQEAAGRycy9lMm9Eb2MueG1sUEsF&#10;BgAAAAAGAAYAWQEAAFIFAAAAAA==&#10;">
                        <v:fill on="f" focussize="0,0"/>
                        <v:stroke on="f" weight="0pt"/>
                        <v:imagedata o:title=""/>
                        <o:lock v:ext="edit" aspectratio="f"/>
                        <v:textbox>
                          <w:txbxContent>
                            <w:p>
                              <w:pPr>
                                <w:rPr>
                                  <w:rFonts w:ascii="宋体" w:hAnsi="宋体"/>
                                  <w:szCs w:val="21"/>
                                </w:rPr>
                              </w:pPr>
                              <w:r>
                                <w:rPr>
                                  <w:rFonts w:ascii="宋体" w:hAnsi="宋体"/>
                                  <w:szCs w:val="21"/>
                                </w:rPr>
                                <w:t>自来水</w:t>
                              </w:r>
                            </w:p>
                          </w:txbxContent>
                        </v:textbox>
                      </v:shape>
                      <v:line id="直接连接符 70" o:spid="_x0000_s1026" o:spt="20" style="position:absolute;left:840740;top:548640;flip:x;height:670560;width:5080;" filled="f" stroked="t" coordsize="21600,21600" o:gfxdata="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xjufS1QAAAAUBAAAPAAAAAAAAAAEAIAAAACIAAABkcnMvZG93&#10;bnJldi54bWxQSwECFAAUAAAACACHTuJAtCOi2AMCAADxAwAADgAAAAAAAAABACAAAAAkAQAAZHJz&#10;L2Uyb0RvYy54bWxQSwUGAAAAAAYABgBZAQAAmQUAAAAA&#10;">
                        <v:fill on="f" focussize="0,0"/>
                        <v:stroke color="#000000" joinstyle="round"/>
                        <v:imagedata o:title=""/>
                        <o:lock v:ext="edit" aspectratio="f"/>
                      </v:line>
                      <v:line id="直接连接符 71" o:spid="_x0000_s1026" o:spt="20" style="position:absolute;left:839470;top:1213485;height:1905;width:605790;" filled="f" stroked="t" coordsize="21600,21600" o:gfxdata="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JHsvE1gAAAAUBAAAPAAAAAAAAAAEAIAAAACIAAABkcnMvZG93&#10;bnJldi54bWxQSwECFAAUAAAACACHTuJAmuFPlAICAADpAwAADgAAAAAAAAABACAAAAAlAQAAZHJz&#10;L2Uyb0RvYy54bWxQSwUGAAAAAAYABgBZAQAAmQUAAAAA&#10;">
                        <v:fill on="f" focussize="0,0"/>
                        <v:stroke weight="0pt" color="#000000" joinstyle="round" endarrow="block"/>
                        <v:imagedata o:title=""/>
                        <o:lock v:ext="edit" aspectratio="f"/>
                      </v:line>
                      <v:shape id="文本框 72" o:spid="_x0000_s1026" o:spt="202" type="#_x0000_t202" style="position:absolute;left:1478280;top:1078230;height:304165;width:847090;" fillcolor="#FFFFFF" filled="t" stroked="t" coordsize="21600,21600" o:gfxdata="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63hQ1QAAAAUBAAAPAAAAAAAAAAEAIAAA&#10;ACIAAABkcnMvZG93bnJldi54bWxQSwECFAAUAAAACACHTuJAMvLBRw8CAABBBAAADgAAAAAAAAAB&#10;ACAAAAAkAQAAZHJzL2Uyb0RvYy54bWxQSwUGAAAAAAYABgBZAQAApQUAAAAA&#10;">
                        <v:fill on="t" focussize="0,0"/>
                        <v:stroke weight="0pt" color="#000000" joinstyle="miter"/>
                        <v:imagedata o:title=""/>
                        <o:lock v:ext="edit" aspectratio="f"/>
                        <v:textbox>
                          <w:txbxContent>
                            <w:p>
                              <w:pPr>
                                <w:ind w:firstLine="105" w:firstLineChars="50"/>
                                <w:rPr>
                                  <w:rFonts w:ascii="宋体" w:hAnsi="宋体"/>
                                  <w:szCs w:val="21"/>
                                </w:rPr>
                              </w:pPr>
                              <w:r>
                                <w:rPr>
                                  <w:rFonts w:hint="eastAsia" w:ascii="宋体" w:hAnsi="宋体"/>
                                  <w:szCs w:val="21"/>
                                </w:rPr>
                                <w:t>冷却</w:t>
                              </w:r>
                              <w:r>
                                <w:rPr>
                                  <w:rFonts w:ascii="宋体" w:hAnsi="宋体"/>
                                  <w:szCs w:val="21"/>
                                </w:rPr>
                                <w:t>用水</w:t>
                              </w:r>
                            </w:p>
                          </w:txbxContent>
                        </v:textbox>
                      </v:shape>
                      <v:line id="直接连接符 73" o:spid="_x0000_s1026" o:spt="20" style="position:absolute;left:236220;top:946785;height:1905;width:605790;" filled="f" stroked="t" coordsize="21600,21600" o:gfxdata="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JHsvE1gAAAAUBAAAPAAAAAAAAAAEAIAAAACIAAABkcnMvZG93&#10;bnJldi54bWxQSwECFAAUAAAACACHTuJA1D+1UgICAADoAwAADgAAAAAAAAABACAAAAAlAQAAZHJz&#10;L2Uyb0RvYy54bWxQSwUGAAAAAAYABgBZAQAAmQUAAAAA&#10;">
                        <v:fill on="f" focussize="0,0"/>
                        <v:stroke weight="0pt" color="#000000" joinstyle="round" endarrow="block"/>
                        <v:imagedata o:title=""/>
                        <o:lock v:ext="edit" aspectratio="f"/>
                      </v:line>
                      <v:shape id="文本框 74" o:spid="_x0000_s1026" o:spt="202" type="#_x0000_t202" style="position:absolute;left:937895;top:904875;height:248920;width:554355;" filled="f" stroked="f" coordsize="21600,21600" o:gfxdata="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Ofu7+DWAAAABQEAAA8AAAAAAAAAAQAgAAAAIgAAAGRycy9kb3ducmV2LnhtbFBLAQIU&#10;ABQAAAAIAIdO4kBF+g74vAEAAGADAAAOAAAAAAAAAAEAIAAAACUBAABkcnMvZTJvRG9jLnhtbFBL&#10;BQYAAAAABgAGAFkBAABTBQAAAAA=&#10;">
                        <v:fill on="f" focussize="0,0"/>
                        <v:stroke on="f" weight="0pt"/>
                        <v:imagedata o:title=""/>
                        <o:lock v:ext="edit" aspectratio="f"/>
                        <v:textbox>
                          <w:txbxContent>
                            <w:p>
                              <w:pPr>
                                <w:rPr>
                                  <w:rFonts w:ascii="宋体" w:hAnsi="宋体"/>
                                  <w:szCs w:val="21"/>
                                </w:rPr>
                              </w:pPr>
                              <w:r>
                                <w:rPr>
                                  <w:rFonts w:hint="eastAsia" w:ascii="宋体" w:hAnsi="宋体"/>
                                  <w:szCs w:val="21"/>
                                </w:rPr>
                                <w:t>24</w:t>
                              </w:r>
                            </w:p>
                          </w:txbxContent>
                        </v:textbox>
                      </v:shape>
                      <v:shape id="曲线连接符 75" o:spid="_x0000_s1026" o:spt="38" type="#_x0000_t38" style="position:absolute;left:1586230;top:864235;height:169545;width:248285;rotation:-5898240f;" filled="f" stroked="t" coordsize="21600,21600" o:gfxdata="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vQKoV1wAAAAUBAAAPAAAAAAAAAAEAIAAAACIAAABkcnMvZG93bnJldi54bWxQ&#10;SwECFAAUAAAACACHTuJAyFMu3DECAAAzBAAADgAAAAAAAAABACAAAAAmAQAAZHJzL2Uyb0RvYy54&#10;bWxQSwUGAAAAAAYABgBZAQAAyQUAAAAA&#10;" adj="10772">
                        <v:fill on="f" focussize="0,0"/>
                        <v:stroke weight="0pt" color="#000000" joinstyle="round" endarrow="block"/>
                        <v:imagedata o:title=""/>
                        <o:lock v:ext="edit" aspectratio="f"/>
                      </v:shape>
                      <v:shape id="文本框 76" o:spid="_x0000_s1026" o:spt="202" type="#_x0000_t202" style="position:absolute;left:1731010;top:641985;height:296545;width:1000760;" filled="f" stroked="f" coordsize="21600,21600" o:gfxdata="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Ofu7+DWAAAABQEAAA8AAAAAAAAAAQAgAAAAIgAAAGRycy9kb3ducmV2LnhtbFBLAQIU&#10;ABQAAAAIAIdO4kBLqNIYvAEAAGIDAAAOAAAAAAAAAAEAIAAAACUBAABkcnMvZTJvRG9jLnhtbFBL&#10;BQYAAAAABgAGAFkBAABTBQAAAAA=&#10;">
                        <v:fill on="f" focussize="0,0"/>
                        <v:stroke on="f" weight="0pt"/>
                        <v:imagedata o:title=""/>
                        <o:lock v:ext="edit" aspectratio="f"/>
                        <v:textbox>
                          <w:txbxContent>
                            <w:p>
                              <w:pPr>
                                <w:rPr>
                                  <w:rFonts w:ascii="宋体" w:hAnsi="宋体"/>
                                  <w:szCs w:val="21"/>
                                </w:rPr>
                              </w:pPr>
                              <w:r>
                                <w:rPr>
                                  <w:rFonts w:ascii="宋体" w:hAnsi="宋体"/>
                                  <w:szCs w:val="21"/>
                                </w:rPr>
                                <w:t>损耗</w:t>
                              </w:r>
                              <w:r>
                                <w:rPr>
                                  <w:rFonts w:hint="eastAsia" w:ascii="宋体" w:hAnsi="宋体"/>
                                  <w:szCs w:val="21"/>
                                </w:rPr>
                                <w:t>24</w:t>
                              </w:r>
                            </w:p>
                          </w:txbxContent>
                        </v:textbox>
                      </v:shape>
                      <v:line id="直接连接符 78" o:spid="_x0000_s1026" o:spt="20" style="position:absolute;left:2327910;top:1150620;flip:y;height:1905;width:215265;" filled="f" stroked="t" coordsize="21600,21600" o:gfxdata="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&#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IyMmnXAAAABQEAAA8AAAAAAAAAAQAgAAAAIgAAAGRy&#10;cy9kb3ducmV2LnhtbFBLAQIUABQAAAAIAIdO4kBCvTQLBgIAAPEDAAAOAAAAAAAAAAEAIAAAACYB&#10;AABkcnMvZTJvRG9jLnhtbFBLBQYAAAAABgAGAFkBAACeBQAAAAA=&#10;">
                        <v:fill on="f" focussize="0,0"/>
                        <v:stroke color="#000000" joinstyle="round" endarrowwidth="narrow" endarrowlength="long"/>
                        <v:imagedata o:title=""/>
                        <o:lock v:ext="edit" aspectratio="f"/>
                      </v:line>
                      <v:line id="直接连接符 79" o:spid="_x0000_s1026" o:spt="20" style="position:absolute;left:2180590;top:920115;height:157480;width:635;" filled="f" stroked="t" coordsize="21600,21600" o:gfxdata="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7MSxzXAAAABQEAAA8AAAAAAAAAAQAgAAAAIgAAAGRycy9k&#10;b3ducmV2LnhtbFBLAQIUABQAAAAIAIdO4kCmHEdHAwIAAOsDAAAOAAAAAAAAAAEAIAAAACYBAABk&#10;cnMvZTJvRG9jLnhtbFBLBQYAAAAABgAGAFkBAACbBQAAAAA=&#10;">
                        <v:fill on="f" focussize="0,0"/>
                        <v:stroke color="#000000" joinstyle="round" endarrow="block"/>
                        <v:imagedata o:title=""/>
                        <o:lock v:ext="edit" aspectratio="f"/>
                      </v:line>
                      <v:line id="直接连接符 80" o:spid="_x0000_s1026" o:spt="20" style="position:absolute;left:2180590;top:920115;flip:x;height:635;width:373380;" filled="f" stroked="t" coordsize="21600,21600" o:gfxdata="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GO59LVAAAABQEAAA8AAAAAAAAAAQAgAAAAIgAAAGRycy9kb3du&#10;cmV2LnhtbFBLAQIUABQAAAAIAIdO4kCDkA13AgIAAPEDAAAOAAAAAAAAAAEAIAAAACQBAABkcnMv&#10;ZTJvRG9jLnhtbFBLBQYAAAAABgAGAFkBAACYBQAAAAA=&#10;">
                        <v:fill on="f" focussize="0,0"/>
                        <v:stroke color="#000000" joinstyle="round"/>
                        <v:imagedata o:title=""/>
                        <o:lock v:ext="edit" aspectratio="f"/>
                      </v:line>
                      <v:line id="直接连接符 81" o:spid="_x0000_s1026" o:spt="20" style="position:absolute;left:2551430;top:920115;flip:y;height:240030;width:2540;" filled="f" stroked="t" coordsize="21600,21600" o:gfxdata="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xjufS1QAAAAUBAAAPAAAAAAAAAAEAIAAAACIAAABkcnMvZG93bnJl&#10;di54bWxQSwECFAAUAAAACACHTuJA9mQq4wACAADyAwAADgAAAAAAAAABACAAAAAkAQAAZHJzL2Uy&#10;b0RvYy54bWxQSwUGAAAAAAYABgBZAQAAlgUAAAAA&#10;">
                        <v:fill on="f" focussize="0,0"/>
                        <v:stroke color="#000000" joinstyle="round"/>
                        <v:imagedata o:title=""/>
                        <o:lock v:ext="edit" aspectratio="f"/>
                      </v:line>
                      <v:shape id="文本框 82" o:spid="_x0000_s1026" o:spt="202" type="#_x0000_t202" style="position:absolute;left:2504440;top:716280;height:266065;width:1125220;" filled="f" stroked="f" coordsize="21600,21600" o:gfxdata="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Ofu7+DWAAAABQEAAA8AAAAAAAAAAQAgAAAAIgAAAGRycy9kb3ducmV2LnhtbFBLAQIU&#10;ABQAAAAIAIdO4kCZNt8svAEAAGIDAAAOAAAAAAAAAAEAIAAAACUBAABkcnMvZTJvRG9jLnhtbFBL&#10;BQYAAAAABgAGAFkBAABTBQAAAAA=&#10;">
                        <v:fill on="f" focussize="0,0"/>
                        <v:stroke on="f" weight="0pt"/>
                        <v:imagedata o:title=""/>
                        <o:lock v:ext="edit" aspectratio="f"/>
                        <v:textbox>
                          <w:txbxContent>
                            <w:p>
                              <w:pPr>
                                <w:rPr>
                                  <w:rFonts w:ascii="宋体" w:hAnsi="宋体"/>
                                  <w:szCs w:val="21"/>
                                </w:rPr>
                              </w:pPr>
                              <w:r>
                                <w:rPr>
                                  <w:rFonts w:hint="eastAsia" w:ascii="宋体" w:hAnsi="宋体"/>
                                  <w:szCs w:val="21"/>
                                </w:rPr>
                                <w:t>循环2400</w:t>
                              </w:r>
                            </w:p>
                            <w:p>
                              <w:pPr>
                                <w:rPr>
                                  <w:rFonts w:ascii="宋体" w:hAnsi="宋体"/>
                                  <w:szCs w:val="21"/>
                                </w:rPr>
                              </w:pPr>
                              <w:r>
                                <w:rPr>
                                  <w:rFonts w:ascii="宋体" w:hAnsi="宋体"/>
                                  <w:szCs w:val="21"/>
                                </w:rPr>
                                <w:t>T</w:t>
                              </w:r>
                            </w:p>
                          </w:txbxContent>
                        </v:textbox>
                      </v:shape>
                      <v:shape id="文本框 83" o:spid="_x0000_s1026" o:spt="202" type="#_x0000_t202" style="position:absolute;left:171450;top:626745;height:266065;width:521970;" filled="f" stroked="f" coordsize="21600,21600" o:gfxdata="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Ofu7+DWAAAABQEAAA8AAAAAAAAAAQAgAAAAIgAAAGRycy9kb3ducmV2LnhtbFBLAQIU&#10;ABQAAAAIAIdO4kDDcuG+vAEAAGADAAAOAAAAAAAAAAEAIAAAACUBAABkcnMvZTJvRG9jLnhtbFBL&#10;BQYAAAAABgAGAFkBAABTBQAAAAA=&#10;">
                        <v:fill on="f" focussize="0,0"/>
                        <v:stroke on="f" weight="0pt"/>
                        <v:imagedata o:title=""/>
                        <o:lock v:ext="edit" aspectratio="f"/>
                        <v:textbox>
                          <w:txbxContent>
                            <w:p>
                              <w:pPr>
                                <w:rPr>
                                  <w:rFonts w:ascii="宋体" w:hAnsi="宋体"/>
                                  <w:szCs w:val="21"/>
                                </w:rPr>
                              </w:pPr>
                              <w:r>
                                <w:rPr>
                                  <w:rFonts w:hint="eastAsia" w:ascii="宋体" w:hAnsi="宋体"/>
                                  <w:szCs w:val="21"/>
                                </w:rPr>
                                <w:t>249</w:t>
                              </w:r>
                            </w:p>
                            <w:p>
                              <w:pPr>
                                <w:rPr>
                                  <w:rFonts w:ascii="宋体" w:hAnsi="宋体"/>
                                  <w:szCs w:val="21"/>
                                </w:rPr>
                              </w:pPr>
                              <w:r>
                                <w:rPr>
                                  <w:rFonts w:ascii="宋体" w:hAnsi="宋体"/>
                                  <w:szCs w:val="21"/>
                                </w:rPr>
                                <w:t>T</w:t>
                              </w:r>
                            </w:p>
                          </w:txbxContent>
                        </v:textbox>
                      </v:shape>
                      <v:line id="直接连接符 84" o:spid="_x0000_s1026" o:spt="20" style="position:absolute;left:2288540;top:533400;height:5715;width:1563370;" filled="f" stroked="t" coordsize="21600,21600" o:gfxdata="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ms8ti2AAAAAUBAAAPAAAAAAAAAAEAIAAAACIAAABk&#10;cnMvZG93bnJldi54bWxQSwECFAAUAAAACACHTuJARusNmAYCAADrAwAADgAAAAAAAAABACAAAAAn&#10;AQAAZHJzL2Uyb0RvYy54bWxQSwUGAAAAAAYABgBZAQAAnwUAAAAA&#10;">
                        <v:fill on="f" focussize="0,0"/>
                        <v:stroke color="#000000" joinstyle="round" endarrow="block" endarrowwidth="narrow" endarrowlength="long"/>
                        <v:imagedata o:title=""/>
                        <o:lock v:ext="edit" aspectratio="f"/>
                      </v:line>
                      <w10:wrap type="none"/>
                      <w10:anchorlock/>
                    </v:group>
                  </w:pict>
                </mc:Fallback>
              </mc:AlternateContent>
            </w:r>
          </w:p>
          <w:p>
            <w:pPr>
              <w:pStyle w:val="15"/>
              <w:adjustRightInd w:val="0"/>
              <w:spacing w:before="0" w:after="0" w:line="360" w:lineRule="auto"/>
              <w:ind w:right="0"/>
              <w:jc w:val="center"/>
              <w:rPr>
                <w:b/>
                <w:color w:val="auto"/>
                <w:sz w:val="21"/>
                <w:szCs w:val="21"/>
              </w:rPr>
            </w:pPr>
            <w:r>
              <w:rPr>
                <w:b/>
                <w:color w:val="auto"/>
                <w:sz w:val="21"/>
                <w:szCs w:val="21"/>
              </w:rPr>
              <w:t>图2</w:t>
            </w:r>
            <w:r>
              <w:rPr>
                <w:rFonts w:hint="eastAsia"/>
                <w:b/>
                <w:color w:val="auto"/>
                <w:sz w:val="21"/>
                <w:szCs w:val="21"/>
              </w:rPr>
              <w:t>-4</w:t>
            </w:r>
            <w:r>
              <w:rPr>
                <w:b/>
                <w:color w:val="auto"/>
                <w:sz w:val="21"/>
                <w:szCs w:val="21"/>
              </w:rPr>
              <w:t xml:space="preserve"> 现有项目水平衡图（单位：t/a）</w:t>
            </w:r>
          </w:p>
          <w:p>
            <w:pPr>
              <w:pStyle w:val="15"/>
              <w:adjustRightInd w:val="0"/>
              <w:spacing w:before="0" w:after="0" w:line="360" w:lineRule="auto"/>
              <w:ind w:right="0" w:firstLine="422" w:firstLineChars="200"/>
              <w:rPr>
                <w:b/>
                <w:color w:val="auto"/>
                <w:sz w:val="21"/>
                <w:szCs w:val="21"/>
              </w:rPr>
            </w:pPr>
            <w:r>
              <w:rPr>
                <w:rFonts w:hint="eastAsia"/>
                <w:b/>
                <w:color w:val="auto"/>
                <w:sz w:val="21"/>
                <w:szCs w:val="21"/>
              </w:rPr>
              <w:t>三</w:t>
            </w:r>
            <w:r>
              <w:rPr>
                <w:b/>
                <w:color w:val="auto"/>
                <w:sz w:val="21"/>
                <w:szCs w:val="21"/>
              </w:rPr>
              <w:t>、现有项目污染物产生及排放情况</w:t>
            </w:r>
          </w:p>
          <w:p>
            <w:pPr>
              <w:adjustRightInd w:val="0"/>
              <w:snapToGrid w:val="0"/>
              <w:spacing w:line="360" w:lineRule="auto"/>
              <w:ind w:firstLine="420" w:firstLineChars="200"/>
              <w:rPr>
                <w:color w:val="auto"/>
                <w:szCs w:val="21"/>
                <w:lang w:val="zh-CN"/>
              </w:rPr>
            </w:pPr>
            <w:r>
              <w:rPr>
                <w:color w:val="auto"/>
                <w:szCs w:val="21"/>
                <w:lang w:val="zh-CN"/>
              </w:rPr>
              <w:t>1、废气</w:t>
            </w:r>
          </w:p>
          <w:p>
            <w:pPr>
              <w:snapToGrid w:val="0"/>
              <w:spacing w:line="360" w:lineRule="auto"/>
              <w:ind w:firstLine="420" w:firstLineChars="200"/>
              <w:jc w:val="both"/>
              <w:rPr>
                <w:color w:val="auto"/>
                <w:szCs w:val="21"/>
              </w:rPr>
            </w:pPr>
            <w:r>
              <w:rPr>
                <w:rFonts w:hint="eastAsia"/>
                <w:color w:val="auto"/>
                <w:szCs w:val="21"/>
              </w:rPr>
              <w:t>企业橡胶件产生的废气经收集后进入活性炭吸附装置处理后通过1#排气筒排放（1</w:t>
            </w:r>
            <w:r>
              <w:rPr>
                <w:color w:val="auto"/>
                <w:szCs w:val="21"/>
              </w:rPr>
              <w:t>5</w:t>
            </w:r>
            <w:r>
              <w:rPr>
                <w:rFonts w:hint="eastAsia"/>
                <w:color w:val="auto"/>
                <w:szCs w:val="21"/>
              </w:rPr>
              <w:t>m高）；</w:t>
            </w:r>
          </w:p>
          <w:p>
            <w:pPr>
              <w:snapToGrid w:val="0"/>
              <w:spacing w:line="360" w:lineRule="auto"/>
              <w:ind w:firstLine="420" w:firstLineChars="200"/>
              <w:jc w:val="both"/>
              <w:rPr>
                <w:color w:val="auto"/>
                <w:szCs w:val="21"/>
              </w:rPr>
            </w:pPr>
            <w:r>
              <w:rPr>
                <w:rFonts w:hint="eastAsia"/>
                <w:color w:val="auto"/>
                <w:szCs w:val="21"/>
              </w:rPr>
              <w:t>根据企业验收监测报告，</w:t>
            </w:r>
            <w:r>
              <w:rPr>
                <w:color w:val="auto"/>
                <w:szCs w:val="21"/>
              </w:rPr>
              <w:t>企业</w:t>
            </w:r>
            <w:r>
              <w:rPr>
                <w:rFonts w:hint="eastAsia"/>
                <w:color w:val="auto"/>
                <w:szCs w:val="21"/>
                <w:lang w:val="en-US" w:eastAsia="zh-CN"/>
              </w:rPr>
              <w:t>有组织废气</w:t>
            </w:r>
            <w:r>
              <w:rPr>
                <w:color w:val="auto"/>
                <w:szCs w:val="21"/>
              </w:rPr>
              <w:t>非甲烷总烃排放浓度</w:t>
            </w:r>
            <w:r>
              <w:rPr>
                <w:rFonts w:hint="eastAsia"/>
                <w:color w:val="auto"/>
                <w:szCs w:val="21"/>
              </w:rPr>
              <w:t>满足《橡胶制品工业污染物排放标准》（GB27632-2011），硫化氢排放</w:t>
            </w:r>
            <w:r>
              <w:rPr>
                <w:color w:val="auto"/>
                <w:szCs w:val="21"/>
              </w:rPr>
              <w:t>速率满足</w:t>
            </w:r>
            <w:r>
              <w:rPr>
                <w:rFonts w:hint="eastAsia"/>
                <w:color w:val="auto"/>
                <w:szCs w:val="21"/>
              </w:rPr>
              <w:t>《恶臭污染物排放标准》（GB14554-93）</w:t>
            </w:r>
            <w:r>
              <w:rPr>
                <w:color w:val="auto"/>
                <w:szCs w:val="21"/>
              </w:rPr>
              <w:t>标准要求，对周围环境影响很小</w:t>
            </w:r>
            <w:r>
              <w:rPr>
                <w:rFonts w:hint="eastAsia"/>
                <w:color w:val="auto"/>
                <w:szCs w:val="21"/>
                <w:lang w:eastAsia="zh-CN"/>
              </w:rPr>
              <w:t>；</w:t>
            </w:r>
            <w:r>
              <w:rPr>
                <w:rFonts w:hint="eastAsia"/>
                <w:color w:val="auto"/>
                <w:szCs w:val="21"/>
              </w:rPr>
              <w:t>厂界无组织排放监控点硫化氢符合《恶臭污染物排放标准》（GB14554-93）中的标准要求；非甲烷总烃符合《橡胶制品工业污染物排放标准》（GB27632-2011）中的标准要求；</w:t>
            </w:r>
          </w:p>
          <w:p>
            <w:pPr>
              <w:snapToGrid w:val="0"/>
              <w:spacing w:line="360" w:lineRule="auto"/>
              <w:ind w:firstLine="420" w:firstLineChars="200"/>
              <w:rPr>
                <w:color w:val="auto"/>
                <w:szCs w:val="21"/>
              </w:rPr>
            </w:pPr>
            <w:r>
              <w:rPr>
                <w:color w:val="auto"/>
                <w:szCs w:val="21"/>
              </w:rPr>
              <w:t>2、废水</w:t>
            </w:r>
          </w:p>
          <w:p>
            <w:pPr>
              <w:adjustRightInd w:val="0"/>
              <w:snapToGrid w:val="0"/>
              <w:spacing w:line="360" w:lineRule="auto"/>
              <w:ind w:firstLine="420" w:firstLineChars="200"/>
              <w:rPr>
                <w:color w:val="auto"/>
                <w:szCs w:val="21"/>
                <w:lang w:val="zh-CN"/>
              </w:rPr>
            </w:pPr>
            <w:r>
              <w:rPr>
                <w:color w:val="auto"/>
                <w:szCs w:val="21"/>
              </w:rPr>
              <w:t>企业现有项目废水主要为职工生活污水，排放量为</w:t>
            </w:r>
            <w:r>
              <w:rPr>
                <w:rFonts w:hint="eastAsia"/>
                <w:color w:val="auto"/>
                <w:szCs w:val="21"/>
              </w:rPr>
              <w:t>191</w:t>
            </w:r>
            <w:r>
              <w:rPr>
                <w:color w:val="auto"/>
                <w:szCs w:val="21"/>
              </w:rPr>
              <w:t>t/a</w:t>
            </w:r>
            <w:r>
              <w:rPr>
                <w:rFonts w:hint="eastAsia"/>
                <w:color w:val="auto"/>
                <w:szCs w:val="21"/>
                <w:lang w:val="zh-CN"/>
              </w:rPr>
              <w:t>。</w:t>
            </w:r>
          </w:p>
          <w:p>
            <w:pPr>
              <w:adjustRightInd w:val="0"/>
              <w:snapToGrid w:val="0"/>
              <w:spacing w:line="360" w:lineRule="auto"/>
              <w:ind w:firstLine="420" w:firstLineChars="200"/>
              <w:rPr>
                <w:color w:val="auto"/>
                <w:szCs w:val="21"/>
              </w:rPr>
            </w:pPr>
            <w:r>
              <w:rPr>
                <w:rFonts w:hint="eastAsia"/>
                <w:color w:val="auto"/>
                <w:szCs w:val="21"/>
                <w:lang w:val="zh-CN"/>
              </w:rPr>
              <w:t>根据</w:t>
            </w:r>
            <w:r>
              <w:rPr>
                <w:rFonts w:hint="eastAsia"/>
                <w:color w:val="auto"/>
                <w:szCs w:val="21"/>
              </w:rPr>
              <w:t>企业验收监测</w:t>
            </w:r>
            <w:r>
              <w:rPr>
                <w:color w:val="auto"/>
                <w:szCs w:val="21"/>
              </w:rPr>
              <w:t>，企业生活污水接管口水质监测结果见表2-</w:t>
            </w:r>
            <w:r>
              <w:rPr>
                <w:rFonts w:hint="eastAsia"/>
                <w:color w:val="auto"/>
                <w:szCs w:val="21"/>
                <w:lang w:val="en-US" w:eastAsia="zh-CN"/>
              </w:rPr>
              <w:t>9</w:t>
            </w:r>
            <w:r>
              <w:rPr>
                <w:color w:val="auto"/>
                <w:szCs w:val="21"/>
              </w:rPr>
              <w:t>。</w:t>
            </w:r>
          </w:p>
          <w:p>
            <w:pPr>
              <w:adjustRightInd w:val="0"/>
              <w:snapToGrid w:val="0"/>
              <w:jc w:val="center"/>
              <w:rPr>
                <w:b/>
                <w:color w:val="auto"/>
                <w:szCs w:val="21"/>
              </w:rPr>
            </w:pPr>
            <w:r>
              <w:rPr>
                <w:b/>
                <w:color w:val="auto"/>
                <w:szCs w:val="21"/>
              </w:rPr>
              <w:t>表2-</w:t>
            </w:r>
            <w:r>
              <w:rPr>
                <w:rFonts w:hint="eastAsia"/>
                <w:b/>
                <w:color w:val="auto"/>
                <w:szCs w:val="21"/>
                <w:lang w:val="en-US" w:eastAsia="zh-CN"/>
              </w:rPr>
              <w:t>9</w:t>
            </w:r>
            <w:r>
              <w:rPr>
                <w:b/>
                <w:color w:val="auto"/>
                <w:szCs w:val="21"/>
              </w:rPr>
              <w:t xml:space="preserve">   废水</w:t>
            </w:r>
            <w:r>
              <w:rPr>
                <w:rFonts w:hint="eastAsia"/>
                <w:b/>
                <w:color w:val="auto"/>
                <w:szCs w:val="21"/>
              </w:rPr>
              <w:t>验收</w:t>
            </w:r>
            <w:r>
              <w:rPr>
                <w:b/>
                <w:color w:val="auto"/>
                <w:szCs w:val="21"/>
              </w:rPr>
              <w:t>监测结果统计表</w:t>
            </w:r>
          </w:p>
          <w:tbl>
            <w:tblPr>
              <w:tblStyle w:val="3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14"/>
              <w:gridCol w:w="1514"/>
              <w:gridCol w:w="1514"/>
              <w:gridCol w:w="1514"/>
              <w:gridCol w:w="1514"/>
              <w:gridCol w:w="15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1" w:hRule="atLeast"/>
                <w:jc w:val="center"/>
              </w:trPr>
              <w:tc>
                <w:tcPr>
                  <w:tcW w:w="1514" w:type="dxa"/>
                  <w:vMerge w:val="restart"/>
                  <w:vAlign w:val="center"/>
                </w:tcPr>
                <w:p>
                  <w:pPr>
                    <w:adjustRightInd w:val="0"/>
                    <w:snapToGrid w:val="0"/>
                    <w:jc w:val="center"/>
                    <w:rPr>
                      <w:b/>
                      <w:bCs/>
                      <w:color w:val="auto"/>
                      <w:sz w:val="18"/>
                      <w:szCs w:val="18"/>
                      <w:lang w:val="zh-CN"/>
                    </w:rPr>
                  </w:pPr>
                  <w:r>
                    <w:rPr>
                      <w:rFonts w:hint="eastAsia"/>
                      <w:b/>
                      <w:bCs/>
                      <w:color w:val="auto"/>
                      <w:sz w:val="18"/>
                      <w:szCs w:val="18"/>
                      <w:lang w:val="zh-CN"/>
                    </w:rPr>
                    <w:t>监测时间</w:t>
                  </w:r>
                </w:p>
              </w:tc>
              <w:tc>
                <w:tcPr>
                  <w:tcW w:w="1514" w:type="dxa"/>
                  <w:vMerge w:val="restart"/>
                  <w:vAlign w:val="center"/>
                </w:tcPr>
                <w:p>
                  <w:pPr>
                    <w:adjustRightInd w:val="0"/>
                    <w:snapToGrid w:val="0"/>
                    <w:jc w:val="center"/>
                    <w:rPr>
                      <w:b/>
                      <w:bCs/>
                      <w:color w:val="auto"/>
                      <w:sz w:val="18"/>
                      <w:szCs w:val="18"/>
                      <w:lang w:val="zh-CN"/>
                    </w:rPr>
                  </w:pPr>
                  <w:r>
                    <w:rPr>
                      <w:rFonts w:hint="eastAsia"/>
                      <w:b/>
                      <w:bCs/>
                      <w:color w:val="auto"/>
                      <w:sz w:val="18"/>
                      <w:szCs w:val="18"/>
                      <w:lang w:val="zh-CN"/>
                    </w:rPr>
                    <w:t>监测点位</w:t>
                  </w:r>
                </w:p>
              </w:tc>
              <w:tc>
                <w:tcPr>
                  <w:tcW w:w="1514" w:type="dxa"/>
                  <w:vMerge w:val="restart"/>
                  <w:vAlign w:val="center"/>
                </w:tcPr>
                <w:p>
                  <w:pPr>
                    <w:adjustRightInd w:val="0"/>
                    <w:snapToGrid w:val="0"/>
                    <w:jc w:val="center"/>
                    <w:rPr>
                      <w:b/>
                      <w:bCs/>
                      <w:color w:val="auto"/>
                      <w:sz w:val="18"/>
                      <w:szCs w:val="18"/>
                      <w:lang w:val="zh-CN"/>
                    </w:rPr>
                  </w:pPr>
                  <w:r>
                    <w:rPr>
                      <w:rFonts w:hint="eastAsia"/>
                      <w:b/>
                      <w:bCs/>
                      <w:color w:val="auto"/>
                      <w:sz w:val="18"/>
                      <w:szCs w:val="18"/>
                      <w:lang w:val="zh-CN"/>
                    </w:rPr>
                    <w:t>监测项目</w:t>
                  </w:r>
                </w:p>
              </w:tc>
              <w:tc>
                <w:tcPr>
                  <w:tcW w:w="4543" w:type="dxa"/>
                  <w:gridSpan w:val="3"/>
                  <w:vAlign w:val="center"/>
                </w:tcPr>
                <w:p>
                  <w:pPr>
                    <w:adjustRightInd w:val="0"/>
                    <w:snapToGrid w:val="0"/>
                    <w:jc w:val="center"/>
                    <w:rPr>
                      <w:b/>
                      <w:bCs/>
                      <w:color w:val="auto"/>
                      <w:sz w:val="18"/>
                      <w:szCs w:val="18"/>
                      <w:lang w:val="zh-CN"/>
                    </w:rPr>
                  </w:pPr>
                  <w:r>
                    <w:rPr>
                      <w:rFonts w:hint="eastAsia"/>
                      <w:b/>
                      <w:bCs/>
                      <w:color w:val="auto"/>
                      <w:sz w:val="18"/>
                      <w:szCs w:val="18"/>
                      <w:lang w:val="zh-CN"/>
                    </w:rPr>
                    <w:t>监测结果（单位：mg</w:t>
                  </w:r>
                  <w:r>
                    <w:rPr>
                      <w:b/>
                      <w:bCs/>
                      <w:color w:val="auto"/>
                      <w:sz w:val="18"/>
                      <w:szCs w:val="18"/>
                      <w:lang w:val="zh-CN"/>
                    </w:rPr>
                    <w:t>/L</w:t>
                  </w:r>
                  <w:r>
                    <w:rPr>
                      <w:rFonts w:hint="eastAsia"/>
                      <w:b/>
                      <w:bCs/>
                      <w:color w:val="auto"/>
                      <w:sz w:val="18"/>
                      <w:szCs w:val="18"/>
                      <w:lang w:val="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514" w:type="dxa"/>
                  <w:vMerge w:val="continue"/>
                  <w:vAlign w:val="center"/>
                </w:tcPr>
                <w:p>
                  <w:pPr>
                    <w:adjustRightInd w:val="0"/>
                    <w:snapToGrid w:val="0"/>
                    <w:jc w:val="center"/>
                    <w:rPr>
                      <w:b/>
                      <w:bCs/>
                      <w:color w:val="auto"/>
                      <w:sz w:val="18"/>
                      <w:szCs w:val="18"/>
                      <w:lang w:val="zh-CN"/>
                    </w:rPr>
                  </w:pPr>
                </w:p>
              </w:tc>
              <w:tc>
                <w:tcPr>
                  <w:tcW w:w="1514" w:type="dxa"/>
                  <w:vMerge w:val="continue"/>
                  <w:vAlign w:val="center"/>
                </w:tcPr>
                <w:p>
                  <w:pPr>
                    <w:adjustRightInd w:val="0"/>
                    <w:snapToGrid w:val="0"/>
                    <w:jc w:val="center"/>
                    <w:rPr>
                      <w:b/>
                      <w:bCs/>
                      <w:color w:val="auto"/>
                      <w:sz w:val="18"/>
                      <w:szCs w:val="18"/>
                      <w:lang w:val="zh-CN"/>
                    </w:rPr>
                  </w:pPr>
                </w:p>
              </w:tc>
              <w:tc>
                <w:tcPr>
                  <w:tcW w:w="1514" w:type="dxa"/>
                  <w:vMerge w:val="continue"/>
                  <w:vAlign w:val="center"/>
                </w:tcPr>
                <w:p>
                  <w:pPr>
                    <w:adjustRightInd w:val="0"/>
                    <w:snapToGrid w:val="0"/>
                    <w:jc w:val="center"/>
                    <w:rPr>
                      <w:b/>
                      <w:bCs/>
                      <w:color w:val="auto"/>
                      <w:sz w:val="18"/>
                      <w:szCs w:val="18"/>
                      <w:lang w:val="zh-CN"/>
                    </w:rPr>
                  </w:pPr>
                </w:p>
              </w:tc>
              <w:tc>
                <w:tcPr>
                  <w:tcW w:w="1514" w:type="dxa"/>
                  <w:vAlign w:val="center"/>
                </w:tcPr>
                <w:p>
                  <w:pPr>
                    <w:adjustRightInd w:val="0"/>
                    <w:snapToGrid w:val="0"/>
                    <w:jc w:val="center"/>
                    <w:rPr>
                      <w:b/>
                      <w:bCs/>
                      <w:color w:val="auto"/>
                      <w:sz w:val="18"/>
                      <w:szCs w:val="18"/>
                      <w:lang w:val="zh-CN"/>
                    </w:rPr>
                  </w:pPr>
                  <w:r>
                    <w:rPr>
                      <w:rFonts w:hint="eastAsia"/>
                      <w:b/>
                      <w:bCs/>
                      <w:color w:val="auto"/>
                      <w:sz w:val="18"/>
                      <w:szCs w:val="18"/>
                      <w:lang w:val="zh-CN"/>
                    </w:rPr>
                    <w:t>均值（范围）</w:t>
                  </w:r>
                </w:p>
              </w:tc>
              <w:tc>
                <w:tcPr>
                  <w:tcW w:w="1514" w:type="dxa"/>
                  <w:vAlign w:val="center"/>
                </w:tcPr>
                <w:p>
                  <w:pPr>
                    <w:adjustRightInd w:val="0"/>
                    <w:snapToGrid w:val="0"/>
                    <w:jc w:val="center"/>
                    <w:rPr>
                      <w:b/>
                      <w:bCs/>
                      <w:color w:val="auto"/>
                      <w:sz w:val="18"/>
                      <w:szCs w:val="18"/>
                      <w:lang w:val="zh-CN"/>
                    </w:rPr>
                  </w:pPr>
                  <w:r>
                    <w:rPr>
                      <w:rFonts w:hint="eastAsia"/>
                      <w:b/>
                      <w:bCs/>
                      <w:color w:val="auto"/>
                      <w:sz w:val="18"/>
                      <w:szCs w:val="18"/>
                      <w:lang w:val="zh-CN"/>
                    </w:rPr>
                    <w:t>排放限值</w:t>
                  </w:r>
                </w:p>
              </w:tc>
              <w:tc>
                <w:tcPr>
                  <w:tcW w:w="1515" w:type="dxa"/>
                  <w:vAlign w:val="center"/>
                </w:tcPr>
                <w:p>
                  <w:pPr>
                    <w:adjustRightInd w:val="0"/>
                    <w:snapToGrid w:val="0"/>
                    <w:jc w:val="center"/>
                    <w:rPr>
                      <w:b/>
                      <w:bCs/>
                      <w:color w:val="auto"/>
                      <w:sz w:val="18"/>
                      <w:szCs w:val="18"/>
                      <w:lang w:val="zh-CN"/>
                    </w:rPr>
                  </w:pPr>
                  <w:r>
                    <w:rPr>
                      <w:rFonts w:hint="eastAsia"/>
                      <w:b/>
                      <w:bCs/>
                      <w:color w:val="auto"/>
                      <w:sz w:val="18"/>
                      <w:szCs w:val="18"/>
                      <w:lang w:val="zh-CN"/>
                    </w:rPr>
                    <w:t>评价</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restart"/>
                  <w:vAlign w:val="center"/>
                </w:tcPr>
                <w:p>
                  <w:pPr>
                    <w:adjustRightInd w:val="0"/>
                    <w:snapToGrid w:val="0"/>
                    <w:jc w:val="center"/>
                    <w:rPr>
                      <w:color w:val="auto"/>
                      <w:sz w:val="18"/>
                      <w:szCs w:val="18"/>
                    </w:rPr>
                  </w:pPr>
                  <w:r>
                    <w:rPr>
                      <w:rFonts w:hint="eastAsia"/>
                      <w:color w:val="auto"/>
                      <w:sz w:val="18"/>
                      <w:szCs w:val="18"/>
                      <w:lang w:val="zh-CN"/>
                    </w:rPr>
                    <w:t>2</w:t>
                  </w:r>
                  <w:r>
                    <w:rPr>
                      <w:color w:val="auto"/>
                      <w:sz w:val="18"/>
                      <w:szCs w:val="18"/>
                      <w:lang w:val="zh-CN"/>
                    </w:rPr>
                    <w:t>0</w:t>
                  </w:r>
                  <w:r>
                    <w:rPr>
                      <w:rFonts w:hint="eastAsia"/>
                      <w:color w:val="auto"/>
                      <w:sz w:val="18"/>
                      <w:szCs w:val="18"/>
                    </w:rPr>
                    <w:t>16.11.3</w:t>
                  </w:r>
                </w:p>
              </w:tc>
              <w:tc>
                <w:tcPr>
                  <w:tcW w:w="1514" w:type="dxa"/>
                  <w:vMerge w:val="restart"/>
                  <w:vAlign w:val="center"/>
                </w:tcPr>
                <w:p>
                  <w:pPr>
                    <w:adjustRightInd w:val="0"/>
                    <w:snapToGrid w:val="0"/>
                    <w:jc w:val="center"/>
                    <w:rPr>
                      <w:color w:val="auto"/>
                      <w:sz w:val="18"/>
                      <w:szCs w:val="18"/>
                      <w:lang w:val="zh-CN"/>
                    </w:rPr>
                  </w:pPr>
                  <w:r>
                    <w:rPr>
                      <w:rFonts w:hint="eastAsia"/>
                      <w:color w:val="auto"/>
                      <w:sz w:val="18"/>
                      <w:szCs w:val="18"/>
                      <w:lang w:val="zh-CN"/>
                    </w:rPr>
                    <w:t>厂区生活污水总排口</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p</w:t>
                  </w:r>
                  <w:r>
                    <w:rPr>
                      <w:color w:val="auto"/>
                      <w:sz w:val="18"/>
                      <w:szCs w:val="18"/>
                      <w:lang w:val="zh-CN"/>
                    </w:rPr>
                    <w:t>H</w:t>
                  </w:r>
                  <w:r>
                    <w:rPr>
                      <w:rFonts w:hint="eastAsia"/>
                      <w:color w:val="auto"/>
                      <w:sz w:val="18"/>
                      <w:szCs w:val="18"/>
                      <w:lang w:val="zh-CN"/>
                    </w:rPr>
                    <w:t>（无量纲）</w:t>
                  </w:r>
                </w:p>
              </w:tc>
              <w:tc>
                <w:tcPr>
                  <w:tcW w:w="1514" w:type="dxa"/>
                  <w:vAlign w:val="center"/>
                </w:tcPr>
                <w:p>
                  <w:pPr>
                    <w:adjustRightInd w:val="0"/>
                    <w:snapToGrid w:val="0"/>
                    <w:jc w:val="center"/>
                    <w:rPr>
                      <w:color w:val="auto"/>
                      <w:sz w:val="18"/>
                      <w:szCs w:val="18"/>
                    </w:rPr>
                  </w:pPr>
                  <w:r>
                    <w:rPr>
                      <w:rFonts w:hint="eastAsia"/>
                      <w:color w:val="auto"/>
                      <w:sz w:val="18"/>
                      <w:szCs w:val="18"/>
                    </w:rPr>
                    <w:t>6.99~7.03</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6</w:t>
                  </w:r>
                  <w:r>
                    <w:rPr>
                      <w:color w:val="auto"/>
                      <w:sz w:val="18"/>
                      <w:szCs w:val="18"/>
                      <w:lang w:val="zh-CN"/>
                    </w:rPr>
                    <w:t>-9</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化学需氧量</w:t>
                  </w:r>
                </w:p>
              </w:tc>
              <w:tc>
                <w:tcPr>
                  <w:tcW w:w="1514" w:type="dxa"/>
                  <w:vAlign w:val="center"/>
                </w:tcPr>
                <w:p>
                  <w:pPr>
                    <w:adjustRightInd w:val="0"/>
                    <w:snapToGrid w:val="0"/>
                    <w:jc w:val="center"/>
                    <w:rPr>
                      <w:color w:val="auto"/>
                      <w:sz w:val="18"/>
                      <w:szCs w:val="18"/>
                    </w:rPr>
                  </w:pPr>
                  <w:r>
                    <w:rPr>
                      <w:rFonts w:hint="eastAsia"/>
                      <w:color w:val="auto"/>
                      <w:sz w:val="18"/>
                      <w:szCs w:val="18"/>
                    </w:rPr>
                    <w:t>14.8</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5</w:t>
                  </w:r>
                  <w:r>
                    <w:rPr>
                      <w:color w:val="auto"/>
                      <w:sz w:val="18"/>
                      <w:szCs w:val="18"/>
                      <w:lang w:val="zh-CN"/>
                    </w:rPr>
                    <w:t>00</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悬浮物</w:t>
                  </w:r>
                </w:p>
              </w:tc>
              <w:tc>
                <w:tcPr>
                  <w:tcW w:w="1514" w:type="dxa"/>
                  <w:vAlign w:val="center"/>
                </w:tcPr>
                <w:p>
                  <w:pPr>
                    <w:adjustRightInd w:val="0"/>
                    <w:snapToGrid w:val="0"/>
                    <w:jc w:val="center"/>
                    <w:rPr>
                      <w:color w:val="auto"/>
                      <w:sz w:val="18"/>
                      <w:szCs w:val="18"/>
                    </w:rPr>
                  </w:pPr>
                  <w:r>
                    <w:rPr>
                      <w:rFonts w:hint="eastAsia"/>
                      <w:color w:val="auto"/>
                      <w:sz w:val="18"/>
                      <w:szCs w:val="18"/>
                    </w:rPr>
                    <w:t>20</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4</w:t>
                  </w:r>
                  <w:r>
                    <w:rPr>
                      <w:color w:val="auto"/>
                      <w:sz w:val="18"/>
                      <w:szCs w:val="18"/>
                      <w:lang w:val="zh-CN"/>
                    </w:rPr>
                    <w:t>00</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氨氮</w:t>
                  </w:r>
                </w:p>
              </w:tc>
              <w:tc>
                <w:tcPr>
                  <w:tcW w:w="1514" w:type="dxa"/>
                  <w:vAlign w:val="center"/>
                </w:tcPr>
                <w:p>
                  <w:pPr>
                    <w:adjustRightInd w:val="0"/>
                    <w:snapToGrid w:val="0"/>
                    <w:jc w:val="center"/>
                    <w:rPr>
                      <w:color w:val="auto"/>
                      <w:sz w:val="18"/>
                      <w:szCs w:val="18"/>
                    </w:rPr>
                  </w:pPr>
                  <w:r>
                    <w:rPr>
                      <w:rFonts w:hint="eastAsia"/>
                      <w:color w:val="auto"/>
                      <w:sz w:val="18"/>
                      <w:szCs w:val="18"/>
                    </w:rPr>
                    <w:t>0.245</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4</w:t>
                  </w:r>
                  <w:r>
                    <w:rPr>
                      <w:color w:val="auto"/>
                      <w:sz w:val="18"/>
                      <w:szCs w:val="18"/>
                      <w:lang w:val="zh-CN"/>
                    </w:rPr>
                    <w:t>5</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总磷</w:t>
                  </w:r>
                </w:p>
              </w:tc>
              <w:tc>
                <w:tcPr>
                  <w:tcW w:w="1514" w:type="dxa"/>
                  <w:vAlign w:val="center"/>
                </w:tcPr>
                <w:p>
                  <w:pPr>
                    <w:adjustRightInd w:val="0"/>
                    <w:snapToGrid w:val="0"/>
                    <w:jc w:val="center"/>
                    <w:rPr>
                      <w:color w:val="auto"/>
                      <w:sz w:val="18"/>
                      <w:szCs w:val="18"/>
                    </w:rPr>
                  </w:pPr>
                  <w:r>
                    <w:rPr>
                      <w:rFonts w:hint="eastAsia"/>
                      <w:color w:val="auto"/>
                      <w:sz w:val="18"/>
                      <w:szCs w:val="18"/>
                    </w:rPr>
                    <w:t>0.01</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8</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restart"/>
                  <w:vAlign w:val="center"/>
                </w:tcPr>
                <w:p>
                  <w:pPr>
                    <w:adjustRightInd w:val="0"/>
                    <w:snapToGrid w:val="0"/>
                    <w:jc w:val="center"/>
                    <w:rPr>
                      <w:color w:val="auto"/>
                      <w:sz w:val="18"/>
                      <w:szCs w:val="18"/>
                    </w:rPr>
                  </w:pPr>
                  <w:r>
                    <w:rPr>
                      <w:rFonts w:hint="eastAsia"/>
                      <w:color w:val="auto"/>
                      <w:sz w:val="18"/>
                      <w:szCs w:val="18"/>
                    </w:rPr>
                    <w:t>2016.11.4</w:t>
                  </w: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p</w:t>
                  </w:r>
                  <w:r>
                    <w:rPr>
                      <w:color w:val="auto"/>
                      <w:sz w:val="18"/>
                      <w:szCs w:val="18"/>
                      <w:lang w:val="zh-CN"/>
                    </w:rPr>
                    <w:t>H</w:t>
                  </w:r>
                  <w:r>
                    <w:rPr>
                      <w:rFonts w:hint="eastAsia"/>
                      <w:color w:val="auto"/>
                      <w:sz w:val="18"/>
                      <w:szCs w:val="18"/>
                      <w:lang w:val="zh-CN"/>
                    </w:rPr>
                    <w:t>（无量纲）</w:t>
                  </w:r>
                </w:p>
              </w:tc>
              <w:tc>
                <w:tcPr>
                  <w:tcW w:w="1514" w:type="dxa"/>
                  <w:vAlign w:val="center"/>
                </w:tcPr>
                <w:p>
                  <w:pPr>
                    <w:adjustRightInd w:val="0"/>
                    <w:snapToGrid w:val="0"/>
                    <w:jc w:val="center"/>
                    <w:rPr>
                      <w:color w:val="auto"/>
                      <w:sz w:val="18"/>
                      <w:szCs w:val="18"/>
                    </w:rPr>
                  </w:pPr>
                  <w:r>
                    <w:rPr>
                      <w:rFonts w:hint="eastAsia"/>
                      <w:color w:val="auto"/>
                      <w:sz w:val="18"/>
                      <w:szCs w:val="18"/>
                    </w:rPr>
                    <w:t>6.98~7.32</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6</w:t>
                  </w:r>
                  <w:r>
                    <w:rPr>
                      <w:color w:val="auto"/>
                      <w:sz w:val="18"/>
                      <w:szCs w:val="18"/>
                      <w:lang w:val="zh-CN"/>
                    </w:rPr>
                    <w:t>-9</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化学需氧量</w:t>
                  </w:r>
                </w:p>
              </w:tc>
              <w:tc>
                <w:tcPr>
                  <w:tcW w:w="1514" w:type="dxa"/>
                  <w:vAlign w:val="center"/>
                </w:tcPr>
                <w:p>
                  <w:pPr>
                    <w:adjustRightInd w:val="0"/>
                    <w:snapToGrid w:val="0"/>
                    <w:jc w:val="center"/>
                    <w:rPr>
                      <w:color w:val="auto"/>
                      <w:sz w:val="18"/>
                      <w:szCs w:val="18"/>
                    </w:rPr>
                  </w:pPr>
                  <w:r>
                    <w:rPr>
                      <w:rFonts w:hint="eastAsia"/>
                      <w:color w:val="auto"/>
                      <w:sz w:val="18"/>
                      <w:szCs w:val="18"/>
                    </w:rPr>
                    <w:t>14.6</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5</w:t>
                  </w:r>
                  <w:r>
                    <w:rPr>
                      <w:color w:val="auto"/>
                      <w:sz w:val="18"/>
                      <w:szCs w:val="18"/>
                      <w:lang w:val="zh-CN"/>
                    </w:rPr>
                    <w:t>00</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悬浮物</w:t>
                  </w:r>
                </w:p>
              </w:tc>
              <w:tc>
                <w:tcPr>
                  <w:tcW w:w="1514" w:type="dxa"/>
                  <w:vAlign w:val="center"/>
                </w:tcPr>
                <w:p>
                  <w:pPr>
                    <w:adjustRightInd w:val="0"/>
                    <w:snapToGrid w:val="0"/>
                    <w:jc w:val="center"/>
                    <w:rPr>
                      <w:color w:val="auto"/>
                      <w:sz w:val="18"/>
                      <w:szCs w:val="18"/>
                    </w:rPr>
                  </w:pPr>
                  <w:r>
                    <w:rPr>
                      <w:rFonts w:hint="eastAsia"/>
                      <w:color w:val="auto"/>
                      <w:sz w:val="18"/>
                      <w:szCs w:val="18"/>
                    </w:rPr>
                    <w:t>23</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4</w:t>
                  </w:r>
                  <w:r>
                    <w:rPr>
                      <w:color w:val="auto"/>
                      <w:sz w:val="18"/>
                      <w:szCs w:val="18"/>
                      <w:lang w:val="zh-CN"/>
                    </w:rPr>
                    <w:t>00</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氨氮</w:t>
                  </w:r>
                </w:p>
              </w:tc>
              <w:tc>
                <w:tcPr>
                  <w:tcW w:w="1514" w:type="dxa"/>
                  <w:vAlign w:val="center"/>
                </w:tcPr>
                <w:p>
                  <w:pPr>
                    <w:adjustRightInd w:val="0"/>
                    <w:snapToGrid w:val="0"/>
                    <w:jc w:val="center"/>
                    <w:rPr>
                      <w:color w:val="auto"/>
                      <w:sz w:val="18"/>
                      <w:szCs w:val="18"/>
                    </w:rPr>
                  </w:pPr>
                  <w:r>
                    <w:rPr>
                      <w:rFonts w:hint="eastAsia"/>
                      <w:color w:val="auto"/>
                      <w:sz w:val="18"/>
                      <w:szCs w:val="18"/>
                    </w:rPr>
                    <w:t>0.303</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4</w:t>
                  </w:r>
                  <w:r>
                    <w:rPr>
                      <w:color w:val="auto"/>
                      <w:sz w:val="18"/>
                      <w:szCs w:val="18"/>
                      <w:lang w:val="zh-CN"/>
                    </w:rPr>
                    <w:t>5</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总磷</w:t>
                  </w:r>
                </w:p>
              </w:tc>
              <w:tc>
                <w:tcPr>
                  <w:tcW w:w="1514" w:type="dxa"/>
                  <w:vAlign w:val="center"/>
                </w:tcPr>
                <w:p>
                  <w:pPr>
                    <w:adjustRightInd w:val="0"/>
                    <w:snapToGrid w:val="0"/>
                    <w:jc w:val="center"/>
                    <w:rPr>
                      <w:color w:val="auto"/>
                      <w:sz w:val="18"/>
                      <w:szCs w:val="18"/>
                    </w:rPr>
                  </w:pPr>
                  <w:r>
                    <w:rPr>
                      <w:rFonts w:hint="eastAsia"/>
                      <w:color w:val="auto"/>
                      <w:sz w:val="18"/>
                      <w:szCs w:val="18"/>
                    </w:rPr>
                    <w:t>0.01</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8</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bl>
          <w:p>
            <w:pPr>
              <w:adjustRightInd w:val="0"/>
              <w:snapToGrid w:val="0"/>
              <w:spacing w:line="360" w:lineRule="auto"/>
              <w:ind w:firstLine="420" w:firstLineChars="200"/>
              <w:rPr>
                <w:color w:val="auto"/>
                <w:szCs w:val="21"/>
              </w:rPr>
            </w:pPr>
            <w:r>
              <w:rPr>
                <w:rFonts w:hint="eastAsia"/>
                <w:color w:val="auto"/>
                <w:szCs w:val="21"/>
                <w:lang w:val="zh-CN"/>
              </w:rPr>
              <w:t>根据</w:t>
            </w:r>
            <w:r>
              <w:rPr>
                <w:rFonts w:hint="eastAsia"/>
                <w:color w:val="auto"/>
                <w:szCs w:val="21"/>
              </w:rPr>
              <w:t>企业例行监测报告（No.IOBWSL8F72027555）</w:t>
            </w:r>
            <w:r>
              <w:rPr>
                <w:color w:val="auto"/>
                <w:szCs w:val="21"/>
              </w:rPr>
              <w:t>，企业生活污水接管口水质监测结果见表2-</w:t>
            </w:r>
            <w:r>
              <w:rPr>
                <w:rFonts w:hint="eastAsia"/>
                <w:color w:val="auto"/>
                <w:szCs w:val="21"/>
              </w:rPr>
              <w:t>1</w:t>
            </w:r>
            <w:r>
              <w:rPr>
                <w:rFonts w:hint="eastAsia"/>
                <w:color w:val="auto"/>
                <w:szCs w:val="21"/>
                <w:lang w:val="en-US" w:eastAsia="zh-CN"/>
              </w:rPr>
              <w:t>0</w:t>
            </w:r>
            <w:r>
              <w:rPr>
                <w:color w:val="auto"/>
                <w:szCs w:val="21"/>
              </w:rPr>
              <w:t>。</w:t>
            </w:r>
          </w:p>
          <w:p>
            <w:pPr>
              <w:adjustRightInd w:val="0"/>
              <w:snapToGrid w:val="0"/>
              <w:jc w:val="center"/>
              <w:rPr>
                <w:b/>
                <w:color w:val="auto"/>
                <w:szCs w:val="21"/>
              </w:rPr>
            </w:pPr>
            <w:r>
              <w:rPr>
                <w:b/>
                <w:color w:val="auto"/>
                <w:szCs w:val="21"/>
              </w:rPr>
              <w:t>表2-</w:t>
            </w:r>
            <w:r>
              <w:rPr>
                <w:rFonts w:hint="eastAsia"/>
                <w:b/>
                <w:color w:val="auto"/>
                <w:szCs w:val="21"/>
              </w:rPr>
              <w:t>1</w:t>
            </w:r>
            <w:r>
              <w:rPr>
                <w:rFonts w:hint="eastAsia"/>
                <w:b/>
                <w:color w:val="auto"/>
                <w:szCs w:val="21"/>
                <w:lang w:val="en-US" w:eastAsia="zh-CN"/>
              </w:rPr>
              <w:t>0</w:t>
            </w:r>
            <w:r>
              <w:rPr>
                <w:b/>
                <w:color w:val="auto"/>
                <w:szCs w:val="21"/>
              </w:rPr>
              <w:t xml:space="preserve">   废水监测结果统计表</w:t>
            </w:r>
          </w:p>
          <w:tbl>
            <w:tblPr>
              <w:tblStyle w:val="3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14"/>
              <w:gridCol w:w="1514"/>
              <w:gridCol w:w="1514"/>
              <w:gridCol w:w="1514"/>
              <w:gridCol w:w="1514"/>
              <w:gridCol w:w="15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1" w:hRule="atLeast"/>
                <w:jc w:val="center"/>
              </w:trPr>
              <w:tc>
                <w:tcPr>
                  <w:tcW w:w="1514" w:type="dxa"/>
                  <w:vMerge w:val="restart"/>
                  <w:vAlign w:val="center"/>
                </w:tcPr>
                <w:p>
                  <w:pPr>
                    <w:adjustRightInd w:val="0"/>
                    <w:snapToGrid w:val="0"/>
                    <w:jc w:val="center"/>
                    <w:rPr>
                      <w:b/>
                      <w:bCs/>
                      <w:color w:val="auto"/>
                      <w:sz w:val="18"/>
                      <w:szCs w:val="18"/>
                      <w:lang w:val="zh-CN"/>
                    </w:rPr>
                  </w:pPr>
                  <w:r>
                    <w:rPr>
                      <w:rFonts w:hint="eastAsia"/>
                      <w:b/>
                      <w:bCs/>
                      <w:color w:val="auto"/>
                      <w:sz w:val="18"/>
                      <w:szCs w:val="18"/>
                      <w:lang w:val="zh-CN"/>
                    </w:rPr>
                    <w:t>监测时间</w:t>
                  </w:r>
                </w:p>
              </w:tc>
              <w:tc>
                <w:tcPr>
                  <w:tcW w:w="1514" w:type="dxa"/>
                  <w:vMerge w:val="restart"/>
                  <w:vAlign w:val="center"/>
                </w:tcPr>
                <w:p>
                  <w:pPr>
                    <w:adjustRightInd w:val="0"/>
                    <w:snapToGrid w:val="0"/>
                    <w:jc w:val="center"/>
                    <w:rPr>
                      <w:b/>
                      <w:bCs/>
                      <w:color w:val="auto"/>
                      <w:sz w:val="18"/>
                      <w:szCs w:val="18"/>
                      <w:lang w:val="zh-CN"/>
                    </w:rPr>
                  </w:pPr>
                  <w:r>
                    <w:rPr>
                      <w:rFonts w:hint="eastAsia"/>
                      <w:b/>
                      <w:bCs/>
                      <w:color w:val="auto"/>
                      <w:sz w:val="18"/>
                      <w:szCs w:val="18"/>
                      <w:lang w:val="zh-CN"/>
                    </w:rPr>
                    <w:t>监测点位</w:t>
                  </w:r>
                </w:p>
              </w:tc>
              <w:tc>
                <w:tcPr>
                  <w:tcW w:w="1514" w:type="dxa"/>
                  <w:vMerge w:val="restart"/>
                  <w:vAlign w:val="center"/>
                </w:tcPr>
                <w:p>
                  <w:pPr>
                    <w:adjustRightInd w:val="0"/>
                    <w:snapToGrid w:val="0"/>
                    <w:jc w:val="center"/>
                    <w:rPr>
                      <w:b/>
                      <w:bCs/>
                      <w:color w:val="auto"/>
                      <w:sz w:val="18"/>
                      <w:szCs w:val="18"/>
                      <w:lang w:val="zh-CN"/>
                    </w:rPr>
                  </w:pPr>
                  <w:r>
                    <w:rPr>
                      <w:rFonts w:hint="eastAsia"/>
                      <w:b/>
                      <w:bCs/>
                      <w:color w:val="auto"/>
                      <w:sz w:val="18"/>
                      <w:szCs w:val="18"/>
                      <w:lang w:val="zh-CN"/>
                    </w:rPr>
                    <w:t>监测项目</w:t>
                  </w:r>
                </w:p>
              </w:tc>
              <w:tc>
                <w:tcPr>
                  <w:tcW w:w="4543" w:type="dxa"/>
                  <w:gridSpan w:val="3"/>
                  <w:vAlign w:val="center"/>
                </w:tcPr>
                <w:p>
                  <w:pPr>
                    <w:adjustRightInd w:val="0"/>
                    <w:snapToGrid w:val="0"/>
                    <w:jc w:val="center"/>
                    <w:rPr>
                      <w:b/>
                      <w:bCs/>
                      <w:color w:val="auto"/>
                      <w:sz w:val="18"/>
                      <w:szCs w:val="18"/>
                      <w:lang w:val="zh-CN"/>
                    </w:rPr>
                  </w:pPr>
                  <w:r>
                    <w:rPr>
                      <w:rFonts w:hint="eastAsia"/>
                      <w:b/>
                      <w:bCs/>
                      <w:color w:val="auto"/>
                      <w:sz w:val="18"/>
                      <w:szCs w:val="18"/>
                      <w:lang w:val="zh-CN"/>
                    </w:rPr>
                    <w:t>监测结果（单位：mg</w:t>
                  </w:r>
                  <w:r>
                    <w:rPr>
                      <w:b/>
                      <w:bCs/>
                      <w:color w:val="auto"/>
                      <w:sz w:val="18"/>
                      <w:szCs w:val="18"/>
                      <w:lang w:val="zh-CN"/>
                    </w:rPr>
                    <w:t>/L</w:t>
                  </w:r>
                  <w:r>
                    <w:rPr>
                      <w:rFonts w:hint="eastAsia"/>
                      <w:b/>
                      <w:bCs/>
                      <w:color w:val="auto"/>
                      <w:sz w:val="18"/>
                      <w:szCs w:val="18"/>
                      <w:lang w:val="zh-CN"/>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514" w:type="dxa"/>
                  <w:vMerge w:val="continue"/>
                  <w:vAlign w:val="center"/>
                </w:tcPr>
                <w:p>
                  <w:pPr>
                    <w:adjustRightInd w:val="0"/>
                    <w:snapToGrid w:val="0"/>
                    <w:jc w:val="center"/>
                    <w:rPr>
                      <w:b/>
                      <w:bCs/>
                      <w:color w:val="auto"/>
                      <w:sz w:val="18"/>
                      <w:szCs w:val="18"/>
                      <w:lang w:val="zh-CN"/>
                    </w:rPr>
                  </w:pPr>
                </w:p>
              </w:tc>
              <w:tc>
                <w:tcPr>
                  <w:tcW w:w="1514" w:type="dxa"/>
                  <w:vMerge w:val="continue"/>
                  <w:vAlign w:val="center"/>
                </w:tcPr>
                <w:p>
                  <w:pPr>
                    <w:adjustRightInd w:val="0"/>
                    <w:snapToGrid w:val="0"/>
                    <w:jc w:val="center"/>
                    <w:rPr>
                      <w:b/>
                      <w:bCs/>
                      <w:color w:val="auto"/>
                      <w:sz w:val="18"/>
                      <w:szCs w:val="18"/>
                      <w:lang w:val="zh-CN"/>
                    </w:rPr>
                  </w:pPr>
                </w:p>
              </w:tc>
              <w:tc>
                <w:tcPr>
                  <w:tcW w:w="1514" w:type="dxa"/>
                  <w:vMerge w:val="continue"/>
                  <w:vAlign w:val="center"/>
                </w:tcPr>
                <w:p>
                  <w:pPr>
                    <w:adjustRightInd w:val="0"/>
                    <w:snapToGrid w:val="0"/>
                    <w:jc w:val="center"/>
                    <w:rPr>
                      <w:b/>
                      <w:bCs/>
                      <w:color w:val="auto"/>
                      <w:sz w:val="18"/>
                      <w:szCs w:val="18"/>
                      <w:lang w:val="zh-CN"/>
                    </w:rPr>
                  </w:pPr>
                </w:p>
              </w:tc>
              <w:tc>
                <w:tcPr>
                  <w:tcW w:w="1514" w:type="dxa"/>
                  <w:vAlign w:val="center"/>
                </w:tcPr>
                <w:p>
                  <w:pPr>
                    <w:adjustRightInd w:val="0"/>
                    <w:snapToGrid w:val="0"/>
                    <w:jc w:val="center"/>
                    <w:rPr>
                      <w:b/>
                      <w:bCs/>
                      <w:color w:val="auto"/>
                      <w:sz w:val="18"/>
                      <w:szCs w:val="18"/>
                      <w:lang w:val="zh-CN"/>
                    </w:rPr>
                  </w:pPr>
                  <w:r>
                    <w:rPr>
                      <w:rFonts w:hint="eastAsia"/>
                      <w:b/>
                      <w:bCs/>
                      <w:color w:val="auto"/>
                      <w:sz w:val="18"/>
                      <w:szCs w:val="18"/>
                      <w:lang w:val="zh-CN"/>
                    </w:rPr>
                    <w:t>均值（范围）</w:t>
                  </w:r>
                </w:p>
              </w:tc>
              <w:tc>
                <w:tcPr>
                  <w:tcW w:w="1514" w:type="dxa"/>
                  <w:vAlign w:val="center"/>
                </w:tcPr>
                <w:p>
                  <w:pPr>
                    <w:adjustRightInd w:val="0"/>
                    <w:snapToGrid w:val="0"/>
                    <w:jc w:val="center"/>
                    <w:rPr>
                      <w:b/>
                      <w:bCs/>
                      <w:color w:val="auto"/>
                      <w:sz w:val="18"/>
                      <w:szCs w:val="18"/>
                      <w:lang w:val="zh-CN"/>
                    </w:rPr>
                  </w:pPr>
                  <w:r>
                    <w:rPr>
                      <w:rFonts w:hint="eastAsia"/>
                      <w:b/>
                      <w:bCs/>
                      <w:color w:val="auto"/>
                      <w:sz w:val="18"/>
                      <w:szCs w:val="18"/>
                      <w:lang w:val="zh-CN"/>
                    </w:rPr>
                    <w:t>排放限值</w:t>
                  </w:r>
                </w:p>
              </w:tc>
              <w:tc>
                <w:tcPr>
                  <w:tcW w:w="1515" w:type="dxa"/>
                  <w:vAlign w:val="center"/>
                </w:tcPr>
                <w:p>
                  <w:pPr>
                    <w:adjustRightInd w:val="0"/>
                    <w:snapToGrid w:val="0"/>
                    <w:jc w:val="center"/>
                    <w:rPr>
                      <w:b/>
                      <w:bCs/>
                      <w:color w:val="auto"/>
                      <w:sz w:val="18"/>
                      <w:szCs w:val="18"/>
                      <w:lang w:val="zh-CN"/>
                    </w:rPr>
                  </w:pPr>
                  <w:r>
                    <w:rPr>
                      <w:rFonts w:hint="eastAsia"/>
                      <w:b/>
                      <w:bCs/>
                      <w:color w:val="auto"/>
                      <w:sz w:val="18"/>
                      <w:szCs w:val="18"/>
                      <w:lang w:val="zh-CN"/>
                    </w:rPr>
                    <w:t>评价</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restart"/>
                  <w:vAlign w:val="center"/>
                </w:tcPr>
                <w:p>
                  <w:pPr>
                    <w:adjustRightInd w:val="0"/>
                    <w:snapToGrid w:val="0"/>
                    <w:jc w:val="center"/>
                    <w:rPr>
                      <w:color w:val="auto"/>
                      <w:sz w:val="18"/>
                      <w:szCs w:val="18"/>
                    </w:rPr>
                  </w:pPr>
                  <w:r>
                    <w:rPr>
                      <w:rFonts w:hint="eastAsia"/>
                      <w:color w:val="auto"/>
                      <w:sz w:val="18"/>
                      <w:szCs w:val="18"/>
                      <w:lang w:val="zh-CN"/>
                    </w:rPr>
                    <w:t>2</w:t>
                  </w:r>
                  <w:r>
                    <w:rPr>
                      <w:color w:val="auto"/>
                      <w:sz w:val="18"/>
                      <w:szCs w:val="18"/>
                      <w:lang w:val="zh-CN"/>
                    </w:rPr>
                    <w:t>02</w:t>
                  </w:r>
                  <w:r>
                    <w:rPr>
                      <w:rFonts w:hint="eastAsia"/>
                      <w:color w:val="auto"/>
                      <w:sz w:val="18"/>
                      <w:szCs w:val="18"/>
                    </w:rPr>
                    <w:t>0.7.13</w:t>
                  </w:r>
                </w:p>
              </w:tc>
              <w:tc>
                <w:tcPr>
                  <w:tcW w:w="1514" w:type="dxa"/>
                  <w:vMerge w:val="restart"/>
                  <w:vAlign w:val="center"/>
                </w:tcPr>
                <w:p>
                  <w:pPr>
                    <w:adjustRightInd w:val="0"/>
                    <w:snapToGrid w:val="0"/>
                    <w:jc w:val="center"/>
                    <w:rPr>
                      <w:color w:val="auto"/>
                      <w:sz w:val="18"/>
                      <w:szCs w:val="18"/>
                      <w:lang w:val="zh-CN"/>
                    </w:rPr>
                  </w:pPr>
                  <w:r>
                    <w:rPr>
                      <w:rFonts w:hint="eastAsia"/>
                      <w:color w:val="auto"/>
                      <w:sz w:val="18"/>
                      <w:szCs w:val="18"/>
                      <w:lang w:val="zh-CN"/>
                    </w:rPr>
                    <w:t>厂区生活污水总排口</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p</w:t>
                  </w:r>
                  <w:r>
                    <w:rPr>
                      <w:color w:val="auto"/>
                      <w:sz w:val="18"/>
                      <w:szCs w:val="18"/>
                      <w:lang w:val="zh-CN"/>
                    </w:rPr>
                    <w:t>H</w:t>
                  </w:r>
                  <w:r>
                    <w:rPr>
                      <w:rFonts w:hint="eastAsia"/>
                      <w:color w:val="auto"/>
                      <w:sz w:val="18"/>
                      <w:szCs w:val="18"/>
                      <w:lang w:val="zh-CN"/>
                    </w:rPr>
                    <w:t>（无量纲）</w:t>
                  </w:r>
                </w:p>
              </w:tc>
              <w:tc>
                <w:tcPr>
                  <w:tcW w:w="1514" w:type="dxa"/>
                  <w:vAlign w:val="center"/>
                </w:tcPr>
                <w:p>
                  <w:pPr>
                    <w:adjustRightInd w:val="0"/>
                    <w:snapToGrid w:val="0"/>
                    <w:jc w:val="center"/>
                    <w:rPr>
                      <w:color w:val="auto"/>
                      <w:sz w:val="18"/>
                      <w:szCs w:val="18"/>
                    </w:rPr>
                  </w:pPr>
                  <w:r>
                    <w:rPr>
                      <w:rFonts w:hint="eastAsia"/>
                      <w:color w:val="auto"/>
                      <w:sz w:val="18"/>
                      <w:szCs w:val="18"/>
                    </w:rPr>
                    <w:t>7.44</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6</w:t>
                  </w:r>
                  <w:r>
                    <w:rPr>
                      <w:color w:val="auto"/>
                      <w:sz w:val="18"/>
                      <w:szCs w:val="18"/>
                      <w:lang w:val="zh-CN"/>
                    </w:rPr>
                    <w:t>-9</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化学需氧量</w:t>
                  </w:r>
                </w:p>
              </w:tc>
              <w:tc>
                <w:tcPr>
                  <w:tcW w:w="1514" w:type="dxa"/>
                  <w:vAlign w:val="center"/>
                </w:tcPr>
                <w:p>
                  <w:pPr>
                    <w:adjustRightInd w:val="0"/>
                    <w:snapToGrid w:val="0"/>
                    <w:jc w:val="center"/>
                    <w:rPr>
                      <w:color w:val="auto"/>
                      <w:sz w:val="18"/>
                      <w:szCs w:val="18"/>
                    </w:rPr>
                  </w:pPr>
                  <w:r>
                    <w:rPr>
                      <w:rFonts w:hint="eastAsia"/>
                      <w:color w:val="auto"/>
                      <w:sz w:val="18"/>
                      <w:szCs w:val="18"/>
                    </w:rPr>
                    <w:t>36</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5</w:t>
                  </w:r>
                  <w:r>
                    <w:rPr>
                      <w:color w:val="auto"/>
                      <w:sz w:val="18"/>
                      <w:szCs w:val="18"/>
                      <w:lang w:val="zh-CN"/>
                    </w:rPr>
                    <w:t>00</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悬浮物</w:t>
                  </w:r>
                </w:p>
              </w:tc>
              <w:tc>
                <w:tcPr>
                  <w:tcW w:w="1514" w:type="dxa"/>
                  <w:vAlign w:val="center"/>
                </w:tcPr>
                <w:p>
                  <w:pPr>
                    <w:adjustRightInd w:val="0"/>
                    <w:snapToGrid w:val="0"/>
                    <w:jc w:val="center"/>
                    <w:rPr>
                      <w:color w:val="auto"/>
                      <w:sz w:val="18"/>
                      <w:szCs w:val="18"/>
                    </w:rPr>
                  </w:pPr>
                  <w:r>
                    <w:rPr>
                      <w:rFonts w:hint="eastAsia"/>
                      <w:color w:val="auto"/>
                      <w:sz w:val="18"/>
                      <w:szCs w:val="18"/>
                    </w:rPr>
                    <w:t>17</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4</w:t>
                  </w:r>
                  <w:r>
                    <w:rPr>
                      <w:color w:val="auto"/>
                      <w:sz w:val="18"/>
                      <w:szCs w:val="18"/>
                      <w:lang w:val="zh-CN"/>
                    </w:rPr>
                    <w:t>00</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氨氮</w:t>
                  </w:r>
                </w:p>
              </w:tc>
              <w:tc>
                <w:tcPr>
                  <w:tcW w:w="1514" w:type="dxa"/>
                  <w:vAlign w:val="center"/>
                </w:tcPr>
                <w:p>
                  <w:pPr>
                    <w:adjustRightInd w:val="0"/>
                    <w:snapToGrid w:val="0"/>
                    <w:jc w:val="center"/>
                    <w:rPr>
                      <w:color w:val="auto"/>
                      <w:sz w:val="18"/>
                      <w:szCs w:val="18"/>
                    </w:rPr>
                  </w:pPr>
                  <w:r>
                    <w:rPr>
                      <w:rFonts w:hint="eastAsia"/>
                      <w:color w:val="auto"/>
                      <w:sz w:val="18"/>
                      <w:szCs w:val="18"/>
                    </w:rPr>
                    <w:t>0.471</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4</w:t>
                  </w:r>
                  <w:r>
                    <w:rPr>
                      <w:color w:val="auto"/>
                      <w:sz w:val="18"/>
                      <w:szCs w:val="18"/>
                      <w:lang w:val="zh-CN"/>
                    </w:rPr>
                    <w:t>5</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514" w:type="dxa"/>
                  <w:vMerge w:val="continue"/>
                  <w:vAlign w:val="center"/>
                </w:tcPr>
                <w:p>
                  <w:pPr>
                    <w:adjustRightInd w:val="0"/>
                    <w:snapToGrid w:val="0"/>
                    <w:jc w:val="center"/>
                    <w:rPr>
                      <w:color w:val="auto"/>
                      <w:sz w:val="18"/>
                      <w:szCs w:val="18"/>
                      <w:lang w:val="zh-CN"/>
                    </w:rPr>
                  </w:pPr>
                </w:p>
              </w:tc>
              <w:tc>
                <w:tcPr>
                  <w:tcW w:w="1514" w:type="dxa"/>
                  <w:vMerge w:val="continue"/>
                  <w:vAlign w:val="center"/>
                </w:tcPr>
                <w:p>
                  <w:pPr>
                    <w:adjustRightInd w:val="0"/>
                    <w:snapToGrid w:val="0"/>
                    <w:jc w:val="center"/>
                    <w:rPr>
                      <w:color w:val="auto"/>
                      <w:sz w:val="18"/>
                      <w:szCs w:val="18"/>
                      <w:lang w:val="zh-CN"/>
                    </w:rPr>
                  </w:pP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总磷</w:t>
                  </w:r>
                </w:p>
              </w:tc>
              <w:tc>
                <w:tcPr>
                  <w:tcW w:w="1514" w:type="dxa"/>
                  <w:vAlign w:val="center"/>
                </w:tcPr>
                <w:p>
                  <w:pPr>
                    <w:adjustRightInd w:val="0"/>
                    <w:snapToGrid w:val="0"/>
                    <w:jc w:val="center"/>
                    <w:rPr>
                      <w:color w:val="auto"/>
                      <w:sz w:val="18"/>
                      <w:szCs w:val="18"/>
                    </w:rPr>
                  </w:pPr>
                  <w:r>
                    <w:rPr>
                      <w:rFonts w:hint="eastAsia"/>
                      <w:color w:val="auto"/>
                      <w:sz w:val="18"/>
                      <w:szCs w:val="18"/>
                    </w:rPr>
                    <w:t>0.03</w:t>
                  </w:r>
                </w:p>
              </w:tc>
              <w:tc>
                <w:tcPr>
                  <w:tcW w:w="1514" w:type="dxa"/>
                  <w:vAlign w:val="center"/>
                </w:tcPr>
                <w:p>
                  <w:pPr>
                    <w:adjustRightInd w:val="0"/>
                    <w:snapToGrid w:val="0"/>
                    <w:jc w:val="center"/>
                    <w:rPr>
                      <w:color w:val="auto"/>
                      <w:sz w:val="18"/>
                      <w:szCs w:val="18"/>
                      <w:lang w:val="zh-CN"/>
                    </w:rPr>
                  </w:pPr>
                  <w:r>
                    <w:rPr>
                      <w:rFonts w:hint="eastAsia"/>
                      <w:color w:val="auto"/>
                      <w:sz w:val="18"/>
                      <w:szCs w:val="18"/>
                      <w:lang w:val="zh-CN"/>
                    </w:rPr>
                    <w:t>8</w:t>
                  </w:r>
                </w:p>
              </w:tc>
              <w:tc>
                <w:tcPr>
                  <w:tcW w:w="1515" w:type="dxa"/>
                  <w:vAlign w:val="center"/>
                </w:tcPr>
                <w:p>
                  <w:pPr>
                    <w:adjustRightInd w:val="0"/>
                    <w:snapToGrid w:val="0"/>
                    <w:jc w:val="center"/>
                    <w:rPr>
                      <w:color w:val="auto"/>
                      <w:sz w:val="18"/>
                      <w:szCs w:val="18"/>
                      <w:lang w:val="zh-CN"/>
                    </w:rPr>
                  </w:pPr>
                  <w:r>
                    <w:rPr>
                      <w:rFonts w:hint="eastAsia"/>
                      <w:color w:val="auto"/>
                      <w:sz w:val="18"/>
                      <w:szCs w:val="18"/>
                      <w:lang w:val="zh-CN"/>
                    </w:rPr>
                    <w:t>达标</w:t>
                  </w:r>
                </w:p>
              </w:tc>
            </w:tr>
          </w:tbl>
          <w:p>
            <w:pPr>
              <w:adjustRightInd w:val="0"/>
              <w:snapToGrid w:val="0"/>
              <w:spacing w:before="120" w:beforeLines="50" w:line="360" w:lineRule="auto"/>
              <w:ind w:firstLine="420" w:firstLineChars="200"/>
              <w:rPr>
                <w:bCs/>
                <w:color w:val="auto"/>
                <w:szCs w:val="21"/>
              </w:rPr>
            </w:pPr>
            <w:r>
              <w:rPr>
                <w:color w:val="auto"/>
                <w:szCs w:val="21"/>
              </w:rPr>
              <w:t>根据</w:t>
            </w:r>
            <w:r>
              <w:rPr>
                <w:rFonts w:hint="eastAsia"/>
                <w:color w:val="auto"/>
                <w:szCs w:val="21"/>
              </w:rPr>
              <w:t>验收监测及例行监测</w:t>
            </w:r>
            <w:r>
              <w:rPr>
                <w:color w:val="auto"/>
                <w:szCs w:val="21"/>
              </w:rPr>
              <w:t>，企业现有项目废水中各污染物均满足</w:t>
            </w:r>
            <w:r>
              <w:rPr>
                <w:bCs/>
                <w:color w:val="auto"/>
                <w:szCs w:val="21"/>
              </w:rPr>
              <w:t>《污水综合排放标准》（GB8978-1996）表4三级标准及《污水排入城镇下水道水质标准》（GB31962-2015）标准要求，满足太仓市城东污水处理厂接管要求。</w:t>
            </w:r>
          </w:p>
          <w:p>
            <w:pPr>
              <w:snapToGrid w:val="0"/>
              <w:spacing w:line="360" w:lineRule="auto"/>
              <w:ind w:firstLine="420" w:firstLineChars="200"/>
              <w:rPr>
                <w:color w:val="auto"/>
                <w:szCs w:val="21"/>
              </w:rPr>
            </w:pPr>
            <w:r>
              <w:rPr>
                <w:color w:val="auto"/>
                <w:szCs w:val="21"/>
              </w:rPr>
              <w:t>企业现有水污染物产排情况见表2-</w:t>
            </w:r>
            <w:r>
              <w:rPr>
                <w:rFonts w:hint="eastAsia"/>
                <w:color w:val="auto"/>
                <w:szCs w:val="21"/>
              </w:rPr>
              <w:t>1</w:t>
            </w:r>
            <w:r>
              <w:rPr>
                <w:rFonts w:hint="eastAsia"/>
                <w:color w:val="auto"/>
                <w:szCs w:val="21"/>
                <w:lang w:val="en-US" w:eastAsia="zh-CN"/>
              </w:rPr>
              <w:t>1</w:t>
            </w:r>
            <w:r>
              <w:rPr>
                <w:color w:val="auto"/>
                <w:szCs w:val="21"/>
              </w:rPr>
              <w:t>。</w:t>
            </w:r>
          </w:p>
          <w:p>
            <w:pPr>
              <w:adjustRightInd w:val="0"/>
              <w:snapToGrid w:val="0"/>
              <w:jc w:val="center"/>
              <w:rPr>
                <w:b/>
                <w:color w:val="auto"/>
                <w:szCs w:val="21"/>
              </w:rPr>
            </w:pPr>
            <w:r>
              <w:rPr>
                <w:b/>
                <w:color w:val="auto"/>
                <w:szCs w:val="21"/>
              </w:rPr>
              <w:t>表2-</w:t>
            </w:r>
            <w:r>
              <w:rPr>
                <w:rFonts w:hint="eastAsia"/>
                <w:b/>
                <w:color w:val="auto"/>
                <w:szCs w:val="21"/>
              </w:rPr>
              <w:t>1</w:t>
            </w:r>
            <w:r>
              <w:rPr>
                <w:rFonts w:hint="eastAsia"/>
                <w:b/>
                <w:color w:val="auto"/>
                <w:szCs w:val="21"/>
                <w:lang w:val="en-US" w:eastAsia="zh-CN"/>
              </w:rPr>
              <w:t>1</w:t>
            </w:r>
            <w:r>
              <w:rPr>
                <w:b/>
                <w:color w:val="auto"/>
                <w:szCs w:val="21"/>
              </w:rPr>
              <w:t>现有项目废水污染物排放总量表  单位：t/a</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755"/>
              <w:gridCol w:w="2523"/>
              <w:gridCol w:w="2523"/>
              <w:gridCol w:w="251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943" w:type="pct"/>
                  <w:vAlign w:val="center"/>
                </w:tcPr>
                <w:p>
                  <w:pPr>
                    <w:adjustRightInd w:val="0"/>
                    <w:snapToGrid w:val="0"/>
                    <w:jc w:val="center"/>
                    <w:rPr>
                      <w:b/>
                      <w:bCs/>
                      <w:color w:val="auto"/>
                      <w:sz w:val="18"/>
                      <w:szCs w:val="18"/>
                    </w:rPr>
                  </w:pPr>
                  <w:r>
                    <w:rPr>
                      <w:b/>
                      <w:bCs/>
                      <w:color w:val="auto"/>
                      <w:sz w:val="18"/>
                      <w:szCs w:val="18"/>
                    </w:rPr>
                    <w:t>污染物名称</w:t>
                  </w:r>
                </w:p>
              </w:tc>
              <w:tc>
                <w:tcPr>
                  <w:tcW w:w="1354" w:type="pct"/>
                  <w:vAlign w:val="center"/>
                </w:tcPr>
                <w:p>
                  <w:pPr>
                    <w:adjustRightInd w:val="0"/>
                    <w:snapToGrid w:val="0"/>
                    <w:jc w:val="center"/>
                    <w:rPr>
                      <w:b/>
                      <w:bCs/>
                      <w:color w:val="auto"/>
                      <w:sz w:val="18"/>
                      <w:szCs w:val="18"/>
                    </w:rPr>
                  </w:pPr>
                  <w:r>
                    <w:rPr>
                      <w:b/>
                      <w:bCs/>
                      <w:color w:val="auto"/>
                      <w:sz w:val="18"/>
                      <w:szCs w:val="18"/>
                    </w:rPr>
                    <w:t>产生量</w:t>
                  </w:r>
                </w:p>
              </w:tc>
              <w:tc>
                <w:tcPr>
                  <w:tcW w:w="1354" w:type="pct"/>
                  <w:vAlign w:val="center"/>
                </w:tcPr>
                <w:p>
                  <w:pPr>
                    <w:adjustRightInd w:val="0"/>
                    <w:snapToGrid w:val="0"/>
                    <w:jc w:val="center"/>
                    <w:rPr>
                      <w:b/>
                      <w:bCs/>
                      <w:color w:val="auto"/>
                      <w:sz w:val="18"/>
                      <w:szCs w:val="18"/>
                    </w:rPr>
                  </w:pPr>
                  <w:r>
                    <w:rPr>
                      <w:b/>
                      <w:bCs/>
                      <w:color w:val="auto"/>
                      <w:sz w:val="18"/>
                      <w:szCs w:val="18"/>
                    </w:rPr>
                    <w:t>削减量</w:t>
                  </w:r>
                </w:p>
              </w:tc>
              <w:tc>
                <w:tcPr>
                  <w:tcW w:w="1347" w:type="pct"/>
                  <w:vAlign w:val="center"/>
                </w:tcPr>
                <w:p>
                  <w:pPr>
                    <w:adjustRightInd w:val="0"/>
                    <w:snapToGrid w:val="0"/>
                    <w:jc w:val="center"/>
                    <w:rPr>
                      <w:b/>
                      <w:bCs/>
                      <w:color w:val="auto"/>
                      <w:sz w:val="18"/>
                      <w:szCs w:val="18"/>
                    </w:rPr>
                  </w:pPr>
                  <w:r>
                    <w:rPr>
                      <w:b/>
                      <w:bCs/>
                      <w:color w:val="auto"/>
                      <w:sz w:val="18"/>
                      <w:szCs w:val="18"/>
                    </w:rPr>
                    <w:t>排放量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943" w:type="pct"/>
                  <w:vAlign w:val="center"/>
                </w:tcPr>
                <w:p>
                  <w:pPr>
                    <w:jc w:val="center"/>
                    <w:rPr>
                      <w:color w:val="auto"/>
                      <w:sz w:val="18"/>
                      <w:szCs w:val="18"/>
                    </w:rPr>
                  </w:pPr>
                  <w:r>
                    <w:rPr>
                      <w:color w:val="auto"/>
                      <w:sz w:val="18"/>
                      <w:szCs w:val="18"/>
                    </w:rPr>
                    <w:t>废水量</w:t>
                  </w:r>
                </w:p>
              </w:tc>
              <w:tc>
                <w:tcPr>
                  <w:tcW w:w="1354" w:type="pct"/>
                  <w:vAlign w:val="center"/>
                </w:tcPr>
                <w:p>
                  <w:pPr>
                    <w:adjustRightInd w:val="0"/>
                    <w:snapToGrid w:val="0"/>
                    <w:jc w:val="center"/>
                    <w:rPr>
                      <w:color w:val="auto"/>
                      <w:sz w:val="18"/>
                      <w:szCs w:val="18"/>
                    </w:rPr>
                  </w:pPr>
                  <w:r>
                    <w:rPr>
                      <w:rFonts w:hint="eastAsia"/>
                      <w:color w:val="auto"/>
                      <w:sz w:val="18"/>
                      <w:szCs w:val="18"/>
                    </w:rPr>
                    <w:t>191</w:t>
                  </w:r>
                </w:p>
              </w:tc>
              <w:tc>
                <w:tcPr>
                  <w:tcW w:w="1354" w:type="pct"/>
                  <w:vAlign w:val="center"/>
                </w:tcPr>
                <w:p>
                  <w:pPr>
                    <w:adjustRightInd w:val="0"/>
                    <w:snapToGrid w:val="0"/>
                    <w:jc w:val="center"/>
                    <w:rPr>
                      <w:color w:val="auto"/>
                      <w:sz w:val="18"/>
                      <w:szCs w:val="18"/>
                    </w:rPr>
                  </w:pPr>
                  <w:r>
                    <w:rPr>
                      <w:color w:val="auto"/>
                      <w:sz w:val="18"/>
                      <w:szCs w:val="18"/>
                    </w:rPr>
                    <w:t>0</w:t>
                  </w:r>
                </w:p>
              </w:tc>
              <w:tc>
                <w:tcPr>
                  <w:tcW w:w="2511" w:type="dxa"/>
                  <w:vAlign w:val="center"/>
                </w:tcPr>
                <w:p>
                  <w:pPr>
                    <w:adjustRightInd w:val="0"/>
                    <w:snapToGrid w:val="0"/>
                    <w:jc w:val="center"/>
                    <w:rPr>
                      <w:color w:val="auto"/>
                      <w:sz w:val="18"/>
                      <w:szCs w:val="18"/>
                    </w:rPr>
                  </w:pPr>
                  <w:r>
                    <w:rPr>
                      <w:rFonts w:hint="eastAsia"/>
                      <w:color w:val="auto"/>
                      <w:sz w:val="18"/>
                      <w:szCs w:val="18"/>
                    </w:rPr>
                    <w:t>191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943" w:type="pct"/>
                  <w:vAlign w:val="center"/>
                </w:tcPr>
                <w:p>
                  <w:pPr>
                    <w:jc w:val="center"/>
                    <w:rPr>
                      <w:color w:val="auto"/>
                      <w:sz w:val="18"/>
                      <w:szCs w:val="18"/>
                    </w:rPr>
                  </w:pPr>
                  <w:r>
                    <w:rPr>
                      <w:color w:val="auto"/>
                      <w:sz w:val="18"/>
                      <w:szCs w:val="18"/>
                    </w:rPr>
                    <w:t>COD</w:t>
                  </w:r>
                </w:p>
              </w:tc>
              <w:tc>
                <w:tcPr>
                  <w:tcW w:w="1354" w:type="pct"/>
                  <w:vAlign w:val="center"/>
                </w:tcPr>
                <w:p>
                  <w:pPr>
                    <w:adjustRightInd w:val="0"/>
                    <w:snapToGrid w:val="0"/>
                    <w:jc w:val="center"/>
                    <w:rPr>
                      <w:color w:val="auto"/>
                      <w:sz w:val="18"/>
                      <w:szCs w:val="18"/>
                    </w:rPr>
                  </w:pPr>
                  <w:r>
                    <w:rPr>
                      <w:rFonts w:hint="eastAsia"/>
                      <w:color w:val="auto"/>
                      <w:sz w:val="18"/>
                      <w:szCs w:val="18"/>
                    </w:rPr>
                    <w:t>0.076</w:t>
                  </w:r>
                </w:p>
              </w:tc>
              <w:tc>
                <w:tcPr>
                  <w:tcW w:w="1354" w:type="pct"/>
                  <w:vAlign w:val="center"/>
                </w:tcPr>
                <w:p>
                  <w:pPr>
                    <w:adjustRightInd w:val="0"/>
                    <w:snapToGrid w:val="0"/>
                    <w:jc w:val="center"/>
                    <w:rPr>
                      <w:color w:val="auto"/>
                      <w:sz w:val="18"/>
                      <w:szCs w:val="18"/>
                    </w:rPr>
                  </w:pPr>
                  <w:r>
                    <w:rPr>
                      <w:color w:val="auto"/>
                      <w:sz w:val="18"/>
                      <w:szCs w:val="18"/>
                    </w:rPr>
                    <w:t>0</w:t>
                  </w:r>
                </w:p>
              </w:tc>
              <w:tc>
                <w:tcPr>
                  <w:tcW w:w="2511" w:type="dxa"/>
                  <w:vAlign w:val="center"/>
                </w:tcPr>
                <w:p>
                  <w:pPr>
                    <w:adjustRightInd w:val="0"/>
                    <w:snapToGrid w:val="0"/>
                    <w:jc w:val="center"/>
                    <w:rPr>
                      <w:color w:val="auto"/>
                      <w:sz w:val="18"/>
                      <w:szCs w:val="18"/>
                    </w:rPr>
                  </w:pPr>
                  <w:r>
                    <w:rPr>
                      <w:rFonts w:hint="eastAsia"/>
                      <w:color w:val="auto"/>
                      <w:sz w:val="18"/>
                      <w:szCs w:val="18"/>
                    </w:rPr>
                    <w:t>0.076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943" w:type="pct"/>
                  <w:vAlign w:val="center"/>
                </w:tcPr>
                <w:p>
                  <w:pPr>
                    <w:jc w:val="center"/>
                    <w:rPr>
                      <w:color w:val="auto"/>
                      <w:sz w:val="18"/>
                      <w:szCs w:val="18"/>
                    </w:rPr>
                  </w:pPr>
                  <w:r>
                    <w:rPr>
                      <w:color w:val="auto"/>
                      <w:sz w:val="18"/>
                      <w:szCs w:val="18"/>
                    </w:rPr>
                    <w:t>SS</w:t>
                  </w:r>
                </w:p>
              </w:tc>
              <w:tc>
                <w:tcPr>
                  <w:tcW w:w="1354" w:type="pct"/>
                  <w:vAlign w:val="center"/>
                </w:tcPr>
                <w:p>
                  <w:pPr>
                    <w:adjustRightInd w:val="0"/>
                    <w:snapToGrid w:val="0"/>
                    <w:jc w:val="center"/>
                    <w:rPr>
                      <w:color w:val="auto"/>
                      <w:sz w:val="18"/>
                      <w:szCs w:val="18"/>
                    </w:rPr>
                  </w:pPr>
                  <w:r>
                    <w:rPr>
                      <w:rFonts w:hint="eastAsia"/>
                      <w:color w:val="auto"/>
                      <w:sz w:val="18"/>
                      <w:szCs w:val="18"/>
                    </w:rPr>
                    <w:t>0.038</w:t>
                  </w:r>
                </w:p>
              </w:tc>
              <w:tc>
                <w:tcPr>
                  <w:tcW w:w="1354" w:type="pct"/>
                  <w:vAlign w:val="center"/>
                </w:tcPr>
                <w:p>
                  <w:pPr>
                    <w:adjustRightInd w:val="0"/>
                    <w:snapToGrid w:val="0"/>
                    <w:jc w:val="center"/>
                    <w:rPr>
                      <w:color w:val="auto"/>
                      <w:sz w:val="18"/>
                      <w:szCs w:val="18"/>
                    </w:rPr>
                  </w:pPr>
                  <w:r>
                    <w:rPr>
                      <w:color w:val="auto"/>
                      <w:sz w:val="18"/>
                      <w:szCs w:val="18"/>
                    </w:rPr>
                    <w:t>0</w:t>
                  </w:r>
                </w:p>
              </w:tc>
              <w:tc>
                <w:tcPr>
                  <w:tcW w:w="2511" w:type="dxa"/>
                  <w:vAlign w:val="center"/>
                </w:tcPr>
                <w:p>
                  <w:pPr>
                    <w:adjustRightInd w:val="0"/>
                    <w:snapToGrid w:val="0"/>
                    <w:jc w:val="center"/>
                    <w:rPr>
                      <w:color w:val="auto"/>
                      <w:sz w:val="18"/>
                      <w:szCs w:val="18"/>
                    </w:rPr>
                  </w:pPr>
                  <w:r>
                    <w:rPr>
                      <w:rFonts w:hint="eastAsia"/>
                      <w:color w:val="auto"/>
                      <w:sz w:val="18"/>
                      <w:szCs w:val="18"/>
                    </w:rPr>
                    <w:t>0.038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943" w:type="pct"/>
                  <w:vAlign w:val="center"/>
                </w:tcPr>
                <w:p>
                  <w:pPr>
                    <w:jc w:val="center"/>
                    <w:rPr>
                      <w:color w:val="auto"/>
                      <w:sz w:val="18"/>
                      <w:szCs w:val="18"/>
                    </w:rPr>
                  </w:pPr>
                  <w:r>
                    <w:rPr>
                      <w:color w:val="auto"/>
                      <w:sz w:val="18"/>
                      <w:szCs w:val="18"/>
                    </w:rPr>
                    <w:t>氨氮</w:t>
                  </w:r>
                </w:p>
              </w:tc>
              <w:tc>
                <w:tcPr>
                  <w:tcW w:w="1354" w:type="pct"/>
                  <w:vAlign w:val="center"/>
                </w:tcPr>
                <w:p>
                  <w:pPr>
                    <w:adjustRightInd w:val="0"/>
                    <w:snapToGrid w:val="0"/>
                    <w:jc w:val="center"/>
                    <w:rPr>
                      <w:color w:val="auto"/>
                      <w:sz w:val="18"/>
                      <w:szCs w:val="18"/>
                    </w:rPr>
                  </w:pPr>
                  <w:r>
                    <w:rPr>
                      <w:rFonts w:hint="eastAsia"/>
                      <w:color w:val="auto"/>
                      <w:sz w:val="18"/>
                      <w:szCs w:val="18"/>
                    </w:rPr>
                    <w:t>0.0048</w:t>
                  </w:r>
                </w:p>
              </w:tc>
              <w:tc>
                <w:tcPr>
                  <w:tcW w:w="1354" w:type="pct"/>
                  <w:vAlign w:val="center"/>
                </w:tcPr>
                <w:p>
                  <w:pPr>
                    <w:adjustRightInd w:val="0"/>
                    <w:snapToGrid w:val="0"/>
                    <w:jc w:val="center"/>
                    <w:rPr>
                      <w:color w:val="auto"/>
                      <w:sz w:val="18"/>
                      <w:szCs w:val="18"/>
                    </w:rPr>
                  </w:pPr>
                  <w:r>
                    <w:rPr>
                      <w:color w:val="auto"/>
                      <w:sz w:val="18"/>
                      <w:szCs w:val="18"/>
                    </w:rPr>
                    <w:t>0</w:t>
                  </w:r>
                </w:p>
              </w:tc>
              <w:tc>
                <w:tcPr>
                  <w:tcW w:w="2511" w:type="dxa"/>
                  <w:vAlign w:val="center"/>
                </w:tcPr>
                <w:p>
                  <w:pPr>
                    <w:adjustRightInd w:val="0"/>
                    <w:snapToGrid w:val="0"/>
                    <w:jc w:val="center"/>
                    <w:rPr>
                      <w:color w:val="auto"/>
                      <w:sz w:val="18"/>
                      <w:szCs w:val="18"/>
                    </w:rPr>
                  </w:pPr>
                  <w:r>
                    <w:rPr>
                      <w:rFonts w:hint="eastAsia"/>
                      <w:color w:val="auto"/>
                      <w:sz w:val="18"/>
                      <w:szCs w:val="18"/>
                    </w:rPr>
                    <w:t>0.0048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943" w:type="pct"/>
                  <w:vAlign w:val="center"/>
                </w:tcPr>
                <w:p>
                  <w:pPr>
                    <w:jc w:val="center"/>
                    <w:rPr>
                      <w:color w:val="auto"/>
                      <w:sz w:val="18"/>
                      <w:szCs w:val="18"/>
                    </w:rPr>
                  </w:pPr>
                  <w:r>
                    <w:rPr>
                      <w:color w:val="auto"/>
                      <w:sz w:val="18"/>
                      <w:szCs w:val="18"/>
                    </w:rPr>
                    <w:t>总氮</w:t>
                  </w:r>
                </w:p>
              </w:tc>
              <w:tc>
                <w:tcPr>
                  <w:tcW w:w="1354" w:type="pct"/>
                  <w:vAlign w:val="center"/>
                </w:tcPr>
                <w:p>
                  <w:pPr>
                    <w:adjustRightInd w:val="0"/>
                    <w:snapToGrid w:val="0"/>
                    <w:jc w:val="center"/>
                    <w:rPr>
                      <w:color w:val="auto"/>
                      <w:sz w:val="18"/>
                      <w:szCs w:val="18"/>
                    </w:rPr>
                  </w:pPr>
                  <w:r>
                    <w:rPr>
                      <w:rFonts w:hint="eastAsia"/>
                      <w:color w:val="auto"/>
                      <w:sz w:val="18"/>
                      <w:szCs w:val="18"/>
                    </w:rPr>
                    <w:t>0.0067</w:t>
                  </w:r>
                </w:p>
              </w:tc>
              <w:tc>
                <w:tcPr>
                  <w:tcW w:w="1354" w:type="pct"/>
                  <w:vAlign w:val="center"/>
                </w:tcPr>
                <w:p>
                  <w:pPr>
                    <w:adjustRightInd w:val="0"/>
                    <w:snapToGrid w:val="0"/>
                    <w:jc w:val="center"/>
                    <w:rPr>
                      <w:color w:val="auto"/>
                      <w:sz w:val="18"/>
                      <w:szCs w:val="18"/>
                    </w:rPr>
                  </w:pPr>
                  <w:r>
                    <w:rPr>
                      <w:color w:val="auto"/>
                      <w:sz w:val="18"/>
                      <w:szCs w:val="18"/>
                    </w:rPr>
                    <w:t>0</w:t>
                  </w:r>
                </w:p>
              </w:tc>
              <w:tc>
                <w:tcPr>
                  <w:tcW w:w="2511" w:type="dxa"/>
                  <w:vAlign w:val="center"/>
                </w:tcPr>
                <w:p>
                  <w:pPr>
                    <w:adjustRightInd w:val="0"/>
                    <w:snapToGrid w:val="0"/>
                    <w:jc w:val="center"/>
                    <w:rPr>
                      <w:color w:val="auto"/>
                      <w:sz w:val="18"/>
                      <w:szCs w:val="18"/>
                    </w:rPr>
                  </w:pPr>
                  <w:r>
                    <w:rPr>
                      <w:rFonts w:hint="eastAsia"/>
                      <w:color w:val="auto"/>
                      <w:sz w:val="18"/>
                      <w:szCs w:val="18"/>
                    </w:rPr>
                    <w:t>0.0067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943" w:type="pct"/>
                  <w:vAlign w:val="center"/>
                </w:tcPr>
                <w:p>
                  <w:pPr>
                    <w:jc w:val="center"/>
                    <w:rPr>
                      <w:color w:val="auto"/>
                      <w:sz w:val="18"/>
                      <w:szCs w:val="18"/>
                    </w:rPr>
                  </w:pPr>
                  <w:r>
                    <w:rPr>
                      <w:color w:val="auto"/>
                      <w:sz w:val="18"/>
                      <w:szCs w:val="18"/>
                    </w:rPr>
                    <w:t>总磷</w:t>
                  </w:r>
                </w:p>
              </w:tc>
              <w:tc>
                <w:tcPr>
                  <w:tcW w:w="1354" w:type="pct"/>
                  <w:vAlign w:val="center"/>
                </w:tcPr>
                <w:p>
                  <w:pPr>
                    <w:adjustRightInd w:val="0"/>
                    <w:snapToGrid w:val="0"/>
                    <w:jc w:val="center"/>
                    <w:rPr>
                      <w:color w:val="auto"/>
                      <w:sz w:val="18"/>
                      <w:szCs w:val="18"/>
                    </w:rPr>
                  </w:pPr>
                  <w:r>
                    <w:rPr>
                      <w:rFonts w:hint="eastAsia"/>
                      <w:color w:val="auto"/>
                      <w:sz w:val="18"/>
                      <w:szCs w:val="18"/>
                    </w:rPr>
                    <w:t>0.0008</w:t>
                  </w:r>
                </w:p>
              </w:tc>
              <w:tc>
                <w:tcPr>
                  <w:tcW w:w="1354" w:type="pct"/>
                  <w:vAlign w:val="center"/>
                </w:tcPr>
                <w:p>
                  <w:pPr>
                    <w:adjustRightInd w:val="0"/>
                    <w:snapToGrid w:val="0"/>
                    <w:jc w:val="center"/>
                    <w:rPr>
                      <w:color w:val="auto"/>
                      <w:sz w:val="18"/>
                      <w:szCs w:val="18"/>
                    </w:rPr>
                  </w:pPr>
                  <w:r>
                    <w:rPr>
                      <w:color w:val="auto"/>
                      <w:sz w:val="18"/>
                      <w:szCs w:val="18"/>
                    </w:rPr>
                    <w:t>0</w:t>
                  </w:r>
                </w:p>
              </w:tc>
              <w:tc>
                <w:tcPr>
                  <w:tcW w:w="2511" w:type="dxa"/>
                  <w:vAlign w:val="center"/>
                </w:tcPr>
                <w:p>
                  <w:pPr>
                    <w:adjustRightInd w:val="0"/>
                    <w:snapToGrid w:val="0"/>
                    <w:jc w:val="center"/>
                    <w:rPr>
                      <w:color w:val="auto"/>
                      <w:sz w:val="18"/>
                      <w:szCs w:val="18"/>
                    </w:rPr>
                  </w:pPr>
                  <w:r>
                    <w:rPr>
                      <w:rFonts w:hint="eastAsia"/>
                      <w:color w:val="auto"/>
                      <w:sz w:val="18"/>
                      <w:szCs w:val="18"/>
                    </w:rPr>
                    <w:t>0.0008</w:t>
                  </w:r>
                </w:p>
              </w:tc>
            </w:tr>
          </w:tbl>
          <w:p>
            <w:pPr>
              <w:snapToGrid w:val="0"/>
              <w:spacing w:line="360" w:lineRule="auto"/>
              <w:ind w:firstLine="420" w:firstLineChars="200"/>
              <w:rPr>
                <w:color w:val="auto"/>
                <w:szCs w:val="21"/>
              </w:rPr>
            </w:pPr>
            <w:r>
              <w:rPr>
                <w:color w:val="auto"/>
                <w:szCs w:val="21"/>
              </w:rPr>
              <w:t>3、噪声</w:t>
            </w:r>
          </w:p>
          <w:p>
            <w:pPr>
              <w:snapToGrid w:val="0"/>
              <w:spacing w:line="360" w:lineRule="auto"/>
              <w:ind w:firstLine="420" w:firstLineChars="200"/>
              <w:rPr>
                <w:b/>
                <w:color w:val="auto"/>
                <w:szCs w:val="21"/>
              </w:rPr>
            </w:pPr>
            <w:r>
              <w:rPr>
                <w:color w:val="auto"/>
                <w:szCs w:val="21"/>
              </w:rPr>
              <w:t>根据</w:t>
            </w:r>
            <w:r>
              <w:rPr>
                <w:rFonts w:hint="eastAsia"/>
                <w:color w:val="auto"/>
                <w:szCs w:val="21"/>
              </w:rPr>
              <w:t>验收监测</w:t>
            </w:r>
            <w:r>
              <w:rPr>
                <w:snapToGrid w:val="0"/>
                <w:color w:val="auto"/>
                <w:szCs w:val="21"/>
              </w:rPr>
              <w:t>，企业厂界噪声监测结果见表2-</w:t>
            </w:r>
            <w:r>
              <w:rPr>
                <w:rFonts w:hint="eastAsia"/>
                <w:snapToGrid w:val="0"/>
                <w:color w:val="auto"/>
                <w:szCs w:val="21"/>
              </w:rPr>
              <w:t>1</w:t>
            </w:r>
            <w:r>
              <w:rPr>
                <w:rFonts w:hint="eastAsia"/>
                <w:snapToGrid w:val="0"/>
                <w:color w:val="auto"/>
                <w:szCs w:val="21"/>
                <w:lang w:val="en-US" w:eastAsia="zh-CN"/>
              </w:rPr>
              <w:t>2</w:t>
            </w:r>
            <w:r>
              <w:rPr>
                <w:snapToGrid w:val="0"/>
                <w:color w:val="auto"/>
                <w:szCs w:val="21"/>
              </w:rPr>
              <w:t>。</w:t>
            </w:r>
          </w:p>
          <w:p>
            <w:pPr>
              <w:snapToGrid w:val="0"/>
              <w:jc w:val="center"/>
              <w:rPr>
                <w:b/>
                <w:color w:val="auto"/>
                <w:szCs w:val="21"/>
              </w:rPr>
            </w:pPr>
            <w:r>
              <w:rPr>
                <w:b/>
                <w:color w:val="auto"/>
                <w:szCs w:val="21"/>
              </w:rPr>
              <w:t>表2-</w:t>
            </w:r>
            <w:r>
              <w:rPr>
                <w:rFonts w:hint="eastAsia"/>
                <w:b/>
                <w:color w:val="auto"/>
                <w:szCs w:val="21"/>
              </w:rPr>
              <w:t>1</w:t>
            </w:r>
            <w:r>
              <w:rPr>
                <w:rFonts w:hint="eastAsia"/>
                <w:b/>
                <w:color w:val="auto"/>
                <w:szCs w:val="21"/>
                <w:lang w:val="en-US" w:eastAsia="zh-CN"/>
              </w:rPr>
              <w:t>2</w:t>
            </w:r>
            <w:r>
              <w:rPr>
                <w:rFonts w:hint="eastAsia"/>
                <w:b/>
                <w:color w:val="auto"/>
                <w:szCs w:val="21"/>
              </w:rPr>
              <w:t xml:space="preserve"> </w:t>
            </w:r>
            <w:r>
              <w:rPr>
                <w:b/>
                <w:color w:val="auto"/>
                <w:szCs w:val="21"/>
              </w:rPr>
              <w:t xml:space="preserve">  企业噪声监测结果一览表（单位：dB（A））</w:t>
            </w:r>
          </w:p>
          <w:tbl>
            <w:tblPr>
              <w:tblStyle w:val="38"/>
              <w:tblW w:w="499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289"/>
              <w:gridCol w:w="1246"/>
              <w:gridCol w:w="1442"/>
              <w:gridCol w:w="1442"/>
              <w:gridCol w:w="1441"/>
              <w:gridCol w:w="144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230" w:type="pct"/>
                  <w:vMerge w:val="restart"/>
                  <w:vAlign w:val="center"/>
                </w:tcPr>
                <w:p>
                  <w:pPr>
                    <w:autoSpaceDE w:val="0"/>
                    <w:autoSpaceDN w:val="0"/>
                    <w:adjustRightInd w:val="0"/>
                    <w:snapToGrid w:val="0"/>
                    <w:jc w:val="center"/>
                    <w:rPr>
                      <w:b/>
                      <w:bCs/>
                      <w:color w:val="auto"/>
                      <w:sz w:val="18"/>
                      <w:szCs w:val="18"/>
                    </w:rPr>
                  </w:pPr>
                  <w:r>
                    <w:rPr>
                      <w:rFonts w:hint="eastAsia"/>
                      <w:b/>
                      <w:bCs/>
                      <w:color w:val="auto"/>
                      <w:sz w:val="18"/>
                      <w:szCs w:val="18"/>
                    </w:rPr>
                    <w:t>测点位置</w:t>
                  </w:r>
                </w:p>
              </w:tc>
              <w:tc>
                <w:tcPr>
                  <w:tcW w:w="669" w:type="pct"/>
                  <w:vMerge w:val="restart"/>
                  <w:vAlign w:val="center"/>
                </w:tcPr>
                <w:p>
                  <w:pPr>
                    <w:autoSpaceDE w:val="0"/>
                    <w:autoSpaceDN w:val="0"/>
                    <w:adjustRightInd w:val="0"/>
                    <w:snapToGrid w:val="0"/>
                    <w:jc w:val="center"/>
                    <w:rPr>
                      <w:b/>
                      <w:bCs/>
                      <w:color w:val="auto"/>
                      <w:sz w:val="18"/>
                      <w:szCs w:val="18"/>
                    </w:rPr>
                  </w:pPr>
                  <w:r>
                    <w:rPr>
                      <w:rFonts w:hint="eastAsia"/>
                      <w:b/>
                      <w:bCs/>
                      <w:color w:val="auto"/>
                      <w:sz w:val="18"/>
                      <w:szCs w:val="18"/>
                    </w:rPr>
                    <w:t>主要声源</w:t>
                  </w:r>
                </w:p>
              </w:tc>
              <w:tc>
                <w:tcPr>
                  <w:tcW w:w="1550" w:type="pct"/>
                  <w:gridSpan w:val="2"/>
                  <w:vAlign w:val="center"/>
                </w:tcPr>
                <w:p>
                  <w:pPr>
                    <w:autoSpaceDE w:val="0"/>
                    <w:autoSpaceDN w:val="0"/>
                    <w:adjustRightInd w:val="0"/>
                    <w:snapToGrid w:val="0"/>
                    <w:jc w:val="center"/>
                    <w:rPr>
                      <w:b/>
                      <w:bCs/>
                      <w:color w:val="auto"/>
                      <w:sz w:val="18"/>
                      <w:szCs w:val="18"/>
                    </w:rPr>
                  </w:pPr>
                  <w:r>
                    <w:rPr>
                      <w:rFonts w:hint="eastAsia"/>
                      <w:b/>
                      <w:bCs/>
                      <w:color w:val="auto"/>
                      <w:sz w:val="18"/>
                      <w:szCs w:val="18"/>
                    </w:rPr>
                    <w:t>2</w:t>
                  </w:r>
                  <w:r>
                    <w:rPr>
                      <w:b/>
                      <w:bCs/>
                      <w:color w:val="auto"/>
                      <w:sz w:val="18"/>
                      <w:szCs w:val="18"/>
                    </w:rPr>
                    <w:t>0</w:t>
                  </w:r>
                  <w:r>
                    <w:rPr>
                      <w:rFonts w:hint="eastAsia"/>
                      <w:b/>
                      <w:bCs/>
                      <w:color w:val="auto"/>
                      <w:sz w:val="18"/>
                      <w:szCs w:val="18"/>
                    </w:rPr>
                    <w:t>16.11.3</w:t>
                  </w:r>
                </w:p>
              </w:tc>
              <w:tc>
                <w:tcPr>
                  <w:tcW w:w="1550" w:type="pct"/>
                  <w:gridSpan w:val="2"/>
                  <w:vAlign w:val="center"/>
                </w:tcPr>
                <w:p>
                  <w:pPr>
                    <w:autoSpaceDE w:val="0"/>
                    <w:autoSpaceDN w:val="0"/>
                    <w:adjustRightInd w:val="0"/>
                    <w:snapToGrid w:val="0"/>
                    <w:jc w:val="center"/>
                    <w:rPr>
                      <w:b/>
                      <w:bCs/>
                      <w:color w:val="auto"/>
                      <w:sz w:val="18"/>
                      <w:szCs w:val="18"/>
                    </w:rPr>
                  </w:pPr>
                  <w:r>
                    <w:rPr>
                      <w:rFonts w:hint="eastAsia"/>
                      <w:b/>
                      <w:bCs/>
                      <w:color w:val="auto"/>
                      <w:sz w:val="18"/>
                      <w:szCs w:val="18"/>
                    </w:rPr>
                    <w:t>2016.11.4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230" w:type="pct"/>
                  <w:vMerge w:val="continue"/>
                  <w:vAlign w:val="center"/>
                </w:tcPr>
                <w:p>
                  <w:pPr>
                    <w:autoSpaceDE w:val="0"/>
                    <w:autoSpaceDN w:val="0"/>
                    <w:adjustRightInd w:val="0"/>
                    <w:snapToGrid w:val="0"/>
                    <w:jc w:val="center"/>
                    <w:rPr>
                      <w:b/>
                      <w:bCs/>
                      <w:color w:val="auto"/>
                      <w:sz w:val="18"/>
                      <w:szCs w:val="18"/>
                    </w:rPr>
                  </w:pPr>
                </w:p>
              </w:tc>
              <w:tc>
                <w:tcPr>
                  <w:tcW w:w="669" w:type="pct"/>
                  <w:vMerge w:val="continue"/>
                  <w:vAlign w:val="center"/>
                </w:tcPr>
                <w:p>
                  <w:pPr>
                    <w:autoSpaceDE w:val="0"/>
                    <w:autoSpaceDN w:val="0"/>
                    <w:adjustRightInd w:val="0"/>
                    <w:snapToGrid w:val="0"/>
                    <w:jc w:val="center"/>
                    <w:rPr>
                      <w:b/>
                      <w:bCs/>
                      <w:color w:val="auto"/>
                      <w:sz w:val="18"/>
                      <w:szCs w:val="18"/>
                    </w:rPr>
                  </w:pPr>
                </w:p>
              </w:tc>
              <w:tc>
                <w:tcPr>
                  <w:tcW w:w="775" w:type="pct"/>
                  <w:vAlign w:val="center"/>
                </w:tcPr>
                <w:p>
                  <w:pPr>
                    <w:autoSpaceDE w:val="0"/>
                    <w:autoSpaceDN w:val="0"/>
                    <w:adjustRightInd w:val="0"/>
                    <w:snapToGrid w:val="0"/>
                    <w:jc w:val="center"/>
                    <w:rPr>
                      <w:b/>
                      <w:bCs/>
                      <w:color w:val="auto"/>
                      <w:sz w:val="18"/>
                      <w:szCs w:val="18"/>
                    </w:rPr>
                  </w:pPr>
                  <w:r>
                    <w:rPr>
                      <w:rFonts w:hint="eastAsia"/>
                      <w:b/>
                      <w:bCs/>
                      <w:color w:val="auto"/>
                      <w:sz w:val="18"/>
                      <w:szCs w:val="18"/>
                    </w:rPr>
                    <w:t>昼间d</w:t>
                  </w:r>
                  <w:r>
                    <w:rPr>
                      <w:b/>
                      <w:bCs/>
                      <w:color w:val="auto"/>
                      <w:sz w:val="18"/>
                      <w:szCs w:val="18"/>
                    </w:rPr>
                    <w:t>B</w:t>
                  </w:r>
                  <w:r>
                    <w:rPr>
                      <w:rFonts w:hint="eastAsia"/>
                      <w:b/>
                      <w:bCs/>
                      <w:color w:val="auto"/>
                      <w:sz w:val="18"/>
                      <w:szCs w:val="18"/>
                    </w:rPr>
                    <w:t>（A）</w:t>
                  </w:r>
                </w:p>
              </w:tc>
              <w:tc>
                <w:tcPr>
                  <w:tcW w:w="775" w:type="pct"/>
                  <w:vAlign w:val="center"/>
                </w:tcPr>
                <w:p>
                  <w:pPr>
                    <w:autoSpaceDE w:val="0"/>
                    <w:autoSpaceDN w:val="0"/>
                    <w:adjustRightInd w:val="0"/>
                    <w:snapToGrid w:val="0"/>
                    <w:jc w:val="center"/>
                    <w:rPr>
                      <w:b/>
                      <w:bCs/>
                      <w:color w:val="auto"/>
                      <w:sz w:val="18"/>
                      <w:szCs w:val="18"/>
                    </w:rPr>
                  </w:pPr>
                  <w:r>
                    <w:rPr>
                      <w:rFonts w:hint="eastAsia"/>
                      <w:b/>
                      <w:bCs/>
                      <w:color w:val="auto"/>
                      <w:sz w:val="18"/>
                      <w:szCs w:val="18"/>
                    </w:rPr>
                    <w:t>夜间d</w:t>
                  </w:r>
                  <w:r>
                    <w:rPr>
                      <w:b/>
                      <w:bCs/>
                      <w:color w:val="auto"/>
                      <w:sz w:val="18"/>
                      <w:szCs w:val="18"/>
                    </w:rPr>
                    <w:t>B</w:t>
                  </w:r>
                  <w:r>
                    <w:rPr>
                      <w:rFonts w:hint="eastAsia"/>
                      <w:b/>
                      <w:bCs/>
                      <w:color w:val="auto"/>
                      <w:sz w:val="18"/>
                      <w:szCs w:val="18"/>
                    </w:rPr>
                    <w:t>（A）</w:t>
                  </w:r>
                </w:p>
              </w:tc>
              <w:tc>
                <w:tcPr>
                  <w:tcW w:w="1443" w:type="dxa"/>
                  <w:vAlign w:val="center"/>
                </w:tcPr>
                <w:p>
                  <w:pPr>
                    <w:autoSpaceDE w:val="0"/>
                    <w:autoSpaceDN w:val="0"/>
                    <w:adjustRightInd w:val="0"/>
                    <w:snapToGrid w:val="0"/>
                    <w:jc w:val="center"/>
                    <w:rPr>
                      <w:b/>
                      <w:bCs/>
                      <w:color w:val="auto"/>
                      <w:sz w:val="18"/>
                      <w:szCs w:val="18"/>
                    </w:rPr>
                  </w:pPr>
                  <w:r>
                    <w:rPr>
                      <w:rFonts w:hint="eastAsia"/>
                      <w:b/>
                      <w:bCs/>
                      <w:color w:val="auto"/>
                      <w:sz w:val="18"/>
                      <w:szCs w:val="18"/>
                    </w:rPr>
                    <w:t>昼间d</w:t>
                  </w:r>
                  <w:r>
                    <w:rPr>
                      <w:b/>
                      <w:bCs/>
                      <w:color w:val="auto"/>
                      <w:sz w:val="18"/>
                      <w:szCs w:val="18"/>
                    </w:rPr>
                    <w:t>B</w:t>
                  </w:r>
                  <w:r>
                    <w:rPr>
                      <w:rFonts w:hint="eastAsia"/>
                      <w:b/>
                      <w:bCs/>
                      <w:color w:val="auto"/>
                      <w:sz w:val="18"/>
                      <w:szCs w:val="18"/>
                    </w:rPr>
                    <w:t>（A）</w:t>
                  </w:r>
                </w:p>
              </w:tc>
              <w:tc>
                <w:tcPr>
                  <w:tcW w:w="1443" w:type="dxa"/>
                  <w:vAlign w:val="center"/>
                </w:tcPr>
                <w:p>
                  <w:pPr>
                    <w:autoSpaceDE w:val="0"/>
                    <w:autoSpaceDN w:val="0"/>
                    <w:adjustRightInd w:val="0"/>
                    <w:snapToGrid w:val="0"/>
                    <w:jc w:val="center"/>
                    <w:rPr>
                      <w:b/>
                      <w:bCs/>
                      <w:color w:val="auto"/>
                      <w:sz w:val="18"/>
                      <w:szCs w:val="18"/>
                    </w:rPr>
                  </w:pPr>
                  <w:r>
                    <w:rPr>
                      <w:rFonts w:hint="eastAsia"/>
                      <w:b/>
                      <w:bCs/>
                      <w:color w:val="auto"/>
                      <w:sz w:val="18"/>
                      <w:szCs w:val="18"/>
                    </w:rPr>
                    <w:t>夜间d</w:t>
                  </w:r>
                  <w:r>
                    <w:rPr>
                      <w:b/>
                      <w:bCs/>
                      <w:color w:val="auto"/>
                      <w:sz w:val="18"/>
                      <w:szCs w:val="18"/>
                    </w:rPr>
                    <w:t>B</w:t>
                  </w:r>
                  <w:r>
                    <w:rPr>
                      <w:rFonts w:hint="eastAsia"/>
                      <w:b/>
                      <w:bCs/>
                      <w:color w:val="auto"/>
                      <w:sz w:val="18"/>
                      <w:szCs w:val="18"/>
                    </w:rPr>
                    <w: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230" w:type="pct"/>
                  <w:vAlign w:val="center"/>
                </w:tcPr>
                <w:p>
                  <w:pPr>
                    <w:autoSpaceDE w:val="0"/>
                    <w:autoSpaceDN w:val="0"/>
                    <w:adjustRightInd w:val="0"/>
                    <w:snapToGrid w:val="0"/>
                    <w:jc w:val="center"/>
                    <w:rPr>
                      <w:color w:val="auto"/>
                      <w:sz w:val="18"/>
                      <w:szCs w:val="18"/>
                    </w:rPr>
                  </w:pPr>
                  <w:r>
                    <w:rPr>
                      <w:rFonts w:hint="eastAsia"/>
                      <w:color w:val="auto"/>
                      <w:sz w:val="18"/>
                      <w:szCs w:val="18"/>
                    </w:rPr>
                    <w:t>东厂界外1m</w:t>
                  </w:r>
                </w:p>
              </w:tc>
              <w:tc>
                <w:tcPr>
                  <w:tcW w:w="669" w:type="pct"/>
                  <w:vAlign w:val="center"/>
                </w:tcPr>
                <w:p>
                  <w:pPr>
                    <w:autoSpaceDE w:val="0"/>
                    <w:autoSpaceDN w:val="0"/>
                    <w:adjustRightInd w:val="0"/>
                    <w:snapToGrid w:val="0"/>
                    <w:jc w:val="center"/>
                    <w:rPr>
                      <w:color w:val="auto"/>
                      <w:sz w:val="18"/>
                      <w:szCs w:val="18"/>
                    </w:rPr>
                  </w:pPr>
                  <w:r>
                    <w:rPr>
                      <w:rFonts w:hint="eastAsia"/>
                      <w:color w:val="auto"/>
                      <w:sz w:val="18"/>
                      <w:szCs w:val="18"/>
                    </w:rPr>
                    <w:t>无明显声源</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58.7</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52.3</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60.2</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53.1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1230" w:type="pct"/>
                  <w:vAlign w:val="center"/>
                </w:tcPr>
                <w:p>
                  <w:pPr>
                    <w:autoSpaceDE w:val="0"/>
                    <w:autoSpaceDN w:val="0"/>
                    <w:adjustRightInd w:val="0"/>
                    <w:snapToGrid w:val="0"/>
                    <w:jc w:val="center"/>
                    <w:rPr>
                      <w:color w:val="auto"/>
                      <w:sz w:val="18"/>
                      <w:szCs w:val="18"/>
                    </w:rPr>
                  </w:pPr>
                  <w:r>
                    <w:rPr>
                      <w:rFonts w:hint="eastAsia"/>
                      <w:color w:val="auto"/>
                      <w:sz w:val="18"/>
                      <w:szCs w:val="18"/>
                    </w:rPr>
                    <w:t>南厂界外1m</w:t>
                  </w:r>
                </w:p>
              </w:tc>
              <w:tc>
                <w:tcPr>
                  <w:tcW w:w="669" w:type="pct"/>
                  <w:vAlign w:val="center"/>
                </w:tcPr>
                <w:p>
                  <w:pPr>
                    <w:autoSpaceDE w:val="0"/>
                    <w:autoSpaceDN w:val="0"/>
                    <w:adjustRightInd w:val="0"/>
                    <w:snapToGrid w:val="0"/>
                    <w:jc w:val="center"/>
                    <w:rPr>
                      <w:color w:val="auto"/>
                      <w:sz w:val="18"/>
                      <w:szCs w:val="18"/>
                    </w:rPr>
                  </w:pPr>
                  <w:r>
                    <w:rPr>
                      <w:rFonts w:hint="eastAsia"/>
                      <w:color w:val="auto"/>
                      <w:sz w:val="18"/>
                      <w:szCs w:val="18"/>
                    </w:rPr>
                    <w:t>无明显声源</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57.9</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53.4</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60.5</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230" w:type="pct"/>
                  <w:vAlign w:val="center"/>
                </w:tcPr>
                <w:p>
                  <w:pPr>
                    <w:autoSpaceDE w:val="0"/>
                    <w:autoSpaceDN w:val="0"/>
                    <w:adjustRightInd w:val="0"/>
                    <w:snapToGrid w:val="0"/>
                    <w:jc w:val="center"/>
                    <w:rPr>
                      <w:color w:val="auto"/>
                      <w:sz w:val="18"/>
                      <w:szCs w:val="18"/>
                    </w:rPr>
                  </w:pPr>
                  <w:r>
                    <w:rPr>
                      <w:rFonts w:hint="eastAsia"/>
                      <w:color w:val="auto"/>
                      <w:sz w:val="18"/>
                      <w:szCs w:val="18"/>
                    </w:rPr>
                    <w:t>西厂界外1m</w:t>
                  </w:r>
                </w:p>
              </w:tc>
              <w:tc>
                <w:tcPr>
                  <w:tcW w:w="669" w:type="pct"/>
                  <w:vAlign w:val="center"/>
                </w:tcPr>
                <w:p>
                  <w:pPr>
                    <w:autoSpaceDE w:val="0"/>
                    <w:autoSpaceDN w:val="0"/>
                    <w:adjustRightInd w:val="0"/>
                    <w:snapToGrid w:val="0"/>
                    <w:jc w:val="center"/>
                    <w:rPr>
                      <w:color w:val="auto"/>
                      <w:sz w:val="18"/>
                      <w:szCs w:val="18"/>
                    </w:rPr>
                  </w:pPr>
                  <w:r>
                    <w:rPr>
                      <w:rFonts w:hint="eastAsia"/>
                      <w:color w:val="auto"/>
                      <w:sz w:val="18"/>
                      <w:szCs w:val="18"/>
                    </w:rPr>
                    <w:t>无明显声源</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60.2</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53.6</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59.7</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230" w:type="pct"/>
                  <w:vAlign w:val="center"/>
                </w:tcPr>
                <w:p>
                  <w:pPr>
                    <w:autoSpaceDE w:val="0"/>
                    <w:autoSpaceDN w:val="0"/>
                    <w:adjustRightInd w:val="0"/>
                    <w:snapToGrid w:val="0"/>
                    <w:jc w:val="center"/>
                    <w:rPr>
                      <w:color w:val="auto"/>
                      <w:sz w:val="18"/>
                      <w:szCs w:val="18"/>
                    </w:rPr>
                  </w:pPr>
                  <w:r>
                    <w:rPr>
                      <w:rFonts w:hint="eastAsia"/>
                      <w:color w:val="auto"/>
                      <w:sz w:val="18"/>
                      <w:szCs w:val="18"/>
                    </w:rPr>
                    <w:t>北厂界外1m</w:t>
                  </w:r>
                </w:p>
              </w:tc>
              <w:tc>
                <w:tcPr>
                  <w:tcW w:w="669" w:type="pct"/>
                  <w:vAlign w:val="center"/>
                </w:tcPr>
                <w:p>
                  <w:pPr>
                    <w:autoSpaceDE w:val="0"/>
                    <w:autoSpaceDN w:val="0"/>
                    <w:adjustRightInd w:val="0"/>
                    <w:snapToGrid w:val="0"/>
                    <w:jc w:val="center"/>
                    <w:rPr>
                      <w:color w:val="auto"/>
                      <w:sz w:val="18"/>
                      <w:szCs w:val="18"/>
                    </w:rPr>
                  </w:pPr>
                  <w:r>
                    <w:rPr>
                      <w:rFonts w:hint="eastAsia"/>
                      <w:color w:val="auto"/>
                      <w:sz w:val="18"/>
                      <w:szCs w:val="18"/>
                    </w:rPr>
                    <w:t>无明显声源</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60.7</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54.4</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59.8</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99" w:type="pct"/>
                  <w:gridSpan w:val="2"/>
                  <w:vAlign w:val="center"/>
                </w:tcPr>
                <w:p>
                  <w:pPr>
                    <w:autoSpaceDE w:val="0"/>
                    <w:autoSpaceDN w:val="0"/>
                    <w:adjustRightInd w:val="0"/>
                    <w:snapToGrid w:val="0"/>
                    <w:jc w:val="center"/>
                    <w:rPr>
                      <w:color w:val="auto"/>
                      <w:sz w:val="18"/>
                      <w:szCs w:val="18"/>
                    </w:rPr>
                  </w:pPr>
                  <w:r>
                    <w:rPr>
                      <w:rFonts w:hint="eastAsia"/>
                      <w:color w:val="auto"/>
                      <w:sz w:val="18"/>
                      <w:szCs w:val="18"/>
                    </w:rPr>
                    <w:t>标准限值（3类）</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65</w:t>
                  </w:r>
                </w:p>
              </w:tc>
              <w:tc>
                <w:tcPr>
                  <w:tcW w:w="775" w:type="pct"/>
                  <w:vAlign w:val="center"/>
                </w:tcPr>
                <w:p>
                  <w:pPr>
                    <w:autoSpaceDE w:val="0"/>
                    <w:autoSpaceDN w:val="0"/>
                    <w:adjustRightInd w:val="0"/>
                    <w:snapToGrid w:val="0"/>
                    <w:jc w:val="center"/>
                    <w:rPr>
                      <w:color w:val="auto"/>
                      <w:sz w:val="18"/>
                      <w:szCs w:val="18"/>
                    </w:rPr>
                  </w:pPr>
                  <w:r>
                    <w:rPr>
                      <w:rFonts w:hint="eastAsia"/>
                      <w:color w:val="auto"/>
                      <w:sz w:val="18"/>
                      <w:szCs w:val="18"/>
                    </w:rPr>
                    <w:t>55</w:t>
                  </w:r>
                </w:p>
              </w:tc>
              <w:tc>
                <w:tcPr>
                  <w:tcW w:w="1443" w:type="dxa"/>
                  <w:vAlign w:val="center"/>
                </w:tcPr>
                <w:p>
                  <w:pPr>
                    <w:autoSpaceDE w:val="0"/>
                    <w:autoSpaceDN w:val="0"/>
                    <w:adjustRightInd w:val="0"/>
                    <w:snapToGrid w:val="0"/>
                    <w:jc w:val="center"/>
                    <w:rPr>
                      <w:color w:val="auto"/>
                      <w:sz w:val="18"/>
                      <w:szCs w:val="18"/>
                    </w:rPr>
                  </w:pPr>
                  <w:r>
                    <w:rPr>
                      <w:rFonts w:hint="eastAsia"/>
                      <w:color w:val="auto"/>
                      <w:sz w:val="18"/>
                      <w:szCs w:val="18"/>
                    </w:rPr>
                    <w:t>65</w:t>
                  </w:r>
                </w:p>
              </w:tc>
              <w:tc>
                <w:tcPr>
                  <w:tcW w:w="1443" w:type="dxa"/>
                  <w:vAlign w:val="center"/>
                </w:tcPr>
                <w:p>
                  <w:pPr>
                    <w:autoSpaceDE w:val="0"/>
                    <w:autoSpaceDN w:val="0"/>
                    <w:adjustRightInd w:val="0"/>
                    <w:snapToGrid w:val="0"/>
                    <w:jc w:val="center"/>
                    <w:rPr>
                      <w:color w:val="auto"/>
                      <w:sz w:val="18"/>
                      <w:szCs w:val="18"/>
                    </w:rPr>
                  </w:pPr>
                  <w:r>
                    <w:rPr>
                      <w:rFonts w:hint="eastAsia"/>
                      <w:color w:val="auto"/>
                      <w:sz w:val="18"/>
                      <w:szCs w:val="18"/>
                    </w:rPr>
                    <w:t>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899" w:type="pct"/>
                  <w:gridSpan w:val="2"/>
                  <w:vAlign w:val="center"/>
                </w:tcPr>
                <w:p>
                  <w:pPr>
                    <w:autoSpaceDE w:val="0"/>
                    <w:autoSpaceDN w:val="0"/>
                    <w:adjustRightInd w:val="0"/>
                    <w:snapToGrid w:val="0"/>
                    <w:jc w:val="center"/>
                    <w:rPr>
                      <w:color w:val="auto"/>
                      <w:sz w:val="18"/>
                      <w:szCs w:val="18"/>
                    </w:rPr>
                  </w:pPr>
                  <w:r>
                    <w:rPr>
                      <w:rFonts w:hint="eastAsia"/>
                      <w:color w:val="auto"/>
                      <w:sz w:val="18"/>
                      <w:szCs w:val="18"/>
                    </w:rPr>
                    <w:t>达标情况</w:t>
                  </w:r>
                </w:p>
              </w:tc>
              <w:tc>
                <w:tcPr>
                  <w:tcW w:w="3100" w:type="pct"/>
                  <w:gridSpan w:val="4"/>
                  <w:vAlign w:val="center"/>
                </w:tcPr>
                <w:p>
                  <w:pPr>
                    <w:autoSpaceDE w:val="0"/>
                    <w:autoSpaceDN w:val="0"/>
                    <w:adjustRightInd w:val="0"/>
                    <w:snapToGrid w:val="0"/>
                    <w:jc w:val="center"/>
                    <w:rPr>
                      <w:color w:val="auto"/>
                      <w:sz w:val="18"/>
                      <w:szCs w:val="18"/>
                    </w:rPr>
                  </w:pPr>
                  <w:r>
                    <w:rPr>
                      <w:rFonts w:hint="eastAsia"/>
                      <w:color w:val="auto"/>
                      <w:sz w:val="18"/>
                      <w:szCs w:val="18"/>
                    </w:rPr>
                    <w:t>达标</w:t>
                  </w:r>
                </w:p>
              </w:tc>
            </w:tr>
          </w:tbl>
          <w:p>
            <w:pPr>
              <w:autoSpaceDE w:val="0"/>
              <w:autoSpaceDN w:val="0"/>
              <w:adjustRightInd w:val="0"/>
              <w:snapToGrid w:val="0"/>
              <w:spacing w:before="120" w:beforeLines="50" w:line="360" w:lineRule="auto"/>
              <w:ind w:firstLine="420" w:firstLineChars="200"/>
              <w:rPr>
                <w:color w:val="auto"/>
                <w:szCs w:val="21"/>
                <w:lang w:val="zh-CN"/>
              </w:rPr>
            </w:pPr>
            <w:r>
              <w:rPr>
                <w:rFonts w:hint="eastAsia"/>
                <w:color w:val="auto"/>
                <w:szCs w:val="21"/>
              </w:rPr>
              <w:t>根据验收监测</w:t>
            </w:r>
            <w:r>
              <w:rPr>
                <w:color w:val="auto"/>
                <w:szCs w:val="21"/>
              </w:rPr>
              <w:t>，企业各厂界噪声均满足《工业企业厂界噪声排放标准》（GB12348-2008）3类标准限值，</w:t>
            </w:r>
            <w:r>
              <w:rPr>
                <w:color w:val="auto"/>
                <w:szCs w:val="21"/>
                <w:lang w:val="zh-CN"/>
              </w:rPr>
              <w:t>对周围环境影响较小，噪声防治措施可行。</w:t>
            </w:r>
          </w:p>
          <w:p>
            <w:pPr>
              <w:snapToGrid w:val="0"/>
              <w:spacing w:line="360" w:lineRule="auto"/>
              <w:ind w:firstLine="420" w:firstLineChars="200"/>
              <w:rPr>
                <w:color w:val="auto"/>
                <w:szCs w:val="21"/>
              </w:rPr>
            </w:pPr>
            <w:r>
              <w:rPr>
                <w:color w:val="auto"/>
                <w:szCs w:val="21"/>
              </w:rPr>
              <w:t>4、固废</w:t>
            </w:r>
          </w:p>
          <w:p>
            <w:pPr>
              <w:spacing w:line="360" w:lineRule="auto"/>
              <w:ind w:firstLine="420" w:firstLineChars="200"/>
              <w:rPr>
                <w:color w:val="auto"/>
                <w:szCs w:val="21"/>
              </w:rPr>
            </w:pPr>
            <w:r>
              <w:rPr>
                <w:color w:val="auto"/>
                <w:szCs w:val="21"/>
              </w:rPr>
              <w:t>企业现有项目固废产排情况见表2-</w:t>
            </w:r>
            <w:r>
              <w:rPr>
                <w:rFonts w:hint="eastAsia"/>
                <w:color w:val="auto"/>
                <w:szCs w:val="21"/>
              </w:rPr>
              <w:t>1</w:t>
            </w:r>
            <w:r>
              <w:rPr>
                <w:rFonts w:hint="eastAsia"/>
                <w:color w:val="auto"/>
                <w:szCs w:val="21"/>
                <w:lang w:val="en-US" w:eastAsia="zh-CN"/>
              </w:rPr>
              <w:t>3</w:t>
            </w:r>
            <w:r>
              <w:rPr>
                <w:color w:val="auto"/>
                <w:szCs w:val="21"/>
              </w:rPr>
              <w:t>。</w:t>
            </w:r>
          </w:p>
          <w:p>
            <w:pPr>
              <w:jc w:val="center"/>
              <w:rPr>
                <w:b/>
                <w:color w:val="auto"/>
                <w:szCs w:val="21"/>
              </w:rPr>
            </w:pPr>
            <w:r>
              <w:rPr>
                <w:b/>
                <w:color w:val="auto"/>
                <w:szCs w:val="21"/>
              </w:rPr>
              <w:t>表2-</w:t>
            </w:r>
            <w:r>
              <w:rPr>
                <w:rFonts w:hint="eastAsia"/>
                <w:b/>
                <w:color w:val="auto"/>
                <w:szCs w:val="21"/>
              </w:rPr>
              <w:t>1</w:t>
            </w:r>
            <w:r>
              <w:rPr>
                <w:rFonts w:hint="eastAsia"/>
                <w:b/>
                <w:color w:val="auto"/>
                <w:szCs w:val="21"/>
                <w:lang w:val="en-US" w:eastAsia="zh-CN"/>
              </w:rPr>
              <w:t>3</w:t>
            </w:r>
            <w:r>
              <w:rPr>
                <w:b/>
                <w:color w:val="auto"/>
                <w:szCs w:val="21"/>
              </w:rPr>
              <w:t xml:space="preserve">  现有项目固废利用处置方式</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0" w:type="dxa"/>
                <w:bottom w:w="0" w:type="dxa"/>
                <w:right w:w="0" w:type="dxa"/>
              </w:tblCellMar>
            </w:tblPr>
            <w:tblGrid>
              <w:gridCol w:w="1260"/>
              <w:gridCol w:w="1495"/>
              <w:gridCol w:w="1372"/>
              <w:gridCol w:w="1369"/>
              <w:gridCol w:w="1278"/>
              <w:gridCol w:w="1407"/>
              <w:gridCol w:w="113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blHeader/>
                <w:jc w:val="center"/>
              </w:trPr>
              <w:tc>
                <w:tcPr>
                  <w:tcW w:w="1261" w:type="dxa"/>
                  <w:vAlign w:val="center"/>
                </w:tcPr>
                <w:p>
                  <w:pPr>
                    <w:contextualSpacing/>
                    <w:jc w:val="center"/>
                    <w:rPr>
                      <w:b/>
                      <w:color w:val="auto"/>
                      <w:sz w:val="18"/>
                      <w:szCs w:val="18"/>
                    </w:rPr>
                  </w:pPr>
                  <w:r>
                    <w:rPr>
                      <w:b/>
                      <w:color w:val="auto"/>
                      <w:sz w:val="18"/>
                      <w:szCs w:val="18"/>
                    </w:rPr>
                    <w:t>固废名称</w:t>
                  </w:r>
                </w:p>
              </w:tc>
              <w:tc>
                <w:tcPr>
                  <w:tcW w:w="1496" w:type="dxa"/>
                  <w:vAlign w:val="center"/>
                </w:tcPr>
                <w:p>
                  <w:pPr>
                    <w:contextualSpacing/>
                    <w:jc w:val="center"/>
                    <w:rPr>
                      <w:b/>
                      <w:color w:val="auto"/>
                      <w:sz w:val="18"/>
                      <w:szCs w:val="18"/>
                    </w:rPr>
                  </w:pPr>
                  <w:r>
                    <w:rPr>
                      <w:b/>
                      <w:color w:val="auto"/>
                      <w:sz w:val="18"/>
                      <w:szCs w:val="18"/>
                    </w:rPr>
                    <w:t>属性（危险废物、一般工业固体废物或待鉴别）</w:t>
                  </w:r>
                </w:p>
              </w:tc>
              <w:tc>
                <w:tcPr>
                  <w:tcW w:w="1373" w:type="dxa"/>
                  <w:vAlign w:val="center"/>
                </w:tcPr>
                <w:p>
                  <w:pPr>
                    <w:contextualSpacing/>
                    <w:jc w:val="center"/>
                    <w:rPr>
                      <w:b/>
                      <w:color w:val="auto"/>
                      <w:sz w:val="18"/>
                      <w:szCs w:val="18"/>
                    </w:rPr>
                  </w:pPr>
                  <w:r>
                    <w:rPr>
                      <w:b/>
                      <w:color w:val="auto"/>
                      <w:sz w:val="18"/>
                      <w:szCs w:val="18"/>
                    </w:rPr>
                    <w:t>废物类别</w:t>
                  </w:r>
                </w:p>
              </w:tc>
              <w:tc>
                <w:tcPr>
                  <w:tcW w:w="1369" w:type="dxa"/>
                  <w:vAlign w:val="center"/>
                </w:tcPr>
                <w:p>
                  <w:pPr>
                    <w:contextualSpacing/>
                    <w:jc w:val="center"/>
                    <w:rPr>
                      <w:b/>
                      <w:color w:val="auto"/>
                      <w:sz w:val="18"/>
                      <w:szCs w:val="18"/>
                    </w:rPr>
                  </w:pPr>
                  <w:r>
                    <w:rPr>
                      <w:b/>
                      <w:color w:val="auto"/>
                      <w:sz w:val="18"/>
                      <w:szCs w:val="18"/>
                    </w:rPr>
                    <w:t>废物代码</w:t>
                  </w:r>
                </w:p>
              </w:tc>
              <w:tc>
                <w:tcPr>
                  <w:tcW w:w="1278" w:type="dxa"/>
                  <w:vAlign w:val="center"/>
                </w:tcPr>
                <w:p>
                  <w:pPr>
                    <w:contextualSpacing/>
                    <w:jc w:val="center"/>
                    <w:rPr>
                      <w:b/>
                      <w:color w:val="auto"/>
                      <w:sz w:val="18"/>
                      <w:szCs w:val="18"/>
                    </w:rPr>
                  </w:pPr>
                  <w:r>
                    <w:rPr>
                      <w:b/>
                      <w:color w:val="auto"/>
                      <w:sz w:val="18"/>
                      <w:szCs w:val="18"/>
                    </w:rPr>
                    <w:t>产生量</w:t>
                  </w:r>
                </w:p>
                <w:p>
                  <w:pPr>
                    <w:contextualSpacing/>
                    <w:jc w:val="center"/>
                    <w:rPr>
                      <w:b/>
                      <w:color w:val="auto"/>
                      <w:sz w:val="18"/>
                      <w:szCs w:val="18"/>
                    </w:rPr>
                  </w:pPr>
                  <w:r>
                    <w:rPr>
                      <w:b/>
                      <w:color w:val="auto"/>
                      <w:sz w:val="18"/>
                      <w:szCs w:val="18"/>
                    </w:rPr>
                    <w:t>（吨/年）</w:t>
                  </w:r>
                </w:p>
              </w:tc>
              <w:tc>
                <w:tcPr>
                  <w:tcW w:w="1407" w:type="dxa"/>
                  <w:vAlign w:val="center"/>
                </w:tcPr>
                <w:p>
                  <w:pPr>
                    <w:contextualSpacing/>
                    <w:jc w:val="center"/>
                    <w:rPr>
                      <w:b/>
                      <w:color w:val="auto"/>
                      <w:sz w:val="18"/>
                      <w:szCs w:val="18"/>
                    </w:rPr>
                  </w:pPr>
                  <w:r>
                    <w:rPr>
                      <w:rFonts w:hint="eastAsia"/>
                      <w:b/>
                      <w:color w:val="auto"/>
                      <w:sz w:val="18"/>
                      <w:szCs w:val="18"/>
                    </w:rPr>
                    <w:t>处理或处置方式</w:t>
                  </w:r>
                </w:p>
              </w:tc>
              <w:tc>
                <w:tcPr>
                  <w:tcW w:w="1131" w:type="dxa"/>
                  <w:vAlign w:val="center"/>
                </w:tcPr>
                <w:p>
                  <w:pPr>
                    <w:contextualSpacing/>
                    <w:jc w:val="center"/>
                    <w:rPr>
                      <w:b/>
                      <w:color w:val="auto"/>
                      <w:sz w:val="18"/>
                      <w:szCs w:val="18"/>
                    </w:rPr>
                  </w:pPr>
                  <w:r>
                    <w:rPr>
                      <w:rFonts w:hint="eastAsia"/>
                      <w:b/>
                      <w:color w:val="auto"/>
                      <w:sz w:val="18"/>
                      <w:szCs w:val="18"/>
                    </w:rPr>
                    <w:t>排放量（</w:t>
                  </w:r>
                  <w:r>
                    <w:rPr>
                      <w:b/>
                      <w:color w:val="auto"/>
                      <w:sz w:val="18"/>
                      <w:szCs w:val="18"/>
                    </w:rPr>
                    <w:t>吨/年</w:t>
                  </w:r>
                  <w:r>
                    <w:rPr>
                      <w:rFonts w:hint="eastAsia"/>
                      <w:b/>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blHeader/>
                <w:jc w:val="center"/>
              </w:trPr>
              <w:tc>
                <w:tcPr>
                  <w:tcW w:w="1261" w:type="dxa"/>
                  <w:vAlign w:val="center"/>
                </w:tcPr>
                <w:p>
                  <w:pPr>
                    <w:contextualSpacing/>
                    <w:jc w:val="center"/>
                    <w:rPr>
                      <w:color w:val="auto"/>
                      <w:sz w:val="18"/>
                      <w:szCs w:val="18"/>
                    </w:rPr>
                  </w:pPr>
                  <w:r>
                    <w:rPr>
                      <w:color w:val="auto"/>
                      <w:sz w:val="18"/>
                      <w:szCs w:val="18"/>
                    </w:rPr>
                    <w:t>废活性炭</w:t>
                  </w:r>
                </w:p>
              </w:tc>
              <w:tc>
                <w:tcPr>
                  <w:tcW w:w="1496" w:type="dxa"/>
                  <w:vAlign w:val="center"/>
                </w:tcPr>
                <w:p>
                  <w:pPr>
                    <w:contextualSpacing/>
                    <w:jc w:val="center"/>
                    <w:rPr>
                      <w:color w:val="auto"/>
                      <w:sz w:val="18"/>
                      <w:szCs w:val="18"/>
                    </w:rPr>
                  </w:pPr>
                  <w:r>
                    <w:rPr>
                      <w:color w:val="auto"/>
                      <w:sz w:val="18"/>
                      <w:szCs w:val="18"/>
                    </w:rPr>
                    <w:t>危险废物</w:t>
                  </w:r>
                </w:p>
              </w:tc>
              <w:tc>
                <w:tcPr>
                  <w:tcW w:w="1373" w:type="dxa"/>
                  <w:vAlign w:val="center"/>
                </w:tcPr>
                <w:p>
                  <w:pPr>
                    <w:contextualSpacing/>
                    <w:jc w:val="center"/>
                    <w:rPr>
                      <w:color w:val="auto"/>
                      <w:sz w:val="18"/>
                      <w:szCs w:val="18"/>
                    </w:rPr>
                  </w:pPr>
                  <w:r>
                    <w:rPr>
                      <w:color w:val="auto"/>
                      <w:sz w:val="18"/>
                      <w:szCs w:val="18"/>
                    </w:rPr>
                    <w:t>HW49</w:t>
                  </w:r>
                </w:p>
              </w:tc>
              <w:tc>
                <w:tcPr>
                  <w:tcW w:w="1369" w:type="dxa"/>
                  <w:vAlign w:val="center"/>
                </w:tcPr>
                <w:p>
                  <w:pPr>
                    <w:contextualSpacing/>
                    <w:jc w:val="center"/>
                    <w:rPr>
                      <w:color w:val="auto"/>
                      <w:sz w:val="18"/>
                      <w:szCs w:val="18"/>
                    </w:rPr>
                  </w:pPr>
                  <w:r>
                    <w:rPr>
                      <w:color w:val="auto"/>
                      <w:sz w:val="18"/>
                      <w:szCs w:val="18"/>
                    </w:rPr>
                    <w:t>900-039-49</w:t>
                  </w:r>
                </w:p>
              </w:tc>
              <w:tc>
                <w:tcPr>
                  <w:tcW w:w="1278" w:type="dxa"/>
                  <w:vAlign w:val="center"/>
                </w:tcPr>
                <w:p>
                  <w:pPr>
                    <w:contextualSpacing/>
                    <w:jc w:val="center"/>
                    <w:rPr>
                      <w:color w:val="auto"/>
                      <w:sz w:val="18"/>
                      <w:szCs w:val="18"/>
                    </w:rPr>
                  </w:pPr>
                  <w:r>
                    <w:rPr>
                      <w:color w:val="auto"/>
                      <w:sz w:val="18"/>
                      <w:szCs w:val="18"/>
                    </w:rPr>
                    <w:t>0.03</w:t>
                  </w:r>
                </w:p>
              </w:tc>
              <w:tc>
                <w:tcPr>
                  <w:tcW w:w="1407" w:type="dxa"/>
                  <w:vAlign w:val="center"/>
                </w:tcPr>
                <w:p>
                  <w:pPr>
                    <w:contextualSpacing/>
                    <w:jc w:val="center"/>
                    <w:rPr>
                      <w:color w:val="auto"/>
                      <w:sz w:val="18"/>
                      <w:szCs w:val="18"/>
                    </w:rPr>
                  </w:pPr>
                  <w:r>
                    <w:rPr>
                      <w:rFonts w:hint="eastAsia"/>
                      <w:color w:val="auto"/>
                      <w:sz w:val="18"/>
                      <w:szCs w:val="18"/>
                    </w:rPr>
                    <w:t>委托卡尔冈炭素（苏州）有限公司处置</w:t>
                  </w:r>
                </w:p>
              </w:tc>
              <w:tc>
                <w:tcPr>
                  <w:tcW w:w="1131" w:type="dxa"/>
                  <w:vAlign w:val="center"/>
                </w:tcPr>
                <w:p>
                  <w:pPr>
                    <w:contextualSpacing/>
                    <w:jc w:val="center"/>
                    <w:rPr>
                      <w:color w:val="auto"/>
                      <w:sz w:val="18"/>
                      <w:szCs w:val="18"/>
                    </w:rPr>
                  </w:pPr>
                  <w:r>
                    <w:rPr>
                      <w:rFonts w:hint="eastAsia"/>
                      <w:color w:val="auto"/>
                      <w:sz w:val="18"/>
                      <w:szCs w:val="18"/>
                    </w:rPr>
                    <w:t>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blHeader/>
                <w:jc w:val="center"/>
              </w:trPr>
              <w:tc>
                <w:tcPr>
                  <w:tcW w:w="1261" w:type="dxa"/>
                  <w:vAlign w:val="center"/>
                </w:tcPr>
                <w:p>
                  <w:pPr>
                    <w:jc w:val="center"/>
                    <w:rPr>
                      <w:color w:val="auto"/>
                      <w:sz w:val="18"/>
                      <w:szCs w:val="18"/>
                    </w:rPr>
                  </w:pPr>
                  <w:r>
                    <w:rPr>
                      <w:rFonts w:hint="eastAsia" w:ascii="宋体" w:hAnsi="宋体"/>
                      <w:color w:val="auto"/>
                      <w:sz w:val="18"/>
                      <w:szCs w:val="18"/>
                    </w:rPr>
                    <w:t>废边角料</w:t>
                  </w:r>
                </w:p>
              </w:tc>
              <w:tc>
                <w:tcPr>
                  <w:tcW w:w="1496" w:type="dxa"/>
                  <w:vMerge w:val="restart"/>
                  <w:vAlign w:val="center"/>
                </w:tcPr>
                <w:p>
                  <w:pPr>
                    <w:contextualSpacing/>
                    <w:jc w:val="center"/>
                    <w:rPr>
                      <w:color w:val="auto"/>
                      <w:sz w:val="18"/>
                      <w:szCs w:val="18"/>
                    </w:rPr>
                  </w:pPr>
                  <w:r>
                    <w:rPr>
                      <w:color w:val="auto"/>
                      <w:sz w:val="18"/>
                      <w:szCs w:val="18"/>
                    </w:rPr>
                    <w:t>一般固废</w:t>
                  </w:r>
                </w:p>
              </w:tc>
              <w:tc>
                <w:tcPr>
                  <w:tcW w:w="1373" w:type="dxa"/>
                  <w:vAlign w:val="center"/>
                </w:tcPr>
                <w:p>
                  <w:pPr>
                    <w:contextualSpacing/>
                    <w:jc w:val="center"/>
                    <w:rPr>
                      <w:color w:val="auto"/>
                      <w:sz w:val="18"/>
                      <w:szCs w:val="18"/>
                    </w:rPr>
                  </w:pPr>
                  <w:r>
                    <w:rPr>
                      <w:color w:val="auto"/>
                      <w:sz w:val="18"/>
                      <w:szCs w:val="18"/>
                    </w:rPr>
                    <w:t>工业垃圾</w:t>
                  </w:r>
                </w:p>
              </w:tc>
              <w:tc>
                <w:tcPr>
                  <w:tcW w:w="1369" w:type="dxa"/>
                  <w:vAlign w:val="center"/>
                </w:tcPr>
                <w:p>
                  <w:pPr>
                    <w:contextualSpacing/>
                    <w:jc w:val="center"/>
                    <w:rPr>
                      <w:color w:val="auto"/>
                      <w:sz w:val="18"/>
                      <w:szCs w:val="18"/>
                    </w:rPr>
                  </w:pPr>
                  <w:r>
                    <w:rPr>
                      <w:color w:val="auto"/>
                      <w:sz w:val="18"/>
                      <w:szCs w:val="18"/>
                    </w:rPr>
                    <w:t>86</w:t>
                  </w:r>
                </w:p>
              </w:tc>
              <w:tc>
                <w:tcPr>
                  <w:tcW w:w="1278" w:type="dxa"/>
                  <w:vAlign w:val="center"/>
                </w:tcPr>
                <w:p>
                  <w:pPr>
                    <w:jc w:val="center"/>
                    <w:rPr>
                      <w:color w:val="auto"/>
                      <w:sz w:val="18"/>
                      <w:szCs w:val="18"/>
                    </w:rPr>
                  </w:pPr>
                  <w:r>
                    <w:rPr>
                      <w:color w:val="auto"/>
                      <w:sz w:val="18"/>
                      <w:szCs w:val="18"/>
                    </w:rPr>
                    <w:t>9</w:t>
                  </w:r>
                </w:p>
              </w:tc>
              <w:tc>
                <w:tcPr>
                  <w:tcW w:w="1407" w:type="dxa"/>
                  <w:vAlign w:val="center"/>
                </w:tcPr>
                <w:p>
                  <w:pPr>
                    <w:contextualSpacing/>
                    <w:jc w:val="center"/>
                    <w:rPr>
                      <w:color w:val="auto"/>
                      <w:sz w:val="18"/>
                      <w:szCs w:val="18"/>
                    </w:rPr>
                  </w:pPr>
                  <w:r>
                    <w:rPr>
                      <w:rFonts w:hint="eastAsia"/>
                      <w:color w:val="auto"/>
                      <w:sz w:val="18"/>
                      <w:szCs w:val="18"/>
                    </w:rPr>
                    <w:t>外售</w:t>
                  </w:r>
                </w:p>
              </w:tc>
              <w:tc>
                <w:tcPr>
                  <w:tcW w:w="1131" w:type="dxa"/>
                  <w:vAlign w:val="center"/>
                </w:tcPr>
                <w:p>
                  <w:pPr>
                    <w:contextualSpacing/>
                    <w:jc w:val="center"/>
                    <w:rPr>
                      <w:color w:val="auto"/>
                      <w:sz w:val="18"/>
                      <w:szCs w:val="18"/>
                    </w:rPr>
                  </w:pPr>
                  <w:r>
                    <w:rPr>
                      <w:rFonts w:hint="eastAsia"/>
                      <w:color w:val="auto"/>
                      <w:sz w:val="18"/>
                      <w:szCs w:val="18"/>
                    </w:rPr>
                    <w:t>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blHeader/>
                <w:jc w:val="center"/>
              </w:trPr>
              <w:tc>
                <w:tcPr>
                  <w:tcW w:w="1261" w:type="dxa"/>
                  <w:vAlign w:val="center"/>
                </w:tcPr>
                <w:p>
                  <w:pPr>
                    <w:jc w:val="center"/>
                    <w:rPr>
                      <w:color w:val="auto"/>
                      <w:sz w:val="18"/>
                      <w:szCs w:val="18"/>
                    </w:rPr>
                  </w:pPr>
                  <w:r>
                    <w:rPr>
                      <w:rFonts w:hint="eastAsia" w:ascii="宋体" w:hAnsi="宋体"/>
                      <w:color w:val="auto"/>
                      <w:sz w:val="18"/>
                      <w:szCs w:val="18"/>
                    </w:rPr>
                    <w:t>不合格品</w:t>
                  </w:r>
                </w:p>
              </w:tc>
              <w:tc>
                <w:tcPr>
                  <w:tcW w:w="1496" w:type="dxa"/>
                  <w:vMerge w:val="continue"/>
                  <w:vAlign w:val="center"/>
                </w:tcPr>
                <w:p>
                  <w:pPr>
                    <w:contextualSpacing/>
                    <w:jc w:val="center"/>
                    <w:rPr>
                      <w:color w:val="auto"/>
                      <w:sz w:val="18"/>
                      <w:szCs w:val="18"/>
                    </w:rPr>
                  </w:pPr>
                </w:p>
              </w:tc>
              <w:tc>
                <w:tcPr>
                  <w:tcW w:w="1373" w:type="dxa"/>
                  <w:vAlign w:val="center"/>
                </w:tcPr>
                <w:p>
                  <w:pPr>
                    <w:contextualSpacing/>
                    <w:jc w:val="center"/>
                    <w:rPr>
                      <w:color w:val="auto"/>
                      <w:sz w:val="18"/>
                      <w:szCs w:val="18"/>
                    </w:rPr>
                  </w:pPr>
                  <w:r>
                    <w:rPr>
                      <w:color w:val="auto"/>
                      <w:sz w:val="18"/>
                      <w:szCs w:val="18"/>
                    </w:rPr>
                    <w:t>工业垃圾</w:t>
                  </w:r>
                </w:p>
              </w:tc>
              <w:tc>
                <w:tcPr>
                  <w:tcW w:w="1369" w:type="dxa"/>
                  <w:vAlign w:val="center"/>
                </w:tcPr>
                <w:p>
                  <w:pPr>
                    <w:contextualSpacing/>
                    <w:jc w:val="center"/>
                    <w:rPr>
                      <w:color w:val="auto"/>
                      <w:sz w:val="18"/>
                      <w:szCs w:val="18"/>
                    </w:rPr>
                  </w:pPr>
                  <w:r>
                    <w:rPr>
                      <w:color w:val="auto"/>
                      <w:sz w:val="18"/>
                      <w:szCs w:val="18"/>
                    </w:rPr>
                    <w:t>86</w:t>
                  </w:r>
                </w:p>
              </w:tc>
              <w:tc>
                <w:tcPr>
                  <w:tcW w:w="1278" w:type="dxa"/>
                  <w:vAlign w:val="center"/>
                </w:tcPr>
                <w:p>
                  <w:pPr>
                    <w:jc w:val="center"/>
                    <w:rPr>
                      <w:color w:val="auto"/>
                      <w:sz w:val="18"/>
                      <w:szCs w:val="18"/>
                    </w:rPr>
                  </w:pPr>
                  <w:r>
                    <w:rPr>
                      <w:color w:val="auto"/>
                      <w:sz w:val="18"/>
                      <w:szCs w:val="18"/>
                    </w:rPr>
                    <w:t>10</w:t>
                  </w:r>
                </w:p>
              </w:tc>
              <w:tc>
                <w:tcPr>
                  <w:tcW w:w="1407" w:type="dxa"/>
                  <w:vAlign w:val="center"/>
                </w:tcPr>
                <w:p>
                  <w:pPr>
                    <w:contextualSpacing/>
                    <w:jc w:val="center"/>
                    <w:rPr>
                      <w:color w:val="auto"/>
                      <w:sz w:val="18"/>
                      <w:szCs w:val="18"/>
                    </w:rPr>
                  </w:pPr>
                  <w:r>
                    <w:rPr>
                      <w:rFonts w:hint="eastAsia"/>
                      <w:color w:val="auto"/>
                      <w:sz w:val="18"/>
                      <w:szCs w:val="18"/>
                    </w:rPr>
                    <w:t>外售</w:t>
                  </w:r>
                </w:p>
              </w:tc>
              <w:tc>
                <w:tcPr>
                  <w:tcW w:w="1131" w:type="dxa"/>
                  <w:vAlign w:val="center"/>
                </w:tcPr>
                <w:p>
                  <w:pPr>
                    <w:contextualSpacing/>
                    <w:jc w:val="center"/>
                    <w:rPr>
                      <w:color w:val="auto"/>
                      <w:sz w:val="18"/>
                      <w:szCs w:val="18"/>
                    </w:rPr>
                  </w:pPr>
                  <w:r>
                    <w:rPr>
                      <w:rFonts w:hint="eastAsia"/>
                      <w:color w:val="auto"/>
                      <w:sz w:val="18"/>
                      <w:szCs w:val="18"/>
                    </w:rPr>
                    <w:t>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0" w:type="dxa"/>
                  <w:bottom w:w="0" w:type="dxa"/>
                  <w:right w:w="0" w:type="dxa"/>
                </w:tblCellMar>
              </w:tblPrEx>
              <w:trPr>
                <w:tblHeader/>
                <w:jc w:val="center"/>
              </w:trPr>
              <w:tc>
                <w:tcPr>
                  <w:tcW w:w="1261" w:type="dxa"/>
                  <w:vAlign w:val="center"/>
                </w:tcPr>
                <w:p>
                  <w:pPr>
                    <w:contextualSpacing/>
                    <w:jc w:val="center"/>
                    <w:rPr>
                      <w:color w:val="auto"/>
                      <w:sz w:val="18"/>
                      <w:szCs w:val="18"/>
                    </w:rPr>
                  </w:pPr>
                  <w:r>
                    <w:rPr>
                      <w:color w:val="auto"/>
                      <w:sz w:val="18"/>
                      <w:szCs w:val="18"/>
                    </w:rPr>
                    <w:t>生活垃圾</w:t>
                  </w:r>
                </w:p>
              </w:tc>
              <w:tc>
                <w:tcPr>
                  <w:tcW w:w="1496" w:type="dxa"/>
                  <w:vMerge w:val="continue"/>
                  <w:vAlign w:val="center"/>
                </w:tcPr>
                <w:p>
                  <w:pPr>
                    <w:contextualSpacing/>
                    <w:jc w:val="center"/>
                    <w:rPr>
                      <w:color w:val="auto"/>
                      <w:sz w:val="18"/>
                      <w:szCs w:val="18"/>
                    </w:rPr>
                  </w:pPr>
                </w:p>
              </w:tc>
              <w:tc>
                <w:tcPr>
                  <w:tcW w:w="1373" w:type="dxa"/>
                  <w:vAlign w:val="center"/>
                </w:tcPr>
                <w:p>
                  <w:pPr>
                    <w:contextualSpacing/>
                    <w:jc w:val="center"/>
                    <w:rPr>
                      <w:color w:val="auto"/>
                      <w:sz w:val="18"/>
                      <w:szCs w:val="18"/>
                    </w:rPr>
                  </w:pPr>
                  <w:r>
                    <w:rPr>
                      <w:color w:val="auto"/>
                      <w:sz w:val="18"/>
                      <w:szCs w:val="18"/>
                    </w:rPr>
                    <w:t>其他废物</w:t>
                  </w:r>
                </w:p>
              </w:tc>
              <w:tc>
                <w:tcPr>
                  <w:tcW w:w="1369" w:type="dxa"/>
                  <w:vAlign w:val="center"/>
                </w:tcPr>
                <w:p>
                  <w:pPr>
                    <w:contextualSpacing/>
                    <w:jc w:val="center"/>
                    <w:rPr>
                      <w:color w:val="auto"/>
                      <w:sz w:val="18"/>
                      <w:szCs w:val="18"/>
                    </w:rPr>
                  </w:pPr>
                  <w:r>
                    <w:rPr>
                      <w:color w:val="auto"/>
                      <w:sz w:val="18"/>
                      <w:szCs w:val="18"/>
                    </w:rPr>
                    <w:t>99</w:t>
                  </w:r>
                </w:p>
              </w:tc>
              <w:tc>
                <w:tcPr>
                  <w:tcW w:w="1278" w:type="dxa"/>
                  <w:vAlign w:val="center"/>
                </w:tcPr>
                <w:p>
                  <w:pPr>
                    <w:jc w:val="center"/>
                    <w:rPr>
                      <w:color w:val="auto"/>
                      <w:sz w:val="18"/>
                      <w:szCs w:val="18"/>
                    </w:rPr>
                  </w:pPr>
                  <w:r>
                    <w:rPr>
                      <w:color w:val="auto"/>
                      <w:sz w:val="18"/>
                      <w:szCs w:val="18"/>
                    </w:rPr>
                    <w:t>2.25</w:t>
                  </w:r>
                </w:p>
              </w:tc>
              <w:tc>
                <w:tcPr>
                  <w:tcW w:w="1407" w:type="dxa"/>
                  <w:vAlign w:val="center"/>
                </w:tcPr>
                <w:p>
                  <w:pPr>
                    <w:contextualSpacing/>
                    <w:jc w:val="center"/>
                    <w:rPr>
                      <w:color w:val="auto"/>
                      <w:sz w:val="18"/>
                      <w:szCs w:val="18"/>
                    </w:rPr>
                  </w:pPr>
                  <w:r>
                    <w:rPr>
                      <w:rFonts w:hint="eastAsia"/>
                      <w:color w:val="auto"/>
                      <w:sz w:val="18"/>
                      <w:szCs w:val="18"/>
                    </w:rPr>
                    <w:t>环卫清运</w:t>
                  </w:r>
                </w:p>
              </w:tc>
              <w:tc>
                <w:tcPr>
                  <w:tcW w:w="1131" w:type="dxa"/>
                  <w:vAlign w:val="center"/>
                </w:tcPr>
                <w:p>
                  <w:pPr>
                    <w:contextualSpacing/>
                    <w:jc w:val="center"/>
                    <w:rPr>
                      <w:color w:val="auto"/>
                      <w:sz w:val="18"/>
                      <w:szCs w:val="18"/>
                    </w:rPr>
                  </w:pPr>
                  <w:r>
                    <w:rPr>
                      <w:rFonts w:hint="eastAsia"/>
                      <w:color w:val="auto"/>
                      <w:sz w:val="18"/>
                      <w:szCs w:val="18"/>
                    </w:rPr>
                    <w:t>0</w:t>
                  </w:r>
                </w:p>
              </w:tc>
            </w:tr>
          </w:tbl>
          <w:p>
            <w:pPr>
              <w:snapToGrid w:val="0"/>
              <w:spacing w:line="360" w:lineRule="auto"/>
              <w:ind w:firstLine="420" w:firstLineChars="200"/>
              <w:rPr>
                <w:color w:val="auto"/>
                <w:szCs w:val="21"/>
              </w:rPr>
            </w:pPr>
            <w:r>
              <w:rPr>
                <w:color w:val="auto"/>
                <w:szCs w:val="21"/>
              </w:rPr>
              <w:t>企业</w:t>
            </w:r>
            <w:r>
              <w:rPr>
                <w:bCs/>
                <w:color w:val="auto"/>
                <w:szCs w:val="21"/>
              </w:rPr>
              <w:t>现有项目</w:t>
            </w:r>
            <w:r>
              <w:rPr>
                <w:color w:val="auto"/>
                <w:szCs w:val="21"/>
              </w:rPr>
              <w:t>按固废“减量化、资源化、无害化”处理处置原则，落实了各类固废的收集、贮存和综合利用措施</w:t>
            </w:r>
            <w:r>
              <w:rPr>
                <w:rFonts w:hint="eastAsia"/>
                <w:color w:val="auto"/>
                <w:szCs w:val="21"/>
              </w:rPr>
              <w:t>，</w:t>
            </w:r>
            <w:r>
              <w:rPr>
                <w:color w:val="auto"/>
                <w:szCs w:val="21"/>
              </w:rPr>
              <w:t>对周围环境影响很小。</w:t>
            </w:r>
          </w:p>
          <w:p>
            <w:pPr>
              <w:snapToGrid w:val="0"/>
              <w:spacing w:line="360" w:lineRule="auto"/>
              <w:ind w:firstLine="422" w:firstLineChars="200"/>
              <w:rPr>
                <w:b/>
                <w:color w:val="auto"/>
                <w:szCs w:val="21"/>
              </w:rPr>
            </w:pPr>
            <w:r>
              <w:rPr>
                <w:b/>
                <w:color w:val="auto"/>
                <w:szCs w:val="21"/>
              </w:rPr>
              <w:t>A.一般固废</w:t>
            </w:r>
          </w:p>
          <w:p>
            <w:pPr>
              <w:snapToGrid w:val="0"/>
              <w:spacing w:line="360" w:lineRule="auto"/>
              <w:ind w:firstLine="420" w:firstLineChars="200"/>
              <w:rPr>
                <w:color w:val="auto"/>
                <w:szCs w:val="21"/>
                <w:lang w:val="zh-CN"/>
              </w:rPr>
            </w:pPr>
            <w:r>
              <w:rPr>
                <w:rFonts w:hint="eastAsia"/>
                <w:color w:val="auto"/>
                <w:szCs w:val="21"/>
                <w:lang w:val="zh-CN"/>
              </w:rPr>
              <w:t>现有</w:t>
            </w:r>
            <w:r>
              <w:rPr>
                <w:rFonts w:hint="eastAsia"/>
                <w:color w:val="auto"/>
                <w:szCs w:val="21"/>
              </w:rPr>
              <w:t>5</w:t>
            </w:r>
            <w:r>
              <w:rPr>
                <w:color w:val="auto"/>
                <w:szCs w:val="21"/>
                <w:lang w:val="zh-CN"/>
              </w:rPr>
              <w:t>m</w:t>
            </w:r>
            <w:r>
              <w:rPr>
                <w:color w:val="auto"/>
                <w:szCs w:val="21"/>
                <w:vertAlign w:val="superscript"/>
                <w:lang w:val="zh-CN"/>
              </w:rPr>
              <w:t>2</w:t>
            </w:r>
            <w:r>
              <w:rPr>
                <w:rFonts w:hint="eastAsia"/>
                <w:color w:val="auto"/>
                <w:szCs w:val="21"/>
                <w:lang w:val="zh-CN"/>
              </w:rPr>
              <w:t>一般固废</w:t>
            </w:r>
            <w:r>
              <w:rPr>
                <w:color w:val="auto"/>
                <w:szCs w:val="21"/>
                <w:lang w:val="zh-CN"/>
              </w:rPr>
              <w:t>暂存间，</w:t>
            </w:r>
            <w:r>
              <w:rPr>
                <w:rFonts w:hint="eastAsia"/>
                <w:color w:val="auto"/>
                <w:szCs w:val="21"/>
                <w:lang w:val="zh-CN"/>
              </w:rPr>
              <w:t>已</w:t>
            </w:r>
            <w:r>
              <w:rPr>
                <w:color w:val="auto"/>
                <w:szCs w:val="21"/>
                <w:lang w:val="zh-CN"/>
              </w:rPr>
              <w:t>按照《一般工业固体废物贮存和填埋污染控制标准》（GB18599-2020）要求建设，对一般固废堆放区地面进行了硬化，并做好防腐、防渗和防漏处理，制定了“一般固废仓库管理制度”、“一般工业固废处置管理规定”，由专人维护。</w:t>
            </w:r>
          </w:p>
          <w:p>
            <w:pPr>
              <w:snapToGrid w:val="0"/>
              <w:spacing w:line="360" w:lineRule="auto"/>
              <w:ind w:firstLine="422" w:firstLineChars="200"/>
              <w:rPr>
                <w:color w:val="auto"/>
                <w:szCs w:val="21"/>
              </w:rPr>
            </w:pPr>
            <w:r>
              <w:rPr>
                <w:b/>
                <w:color w:val="auto"/>
                <w:szCs w:val="21"/>
              </w:rPr>
              <w:t>B.危险固废</w:t>
            </w:r>
          </w:p>
          <w:p>
            <w:pPr>
              <w:adjustRightInd w:val="0"/>
              <w:snapToGrid w:val="0"/>
              <w:spacing w:line="360" w:lineRule="auto"/>
              <w:ind w:firstLine="420" w:firstLineChars="200"/>
              <w:jc w:val="left"/>
              <w:rPr>
                <w:color w:val="auto"/>
                <w:szCs w:val="21"/>
              </w:rPr>
            </w:pPr>
            <w:r>
              <w:rPr>
                <w:rFonts w:hint="eastAsia"/>
                <w:color w:val="auto"/>
                <w:szCs w:val="21"/>
              </w:rPr>
              <w:t>现有5</w:t>
            </w:r>
            <w:r>
              <w:rPr>
                <w:color w:val="auto"/>
                <w:szCs w:val="21"/>
              </w:rPr>
              <w:t>m</w:t>
            </w:r>
            <w:r>
              <w:rPr>
                <w:color w:val="auto"/>
                <w:szCs w:val="21"/>
                <w:vertAlign w:val="superscript"/>
              </w:rPr>
              <w:t>2</w:t>
            </w:r>
            <w:r>
              <w:rPr>
                <w:color w:val="auto"/>
                <w:szCs w:val="21"/>
              </w:rPr>
              <w:t>的危险废物贮存场所，</w:t>
            </w:r>
            <w:r>
              <w:rPr>
                <w:rFonts w:hint="eastAsia"/>
                <w:color w:val="auto"/>
                <w:szCs w:val="21"/>
              </w:rPr>
              <w:t>位于仓库车间内，已</w:t>
            </w:r>
            <w:r>
              <w:rPr>
                <w:color w:val="auto"/>
                <w:szCs w:val="21"/>
              </w:rPr>
              <w:t>按照</w:t>
            </w:r>
            <w:r>
              <w:rPr>
                <w:rFonts w:hint="eastAsia"/>
                <w:color w:val="auto"/>
                <w:szCs w:val="21"/>
              </w:rPr>
              <w:t>《危险废物贮存污染控制标准》（GB18597-2023）</w:t>
            </w:r>
            <w:r>
              <w:rPr>
                <w:color w:val="auto"/>
                <w:szCs w:val="21"/>
              </w:rPr>
              <w:t>的相关要求建设</w:t>
            </w:r>
            <w:r>
              <w:rPr>
                <w:rFonts w:hint="eastAsia"/>
                <w:color w:val="auto"/>
                <w:szCs w:val="21"/>
              </w:rPr>
              <w:t>。</w:t>
            </w:r>
          </w:p>
          <w:p>
            <w:pPr>
              <w:snapToGrid w:val="0"/>
              <w:spacing w:line="360" w:lineRule="auto"/>
              <w:ind w:firstLine="420" w:firstLineChars="200"/>
              <w:rPr>
                <w:color w:val="auto"/>
                <w:szCs w:val="21"/>
              </w:rPr>
            </w:pPr>
            <w:r>
              <w:rPr>
                <w:color w:val="auto"/>
                <w:szCs w:val="21"/>
              </w:rPr>
              <w:t>与《省生态环境厅关于进一步加强危险废物污染防治工作的实施意见》（苏环办〔2019〕327号）相符性分析详见下表。</w:t>
            </w:r>
          </w:p>
          <w:p>
            <w:pPr>
              <w:adjustRightInd w:val="0"/>
              <w:snapToGrid w:val="0"/>
              <w:jc w:val="center"/>
              <w:rPr>
                <w:b/>
                <w:color w:val="auto"/>
                <w:szCs w:val="21"/>
              </w:rPr>
            </w:pPr>
          </w:p>
          <w:p>
            <w:pPr>
              <w:adjustRightInd w:val="0"/>
              <w:snapToGrid w:val="0"/>
              <w:jc w:val="center"/>
              <w:rPr>
                <w:b/>
                <w:color w:val="auto"/>
                <w:szCs w:val="21"/>
              </w:rPr>
            </w:pPr>
          </w:p>
          <w:p>
            <w:pPr>
              <w:adjustRightInd w:val="0"/>
              <w:snapToGrid w:val="0"/>
              <w:jc w:val="center"/>
              <w:rPr>
                <w:b/>
                <w:color w:val="auto"/>
                <w:szCs w:val="21"/>
              </w:rPr>
            </w:pPr>
          </w:p>
          <w:p>
            <w:pPr>
              <w:adjustRightInd w:val="0"/>
              <w:snapToGrid w:val="0"/>
              <w:jc w:val="center"/>
              <w:rPr>
                <w:b/>
                <w:color w:val="auto"/>
                <w:szCs w:val="21"/>
              </w:rPr>
            </w:pPr>
          </w:p>
          <w:p>
            <w:pPr>
              <w:adjustRightInd w:val="0"/>
              <w:snapToGrid w:val="0"/>
              <w:jc w:val="center"/>
              <w:rPr>
                <w:b/>
                <w:color w:val="auto"/>
                <w:szCs w:val="21"/>
              </w:rPr>
            </w:pPr>
          </w:p>
          <w:p>
            <w:pPr>
              <w:adjustRightInd w:val="0"/>
              <w:snapToGrid w:val="0"/>
              <w:jc w:val="center"/>
              <w:rPr>
                <w:b/>
                <w:color w:val="auto"/>
                <w:szCs w:val="21"/>
              </w:rPr>
            </w:pPr>
          </w:p>
          <w:p>
            <w:pPr>
              <w:adjustRightInd w:val="0"/>
              <w:snapToGrid w:val="0"/>
              <w:jc w:val="center"/>
              <w:rPr>
                <w:b/>
                <w:color w:val="auto"/>
                <w:szCs w:val="21"/>
              </w:rPr>
            </w:pPr>
            <w:r>
              <w:rPr>
                <w:b/>
                <w:color w:val="auto"/>
                <w:szCs w:val="21"/>
              </w:rPr>
              <w:t>表 2-</w:t>
            </w:r>
            <w:r>
              <w:rPr>
                <w:rFonts w:hint="eastAsia"/>
                <w:b/>
                <w:color w:val="auto"/>
                <w:szCs w:val="21"/>
              </w:rPr>
              <w:t>1</w:t>
            </w:r>
            <w:r>
              <w:rPr>
                <w:rFonts w:hint="eastAsia"/>
                <w:b/>
                <w:color w:val="auto"/>
                <w:szCs w:val="21"/>
                <w:lang w:val="en-US" w:eastAsia="zh-CN"/>
              </w:rPr>
              <w:t>4</w:t>
            </w:r>
            <w:r>
              <w:rPr>
                <w:b/>
                <w:color w:val="auto"/>
                <w:szCs w:val="21"/>
              </w:rPr>
              <w:t xml:space="preserve">  本项目与苏环办〔2019〕327号相符性</w:t>
            </w:r>
          </w:p>
          <w:tbl>
            <w:tblPr>
              <w:tblStyle w:val="3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512"/>
              <w:gridCol w:w="4337"/>
              <w:gridCol w:w="3543"/>
              <w:gridCol w:w="91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
                      <w:color w:val="auto"/>
                      <w:sz w:val="18"/>
                      <w:szCs w:val="18"/>
                    </w:rPr>
                  </w:pPr>
                  <w:r>
                    <w:rPr>
                      <w:b/>
                      <w:color w:val="auto"/>
                      <w:sz w:val="18"/>
                      <w:szCs w:val="18"/>
                    </w:rPr>
                    <w:t>序号</w:t>
                  </w:r>
                </w:p>
              </w:tc>
              <w:tc>
                <w:tcPr>
                  <w:tcW w:w="2329" w:type="pct"/>
                  <w:vAlign w:val="center"/>
                </w:tcPr>
                <w:p>
                  <w:pPr>
                    <w:spacing w:line="240" w:lineRule="atLeast"/>
                    <w:jc w:val="center"/>
                    <w:rPr>
                      <w:b/>
                      <w:color w:val="auto"/>
                      <w:sz w:val="18"/>
                      <w:szCs w:val="18"/>
                    </w:rPr>
                  </w:pPr>
                  <w:r>
                    <w:rPr>
                      <w:b/>
                      <w:color w:val="auto"/>
                      <w:sz w:val="18"/>
                      <w:szCs w:val="18"/>
                    </w:rPr>
                    <w:t>文件规定要求</w:t>
                  </w:r>
                </w:p>
              </w:tc>
              <w:tc>
                <w:tcPr>
                  <w:tcW w:w="1903" w:type="pct"/>
                  <w:vAlign w:val="center"/>
                </w:tcPr>
                <w:p>
                  <w:pPr>
                    <w:spacing w:line="240" w:lineRule="atLeast"/>
                    <w:jc w:val="center"/>
                    <w:rPr>
                      <w:b/>
                      <w:color w:val="auto"/>
                      <w:sz w:val="18"/>
                      <w:szCs w:val="18"/>
                    </w:rPr>
                  </w:pPr>
                  <w:r>
                    <w:rPr>
                      <w:rFonts w:hint="eastAsia"/>
                      <w:b/>
                      <w:color w:val="auto"/>
                      <w:sz w:val="18"/>
                      <w:szCs w:val="18"/>
                    </w:rPr>
                    <w:t>已</w:t>
                  </w:r>
                  <w:r>
                    <w:rPr>
                      <w:b/>
                      <w:color w:val="auto"/>
                      <w:sz w:val="18"/>
                      <w:szCs w:val="18"/>
                    </w:rPr>
                    <w:t>实施情况</w:t>
                  </w:r>
                </w:p>
              </w:tc>
              <w:tc>
                <w:tcPr>
                  <w:tcW w:w="493" w:type="pct"/>
                  <w:vAlign w:val="center"/>
                </w:tcPr>
                <w:p>
                  <w:pPr>
                    <w:spacing w:line="240" w:lineRule="atLeast"/>
                    <w:jc w:val="center"/>
                    <w:rPr>
                      <w:b/>
                      <w:color w:val="auto"/>
                      <w:sz w:val="18"/>
                      <w:szCs w:val="18"/>
                    </w:rPr>
                  </w:pPr>
                  <w:r>
                    <w:rPr>
                      <w:b/>
                      <w:color w:val="auto"/>
                      <w:sz w:val="18"/>
                      <w:szCs w:val="18"/>
                    </w:rPr>
                    <w:t>是否相符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Cs/>
                      <w:color w:val="auto"/>
                      <w:sz w:val="18"/>
                      <w:szCs w:val="18"/>
                    </w:rPr>
                  </w:pPr>
                  <w:r>
                    <w:rPr>
                      <w:bCs/>
                      <w:color w:val="auto"/>
                      <w:sz w:val="18"/>
                      <w:szCs w:val="18"/>
                    </w:rPr>
                    <w:t>1</w:t>
                  </w:r>
                </w:p>
              </w:tc>
              <w:tc>
                <w:tcPr>
                  <w:tcW w:w="2329" w:type="pct"/>
                  <w:vAlign w:val="center"/>
                </w:tcPr>
                <w:p>
                  <w:pPr>
                    <w:spacing w:line="240" w:lineRule="atLeast"/>
                    <w:jc w:val="center"/>
                    <w:rPr>
                      <w:bCs/>
                      <w:color w:val="auto"/>
                      <w:sz w:val="18"/>
                      <w:szCs w:val="18"/>
                    </w:rPr>
                  </w:pPr>
                  <w:r>
                    <w:rPr>
                      <w:bCs/>
                      <w:color w:val="auto"/>
                      <w:sz w:val="18"/>
                      <w:szCs w:val="18"/>
                    </w:rPr>
                    <w:t>对建设项目危险废物种类、数量、属性、贮存设施、利用或处置方式进行科学分析</w:t>
                  </w:r>
                </w:p>
              </w:tc>
              <w:tc>
                <w:tcPr>
                  <w:tcW w:w="1903" w:type="pct"/>
                  <w:vAlign w:val="center"/>
                </w:tcPr>
                <w:p>
                  <w:pPr>
                    <w:spacing w:line="240" w:lineRule="atLeast"/>
                    <w:jc w:val="center"/>
                    <w:rPr>
                      <w:bCs/>
                      <w:color w:val="auto"/>
                      <w:sz w:val="18"/>
                      <w:szCs w:val="18"/>
                    </w:rPr>
                  </w:pPr>
                  <w:r>
                    <w:rPr>
                      <w:rFonts w:hint="eastAsia"/>
                      <w:bCs/>
                      <w:color w:val="auto"/>
                      <w:sz w:val="18"/>
                      <w:szCs w:val="18"/>
                    </w:rPr>
                    <w:t>现有项目产生的危废</w:t>
                  </w:r>
                  <w:r>
                    <w:rPr>
                      <w:bCs/>
                      <w:color w:val="auto"/>
                      <w:sz w:val="18"/>
                      <w:szCs w:val="18"/>
                    </w:rPr>
                    <w:t>分类密封、分区存放，定期委托资质单位处置</w:t>
                  </w:r>
                </w:p>
              </w:tc>
              <w:tc>
                <w:tcPr>
                  <w:tcW w:w="493" w:type="pct"/>
                  <w:vAlign w:val="center"/>
                </w:tcPr>
                <w:p>
                  <w:pPr>
                    <w:spacing w:line="240" w:lineRule="atLeast"/>
                    <w:jc w:val="center"/>
                    <w:rPr>
                      <w:bCs/>
                      <w:color w:val="auto"/>
                      <w:sz w:val="18"/>
                      <w:szCs w:val="18"/>
                    </w:rPr>
                  </w:pPr>
                  <w:r>
                    <w:rPr>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Cs/>
                      <w:color w:val="auto"/>
                      <w:sz w:val="18"/>
                      <w:szCs w:val="18"/>
                    </w:rPr>
                  </w:pPr>
                  <w:r>
                    <w:rPr>
                      <w:bCs/>
                      <w:color w:val="auto"/>
                      <w:sz w:val="18"/>
                      <w:szCs w:val="18"/>
                    </w:rPr>
                    <w:t>2</w:t>
                  </w:r>
                </w:p>
              </w:tc>
              <w:tc>
                <w:tcPr>
                  <w:tcW w:w="2329" w:type="pct"/>
                  <w:vAlign w:val="center"/>
                </w:tcPr>
                <w:p>
                  <w:pPr>
                    <w:spacing w:line="240" w:lineRule="atLeast"/>
                    <w:jc w:val="center"/>
                    <w:rPr>
                      <w:bCs/>
                      <w:color w:val="auto"/>
                      <w:sz w:val="18"/>
                      <w:szCs w:val="18"/>
                    </w:rPr>
                  </w:pPr>
                  <w:r>
                    <w:rPr>
                      <w:bCs/>
                      <w:color w:val="auto"/>
                      <w:sz w:val="18"/>
                      <w:szCs w:val="18"/>
                    </w:rPr>
                    <w:t>对建设项目环境影响以及环境风险评价，并提出切实可行的污染防治对策措施</w:t>
                  </w:r>
                </w:p>
              </w:tc>
              <w:tc>
                <w:tcPr>
                  <w:tcW w:w="1903" w:type="pct"/>
                  <w:vAlign w:val="center"/>
                </w:tcPr>
                <w:p>
                  <w:pPr>
                    <w:spacing w:line="240" w:lineRule="atLeast"/>
                    <w:jc w:val="center"/>
                    <w:rPr>
                      <w:bCs/>
                      <w:color w:val="auto"/>
                      <w:sz w:val="18"/>
                      <w:szCs w:val="18"/>
                    </w:rPr>
                  </w:pPr>
                  <w:r>
                    <w:rPr>
                      <w:bCs/>
                      <w:color w:val="auto"/>
                      <w:sz w:val="18"/>
                      <w:szCs w:val="18"/>
                    </w:rPr>
                    <w:t>液态危废桶装密封，固态危废采用袋装或密封，风险较小，危废间四周单独设隔间</w:t>
                  </w:r>
                </w:p>
              </w:tc>
              <w:tc>
                <w:tcPr>
                  <w:tcW w:w="493" w:type="pct"/>
                  <w:vAlign w:val="center"/>
                </w:tcPr>
                <w:p>
                  <w:pPr>
                    <w:spacing w:line="240" w:lineRule="atLeast"/>
                    <w:jc w:val="center"/>
                    <w:rPr>
                      <w:bCs/>
                      <w:color w:val="auto"/>
                      <w:sz w:val="18"/>
                      <w:szCs w:val="18"/>
                    </w:rPr>
                  </w:pPr>
                  <w:r>
                    <w:rPr>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Cs/>
                      <w:color w:val="auto"/>
                      <w:sz w:val="18"/>
                      <w:szCs w:val="18"/>
                    </w:rPr>
                  </w:pPr>
                  <w:r>
                    <w:rPr>
                      <w:bCs/>
                      <w:color w:val="auto"/>
                      <w:sz w:val="18"/>
                      <w:szCs w:val="18"/>
                    </w:rPr>
                    <w:t>3</w:t>
                  </w:r>
                </w:p>
              </w:tc>
              <w:tc>
                <w:tcPr>
                  <w:tcW w:w="2329" w:type="pct"/>
                  <w:vAlign w:val="center"/>
                </w:tcPr>
                <w:p>
                  <w:pPr>
                    <w:spacing w:line="240" w:lineRule="atLeast"/>
                    <w:jc w:val="center"/>
                    <w:rPr>
                      <w:bCs/>
                      <w:color w:val="auto"/>
                      <w:sz w:val="18"/>
                      <w:szCs w:val="18"/>
                    </w:rPr>
                  </w:pPr>
                  <w:r>
                    <w:rPr>
                      <w:bCs/>
                      <w:color w:val="auto"/>
                      <w:sz w:val="18"/>
                      <w:szCs w:val="18"/>
                    </w:rPr>
                    <w:t>企业应根据危险废物的种类和特性进行分区、分类贮存</w:t>
                  </w:r>
                </w:p>
              </w:tc>
              <w:tc>
                <w:tcPr>
                  <w:tcW w:w="1903" w:type="pct"/>
                  <w:vAlign w:val="center"/>
                </w:tcPr>
                <w:p>
                  <w:pPr>
                    <w:spacing w:line="240" w:lineRule="atLeast"/>
                    <w:jc w:val="center"/>
                    <w:rPr>
                      <w:bCs/>
                      <w:color w:val="auto"/>
                      <w:sz w:val="18"/>
                      <w:szCs w:val="18"/>
                    </w:rPr>
                  </w:pPr>
                  <w:r>
                    <w:rPr>
                      <w:bCs/>
                      <w:color w:val="auto"/>
                      <w:sz w:val="18"/>
                      <w:szCs w:val="18"/>
                    </w:rPr>
                    <w:t>液态危废桶装密封，固态危废采用袋装或密封，分区存放，单独贮存</w:t>
                  </w:r>
                </w:p>
              </w:tc>
              <w:tc>
                <w:tcPr>
                  <w:tcW w:w="493" w:type="pct"/>
                  <w:vAlign w:val="center"/>
                </w:tcPr>
                <w:p>
                  <w:pPr>
                    <w:spacing w:line="240" w:lineRule="atLeast"/>
                    <w:jc w:val="center"/>
                    <w:rPr>
                      <w:bCs/>
                      <w:color w:val="auto"/>
                      <w:sz w:val="18"/>
                      <w:szCs w:val="18"/>
                    </w:rPr>
                  </w:pPr>
                  <w:r>
                    <w:rPr>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Cs/>
                      <w:color w:val="auto"/>
                      <w:sz w:val="18"/>
                      <w:szCs w:val="18"/>
                    </w:rPr>
                  </w:pPr>
                  <w:r>
                    <w:rPr>
                      <w:bCs/>
                      <w:color w:val="auto"/>
                      <w:sz w:val="18"/>
                      <w:szCs w:val="18"/>
                    </w:rPr>
                    <w:t>4</w:t>
                  </w:r>
                </w:p>
              </w:tc>
              <w:tc>
                <w:tcPr>
                  <w:tcW w:w="2329" w:type="pct"/>
                  <w:vAlign w:val="center"/>
                </w:tcPr>
                <w:p>
                  <w:pPr>
                    <w:spacing w:line="240" w:lineRule="atLeast"/>
                    <w:jc w:val="center"/>
                    <w:rPr>
                      <w:bCs/>
                      <w:color w:val="auto"/>
                      <w:sz w:val="18"/>
                      <w:szCs w:val="18"/>
                    </w:rPr>
                  </w:pPr>
                  <w:r>
                    <w:rPr>
                      <w:bCs/>
                      <w:color w:val="auto"/>
                      <w:sz w:val="18"/>
                      <w:szCs w:val="18"/>
                    </w:rPr>
                    <w:t>危险废物贮存设置防雨、防火、防雷、防扬散、防渗漏装置及泄漏液体收集装置</w:t>
                  </w:r>
                </w:p>
              </w:tc>
              <w:tc>
                <w:tcPr>
                  <w:tcW w:w="1903" w:type="pct"/>
                  <w:vAlign w:val="center"/>
                </w:tcPr>
                <w:p>
                  <w:pPr>
                    <w:spacing w:line="240" w:lineRule="atLeast"/>
                    <w:jc w:val="center"/>
                    <w:rPr>
                      <w:bCs/>
                      <w:color w:val="auto"/>
                      <w:sz w:val="18"/>
                      <w:szCs w:val="18"/>
                    </w:rPr>
                  </w:pPr>
                  <w:r>
                    <w:rPr>
                      <w:bCs/>
                      <w:color w:val="auto"/>
                      <w:sz w:val="18"/>
                      <w:szCs w:val="18"/>
                    </w:rPr>
                    <w:t>危废仓库</w:t>
                  </w:r>
                  <w:r>
                    <w:rPr>
                      <w:rFonts w:hint="eastAsia"/>
                      <w:bCs/>
                      <w:color w:val="auto"/>
                      <w:sz w:val="18"/>
                      <w:szCs w:val="18"/>
                    </w:rPr>
                    <w:t>已</w:t>
                  </w:r>
                  <w:r>
                    <w:rPr>
                      <w:bCs/>
                      <w:color w:val="auto"/>
                      <w:sz w:val="18"/>
                      <w:szCs w:val="18"/>
                    </w:rPr>
                    <w:t>设置在防雷装置车间内，单独设隔间，地面防渗、内设禁火标志，配置灭火器材</w:t>
                  </w:r>
                </w:p>
              </w:tc>
              <w:tc>
                <w:tcPr>
                  <w:tcW w:w="493" w:type="pct"/>
                  <w:vAlign w:val="center"/>
                </w:tcPr>
                <w:p>
                  <w:pPr>
                    <w:spacing w:line="240" w:lineRule="atLeast"/>
                    <w:jc w:val="center"/>
                    <w:rPr>
                      <w:bCs/>
                      <w:color w:val="auto"/>
                      <w:sz w:val="18"/>
                      <w:szCs w:val="18"/>
                    </w:rPr>
                  </w:pPr>
                  <w:r>
                    <w:rPr>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noWrap/>
                  <w:vAlign w:val="center"/>
                </w:tcPr>
                <w:p>
                  <w:pPr>
                    <w:spacing w:line="240" w:lineRule="atLeast"/>
                    <w:jc w:val="center"/>
                    <w:rPr>
                      <w:bCs/>
                      <w:color w:val="auto"/>
                      <w:sz w:val="18"/>
                      <w:szCs w:val="18"/>
                    </w:rPr>
                  </w:pPr>
                  <w:r>
                    <w:rPr>
                      <w:bCs/>
                      <w:color w:val="auto"/>
                      <w:sz w:val="18"/>
                      <w:szCs w:val="18"/>
                    </w:rPr>
                    <w:t>5</w:t>
                  </w:r>
                </w:p>
              </w:tc>
              <w:tc>
                <w:tcPr>
                  <w:tcW w:w="2329" w:type="pct"/>
                  <w:vAlign w:val="center"/>
                </w:tcPr>
                <w:p>
                  <w:pPr>
                    <w:spacing w:line="240" w:lineRule="atLeast"/>
                    <w:jc w:val="center"/>
                    <w:rPr>
                      <w:bCs/>
                      <w:color w:val="auto"/>
                      <w:sz w:val="18"/>
                      <w:szCs w:val="18"/>
                    </w:rPr>
                  </w:pPr>
                  <w:r>
                    <w:rPr>
                      <w:bCs/>
                      <w:color w:val="auto"/>
                      <w:sz w:val="18"/>
                      <w:szCs w:val="18"/>
                    </w:rPr>
                    <w:t>对易爆、易燃及排出有毒气体的危险废物进行预处理，稳定后贮存</w:t>
                  </w:r>
                </w:p>
              </w:tc>
              <w:tc>
                <w:tcPr>
                  <w:tcW w:w="1903" w:type="pct"/>
                  <w:vAlign w:val="center"/>
                </w:tcPr>
                <w:p>
                  <w:pPr>
                    <w:spacing w:line="240" w:lineRule="atLeast"/>
                    <w:jc w:val="center"/>
                    <w:rPr>
                      <w:bCs/>
                      <w:color w:val="auto"/>
                      <w:sz w:val="18"/>
                      <w:szCs w:val="18"/>
                    </w:rPr>
                  </w:pPr>
                  <w:r>
                    <w:rPr>
                      <w:bCs/>
                      <w:color w:val="auto"/>
                      <w:sz w:val="18"/>
                      <w:szCs w:val="18"/>
                    </w:rPr>
                    <w:t>企业不涉及易爆、易燃及排出有毒气体的危险废物</w:t>
                  </w:r>
                </w:p>
              </w:tc>
              <w:tc>
                <w:tcPr>
                  <w:tcW w:w="493" w:type="pct"/>
                  <w:vAlign w:val="center"/>
                </w:tcPr>
                <w:p>
                  <w:pPr>
                    <w:spacing w:line="240" w:lineRule="atLeast"/>
                    <w:jc w:val="center"/>
                    <w:rPr>
                      <w:bCs/>
                      <w:color w:val="auto"/>
                      <w:sz w:val="18"/>
                      <w:szCs w:val="18"/>
                    </w:rPr>
                  </w:pPr>
                  <w:r>
                    <w:rPr>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Cs/>
                      <w:color w:val="auto"/>
                      <w:sz w:val="18"/>
                      <w:szCs w:val="18"/>
                    </w:rPr>
                  </w:pPr>
                  <w:r>
                    <w:rPr>
                      <w:bCs/>
                      <w:color w:val="auto"/>
                      <w:sz w:val="18"/>
                      <w:szCs w:val="18"/>
                    </w:rPr>
                    <w:t>6</w:t>
                  </w:r>
                </w:p>
              </w:tc>
              <w:tc>
                <w:tcPr>
                  <w:tcW w:w="2329" w:type="pct"/>
                  <w:vAlign w:val="center"/>
                </w:tcPr>
                <w:p>
                  <w:pPr>
                    <w:spacing w:line="240" w:lineRule="atLeast"/>
                    <w:jc w:val="center"/>
                    <w:rPr>
                      <w:bCs/>
                      <w:color w:val="auto"/>
                      <w:sz w:val="18"/>
                      <w:szCs w:val="18"/>
                    </w:rPr>
                  </w:pPr>
                  <w:r>
                    <w:rPr>
                      <w:bCs/>
                      <w:color w:val="auto"/>
                      <w:sz w:val="18"/>
                      <w:szCs w:val="18"/>
                    </w:rPr>
                    <w:t>贮存废弃剧毒化学品的，应按照公安机关要求落实治安防范措施</w:t>
                  </w:r>
                </w:p>
              </w:tc>
              <w:tc>
                <w:tcPr>
                  <w:tcW w:w="1903" w:type="pct"/>
                  <w:vAlign w:val="center"/>
                </w:tcPr>
                <w:p>
                  <w:pPr>
                    <w:spacing w:line="240" w:lineRule="atLeast"/>
                    <w:jc w:val="center"/>
                    <w:rPr>
                      <w:bCs/>
                      <w:color w:val="auto"/>
                      <w:sz w:val="18"/>
                      <w:szCs w:val="18"/>
                    </w:rPr>
                  </w:pPr>
                  <w:r>
                    <w:rPr>
                      <w:bCs/>
                      <w:color w:val="auto"/>
                      <w:sz w:val="18"/>
                      <w:szCs w:val="18"/>
                    </w:rPr>
                    <w:t>企业不涉及废弃剧毒化学品</w:t>
                  </w:r>
                </w:p>
              </w:tc>
              <w:tc>
                <w:tcPr>
                  <w:tcW w:w="493" w:type="pct"/>
                  <w:vAlign w:val="center"/>
                </w:tcPr>
                <w:p>
                  <w:pPr>
                    <w:spacing w:line="240" w:lineRule="atLeast"/>
                    <w:jc w:val="center"/>
                    <w:rPr>
                      <w:bCs/>
                      <w:color w:val="auto"/>
                      <w:sz w:val="18"/>
                      <w:szCs w:val="18"/>
                    </w:rPr>
                  </w:pPr>
                  <w:r>
                    <w:rPr>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Cs/>
                      <w:color w:val="auto"/>
                      <w:sz w:val="18"/>
                      <w:szCs w:val="18"/>
                    </w:rPr>
                  </w:pPr>
                  <w:r>
                    <w:rPr>
                      <w:bCs/>
                      <w:color w:val="auto"/>
                      <w:sz w:val="18"/>
                      <w:szCs w:val="18"/>
                    </w:rPr>
                    <w:t>7</w:t>
                  </w:r>
                </w:p>
              </w:tc>
              <w:tc>
                <w:tcPr>
                  <w:tcW w:w="2329" w:type="pct"/>
                  <w:vAlign w:val="center"/>
                </w:tcPr>
                <w:p>
                  <w:pPr>
                    <w:spacing w:line="240" w:lineRule="atLeast"/>
                    <w:jc w:val="center"/>
                    <w:rPr>
                      <w:bCs/>
                      <w:color w:val="auto"/>
                      <w:sz w:val="18"/>
                      <w:szCs w:val="18"/>
                    </w:rPr>
                  </w:pPr>
                  <w:r>
                    <w:rPr>
                      <w:bCs/>
                      <w:color w:val="auto"/>
                      <w:sz w:val="18"/>
                      <w:szCs w:val="18"/>
                    </w:rPr>
                    <w:t>企业严格执行《省生态环境厅关于印发江苏省危险废物贮存规范化管理专项整治行动方案的通知》（苏环办〔2019〕149号）要求，按照《环境保护图形标志固体废物贮存（处置）场》（GB15562.2-1995）和危险废物识别标识设置规范设置标志（具体要求必须符合苏环办[2019]327号附件1“危险废物识别标识规范化设置要求”的规定）</w:t>
                  </w:r>
                </w:p>
              </w:tc>
              <w:tc>
                <w:tcPr>
                  <w:tcW w:w="1903" w:type="pct"/>
                  <w:vAlign w:val="center"/>
                </w:tcPr>
                <w:p>
                  <w:pPr>
                    <w:spacing w:line="240" w:lineRule="atLeast"/>
                    <w:jc w:val="center"/>
                    <w:rPr>
                      <w:bCs/>
                      <w:color w:val="auto"/>
                      <w:sz w:val="18"/>
                      <w:szCs w:val="18"/>
                    </w:rPr>
                  </w:pPr>
                  <w:r>
                    <w:rPr>
                      <w:bCs/>
                      <w:color w:val="auto"/>
                      <w:sz w:val="18"/>
                      <w:szCs w:val="18"/>
                    </w:rPr>
                    <w:t>厂区门口</w:t>
                  </w:r>
                  <w:r>
                    <w:rPr>
                      <w:rFonts w:hint="eastAsia"/>
                      <w:bCs/>
                      <w:color w:val="auto"/>
                      <w:sz w:val="18"/>
                      <w:szCs w:val="18"/>
                    </w:rPr>
                    <w:t>已</w:t>
                  </w:r>
                  <w:r>
                    <w:rPr>
                      <w:bCs/>
                      <w:color w:val="auto"/>
                      <w:sz w:val="18"/>
                      <w:szCs w:val="18"/>
                    </w:rPr>
                    <w:t>设危废信息公开栏，危废仓库外墙及各类危废贮存处墙面设置贮存设施警示标志牌</w:t>
                  </w:r>
                </w:p>
              </w:tc>
              <w:tc>
                <w:tcPr>
                  <w:tcW w:w="493" w:type="pct"/>
                  <w:vAlign w:val="center"/>
                </w:tcPr>
                <w:p>
                  <w:pPr>
                    <w:spacing w:line="240" w:lineRule="atLeast"/>
                    <w:jc w:val="center"/>
                    <w:rPr>
                      <w:bCs/>
                      <w:color w:val="auto"/>
                      <w:sz w:val="18"/>
                      <w:szCs w:val="18"/>
                    </w:rPr>
                  </w:pPr>
                  <w:r>
                    <w:rPr>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Cs/>
                      <w:color w:val="auto"/>
                      <w:sz w:val="18"/>
                      <w:szCs w:val="18"/>
                    </w:rPr>
                  </w:pPr>
                  <w:r>
                    <w:rPr>
                      <w:bCs/>
                      <w:color w:val="auto"/>
                      <w:sz w:val="18"/>
                      <w:szCs w:val="18"/>
                    </w:rPr>
                    <w:t>8</w:t>
                  </w:r>
                </w:p>
              </w:tc>
              <w:tc>
                <w:tcPr>
                  <w:tcW w:w="2329" w:type="pct"/>
                  <w:vAlign w:val="center"/>
                </w:tcPr>
                <w:p>
                  <w:pPr>
                    <w:spacing w:line="240" w:lineRule="atLeast"/>
                    <w:jc w:val="center"/>
                    <w:rPr>
                      <w:bCs/>
                      <w:color w:val="auto"/>
                      <w:sz w:val="18"/>
                      <w:szCs w:val="18"/>
                    </w:rPr>
                  </w:pPr>
                  <w:r>
                    <w:rPr>
                      <w:bCs/>
                      <w:color w:val="auto"/>
                      <w:sz w:val="18"/>
                      <w:szCs w:val="18"/>
                    </w:rPr>
                    <w:t>危废仓库须配备通讯设备、照明设施和消防设施</w:t>
                  </w:r>
                </w:p>
              </w:tc>
              <w:tc>
                <w:tcPr>
                  <w:tcW w:w="1903" w:type="pct"/>
                  <w:vAlign w:val="center"/>
                </w:tcPr>
                <w:p>
                  <w:pPr>
                    <w:spacing w:line="240" w:lineRule="atLeast"/>
                    <w:jc w:val="center"/>
                    <w:rPr>
                      <w:bCs/>
                      <w:color w:val="auto"/>
                      <w:sz w:val="18"/>
                      <w:szCs w:val="18"/>
                      <w:highlight w:val="yellow"/>
                    </w:rPr>
                  </w:pPr>
                  <w:r>
                    <w:rPr>
                      <w:bCs/>
                      <w:color w:val="auto"/>
                      <w:sz w:val="18"/>
                      <w:szCs w:val="18"/>
                    </w:rPr>
                    <w:t>危废</w:t>
                  </w:r>
                  <w:r>
                    <w:rPr>
                      <w:rFonts w:hint="eastAsia"/>
                      <w:bCs/>
                      <w:color w:val="auto"/>
                      <w:sz w:val="18"/>
                      <w:szCs w:val="18"/>
                    </w:rPr>
                    <w:t>仓库已</w:t>
                  </w:r>
                  <w:r>
                    <w:rPr>
                      <w:bCs/>
                      <w:color w:val="auto"/>
                      <w:sz w:val="18"/>
                      <w:szCs w:val="18"/>
                    </w:rPr>
                    <w:t>配备通讯设备、照明设施和消防设施</w:t>
                  </w:r>
                </w:p>
              </w:tc>
              <w:tc>
                <w:tcPr>
                  <w:tcW w:w="493" w:type="pct"/>
                  <w:vAlign w:val="center"/>
                </w:tcPr>
                <w:p>
                  <w:pPr>
                    <w:spacing w:line="240" w:lineRule="atLeast"/>
                    <w:jc w:val="center"/>
                    <w:rPr>
                      <w:bCs/>
                      <w:color w:val="auto"/>
                      <w:sz w:val="18"/>
                      <w:szCs w:val="18"/>
                    </w:rPr>
                  </w:pPr>
                  <w:r>
                    <w:rPr>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Cs/>
                      <w:color w:val="auto"/>
                      <w:sz w:val="18"/>
                      <w:szCs w:val="18"/>
                    </w:rPr>
                  </w:pPr>
                  <w:r>
                    <w:rPr>
                      <w:bCs/>
                      <w:color w:val="auto"/>
                      <w:sz w:val="18"/>
                      <w:szCs w:val="18"/>
                    </w:rPr>
                    <w:t>9</w:t>
                  </w:r>
                </w:p>
              </w:tc>
              <w:tc>
                <w:tcPr>
                  <w:tcW w:w="2329" w:type="pct"/>
                  <w:vAlign w:val="center"/>
                </w:tcPr>
                <w:p>
                  <w:pPr>
                    <w:spacing w:line="240" w:lineRule="atLeast"/>
                    <w:jc w:val="center"/>
                    <w:rPr>
                      <w:bCs/>
                      <w:color w:val="auto"/>
                      <w:sz w:val="18"/>
                      <w:szCs w:val="18"/>
                    </w:rPr>
                  </w:pPr>
                  <w:r>
                    <w:rPr>
                      <w:bCs/>
                      <w:color w:val="auto"/>
                      <w:sz w:val="18"/>
                      <w:szCs w:val="18"/>
                    </w:rPr>
                    <w:t>危险废物仓库须设置气体导出口及气体净化装置，确保废气达标排放</w:t>
                  </w:r>
                </w:p>
              </w:tc>
              <w:tc>
                <w:tcPr>
                  <w:tcW w:w="1903" w:type="pct"/>
                  <w:vAlign w:val="center"/>
                </w:tcPr>
                <w:p>
                  <w:pPr>
                    <w:spacing w:line="240" w:lineRule="atLeast"/>
                    <w:jc w:val="center"/>
                    <w:rPr>
                      <w:bCs/>
                      <w:color w:val="auto"/>
                      <w:sz w:val="18"/>
                      <w:szCs w:val="18"/>
                    </w:rPr>
                  </w:pPr>
                  <w:r>
                    <w:rPr>
                      <w:bCs/>
                      <w:color w:val="auto"/>
                      <w:sz w:val="18"/>
                      <w:szCs w:val="18"/>
                    </w:rPr>
                    <w:t>企业</w:t>
                  </w:r>
                  <w:r>
                    <w:rPr>
                      <w:rFonts w:hint="eastAsia"/>
                      <w:bCs/>
                      <w:color w:val="auto"/>
                      <w:sz w:val="18"/>
                      <w:szCs w:val="18"/>
                    </w:rPr>
                    <w:t>危废仓库</w:t>
                  </w:r>
                  <w:r>
                    <w:rPr>
                      <w:bCs/>
                      <w:color w:val="auto"/>
                      <w:sz w:val="18"/>
                      <w:szCs w:val="18"/>
                    </w:rPr>
                    <w:t>设置气体导出口</w:t>
                  </w:r>
                </w:p>
              </w:tc>
              <w:tc>
                <w:tcPr>
                  <w:tcW w:w="493" w:type="pct"/>
                  <w:vAlign w:val="center"/>
                </w:tcPr>
                <w:p>
                  <w:pPr>
                    <w:spacing w:line="240" w:lineRule="atLeast"/>
                    <w:jc w:val="center"/>
                    <w:rPr>
                      <w:bCs/>
                      <w:color w:val="auto"/>
                      <w:sz w:val="18"/>
                      <w:szCs w:val="18"/>
                    </w:rPr>
                  </w:pPr>
                  <w:r>
                    <w:rPr>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Cs/>
                      <w:color w:val="auto"/>
                      <w:sz w:val="18"/>
                      <w:szCs w:val="18"/>
                    </w:rPr>
                  </w:pPr>
                  <w:r>
                    <w:rPr>
                      <w:bCs/>
                      <w:color w:val="auto"/>
                      <w:sz w:val="18"/>
                      <w:szCs w:val="18"/>
                    </w:rPr>
                    <w:t>10</w:t>
                  </w:r>
                </w:p>
              </w:tc>
              <w:tc>
                <w:tcPr>
                  <w:tcW w:w="2329" w:type="pct"/>
                  <w:vAlign w:val="center"/>
                </w:tcPr>
                <w:p>
                  <w:pPr>
                    <w:spacing w:line="240" w:lineRule="atLeast"/>
                    <w:jc w:val="center"/>
                    <w:rPr>
                      <w:bCs/>
                      <w:color w:val="auto"/>
                      <w:sz w:val="18"/>
                      <w:szCs w:val="18"/>
                    </w:rPr>
                  </w:pPr>
                  <w:r>
                    <w:rPr>
                      <w:bCs/>
                      <w:color w:val="auto"/>
                      <w:sz w:val="18"/>
                      <w:szCs w:val="18"/>
                    </w:rPr>
                    <w:t>在危险废物仓库出入口、设施内部、危险废物运输车辆通道等关键位置按照危险废物贮存设施视频监控布设要求设置视频监控，并与中控室联网（具体要求必须符合苏环办[2019]327号附件2“危险废物贮存设施视频监控布设要求”的规定）</w:t>
                  </w:r>
                </w:p>
              </w:tc>
              <w:tc>
                <w:tcPr>
                  <w:tcW w:w="1903" w:type="pct"/>
                  <w:vAlign w:val="center"/>
                </w:tcPr>
                <w:p>
                  <w:pPr>
                    <w:spacing w:line="240" w:lineRule="atLeast"/>
                    <w:jc w:val="center"/>
                    <w:rPr>
                      <w:bCs/>
                      <w:color w:val="auto"/>
                      <w:sz w:val="18"/>
                      <w:szCs w:val="18"/>
                      <w:highlight w:val="yellow"/>
                    </w:rPr>
                  </w:pPr>
                  <w:r>
                    <w:rPr>
                      <w:bCs/>
                      <w:color w:val="auto"/>
                      <w:sz w:val="18"/>
                      <w:szCs w:val="18"/>
                    </w:rPr>
                    <w:t>危废仓库</w:t>
                  </w:r>
                  <w:r>
                    <w:rPr>
                      <w:rFonts w:hint="eastAsia"/>
                      <w:bCs/>
                      <w:color w:val="auto"/>
                      <w:sz w:val="18"/>
                      <w:szCs w:val="18"/>
                    </w:rPr>
                    <w:t>已</w:t>
                  </w:r>
                  <w:r>
                    <w:rPr>
                      <w:bCs/>
                      <w:color w:val="auto"/>
                      <w:sz w:val="18"/>
                      <w:szCs w:val="18"/>
                    </w:rPr>
                    <w:t>设置监控</w:t>
                  </w:r>
                </w:p>
              </w:tc>
              <w:tc>
                <w:tcPr>
                  <w:tcW w:w="493" w:type="pct"/>
                  <w:vAlign w:val="center"/>
                </w:tcPr>
                <w:p>
                  <w:pPr>
                    <w:spacing w:line="240" w:lineRule="atLeast"/>
                    <w:jc w:val="center"/>
                    <w:rPr>
                      <w:bCs/>
                      <w:color w:val="auto"/>
                      <w:sz w:val="18"/>
                      <w:szCs w:val="18"/>
                    </w:rPr>
                  </w:pPr>
                  <w:r>
                    <w:rPr>
                      <w:bCs/>
                      <w:color w:val="auto"/>
                      <w:sz w:val="18"/>
                      <w:szCs w:val="18"/>
                    </w:rPr>
                    <w:t>相符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Cs/>
                      <w:color w:val="auto"/>
                      <w:sz w:val="18"/>
                      <w:szCs w:val="18"/>
                    </w:rPr>
                  </w:pPr>
                  <w:r>
                    <w:rPr>
                      <w:bCs/>
                      <w:color w:val="auto"/>
                      <w:sz w:val="18"/>
                      <w:szCs w:val="18"/>
                    </w:rPr>
                    <w:t>11</w:t>
                  </w:r>
                </w:p>
              </w:tc>
              <w:tc>
                <w:tcPr>
                  <w:tcW w:w="2329" w:type="pct"/>
                  <w:vAlign w:val="center"/>
                </w:tcPr>
                <w:p>
                  <w:pPr>
                    <w:spacing w:line="240" w:lineRule="atLeast"/>
                    <w:jc w:val="center"/>
                    <w:rPr>
                      <w:bCs/>
                      <w:color w:val="auto"/>
                      <w:sz w:val="18"/>
                      <w:szCs w:val="18"/>
                    </w:rPr>
                  </w:pPr>
                  <w:r>
                    <w:rPr>
                      <w:bCs/>
                      <w:color w:val="auto"/>
                      <w:sz w:val="18"/>
                      <w:szCs w:val="18"/>
                    </w:rPr>
                    <w:t>环评文件中涉及有副产品内容的，应严格对照《固体废物鉴别标准通则》（GB34330-2017），依据其产生来源、利用和处置过程等进行鉴别，禁止以副产品的名义逃避监管。</w:t>
                  </w:r>
                </w:p>
              </w:tc>
              <w:tc>
                <w:tcPr>
                  <w:tcW w:w="1903" w:type="pct"/>
                  <w:vAlign w:val="center"/>
                </w:tcPr>
                <w:p>
                  <w:pPr>
                    <w:spacing w:line="240" w:lineRule="atLeast"/>
                    <w:jc w:val="center"/>
                    <w:rPr>
                      <w:bCs/>
                      <w:color w:val="auto"/>
                      <w:sz w:val="18"/>
                      <w:szCs w:val="18"/>
                    </w:rPr>
                  </w:pPr>
                  <w:r>
                    <w:rPr>
                      <w:rFonts w:hint="eastAsia"/>
                      <w:bCs/>
                      <w:color w:val="auto"/>
                      <w:sz w:val="18"/>
                      <w:szCs w:val="18"/>
                    </w:rPr>
                    <w:t>现有</w:t>
                  </w:r>
                  <w:r>
                    <w:rPr>
                      <w:bCs/>
                      <w:color w:val="auto"/>
                      <w:sz w:val="18"/>
                      <w:szCs w:val="18"/>
                    </w:rPr>
                    <w:t>项目产生的固体废物均对照《固体废物鉴别标准通则》（GB34330-2017）进行分析，定位为固体废物，不属于副产品</w:t>
                  </w:r>
                </w:p>
              </w:tc>
              <w:tc>
                <w:tcPr>
                  <w:tcW w:w="493" w:type="pct"/>
                  <w:vAlign w:val="center"/>
                </w:tcPr>
                <w:p>
                  <w:pPr>
                    <w:spacing w:line="240" w:lineRule="atLeast"/>
                    <w:jc w:val="center"/>
                    <w:rPr>
                      <w:bCs/>
                      <w:color w:val="auto"/>
                      <w:sz w:val="18"/>
                      <w:szCs w:val="18"/>
                    </w:rPr>
                  </w:pPr>
                  <w:r>
                    <w:rPr>
                      <w:bCs/>
                      <w:color w:val="auto"/>
                      <w:sz w:val="18"/>
                      <w:szCs w:val="18"/>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5" w:type="pct"/>
                  <w:vAlign w:val="center"/>
                </w:tcPr>
                <w:p>
                  <w:pPr>
                    <w:spacing w:line="240" w:lineRule="atLeast"/>
                    <w:jc w:val="center"/>
                    <w:rPr>
                      <w:bCs/>
                      <w:color w:val="auto"/>
                      <w:sz w:val="18"/>
                      <w:szCs w:val="18"/>
                    </w:rPr>
                  </w:pPr>
                  <w:r>
                    <w:rPr>
                      <w:bCs/>
                      <w:color w:val="auto"/>
                      <w:sz w:val="18"/>
                      <w:szCs w:val="18"/>
                    </w:rPr>
                    <w:t>12</w:t>
                  </w:r>
                </w:p>
              </w:tc>
              <w:tc>
                <w:tcPr>
                  <w:tcW w:w="2329" w:type="pct"/>
                  <w:vAlign w:val="center"/>
                </w:tcPr>
                <w:p>
                  <w:pPr>
                    <w:spacing w:line="240" w:lineRule="atLeast"/>
                    <w:jc w:val="center"/>
                    <w:rPr>
                      <w:bCs/>
                      <w:color w:val="auto"/>
                      <w:sz w:val="18"/>
                      <w:szCs w:val="18"/>
                    </w:rPr>
                  </w:pPr>
                  <w:r>
                    <w:rPr>
                      <w:bCs/>
                      <w:color w:val="auto"/>
                      <w:sz w:val="18"/>
                      <w:szCs w:val="18"/>
                    </w:rPr>
                    <w:t>贮存易爆、易燃及排出有毒气体的危险废物贮存设施应按照应急管理、消防、规划建设等相关职能部门的要求办理相关手续</w:t>
                  </w:r>
                </w:p>
              </w:tc>
              <w:tc>
                <w:tcPr>
                  <w:tcW w:w="1903" w:type="pct"/>
                  <w:vAlign w:val="center"/>
                </w:tcPr>
                <w:p>
                  <w:pPr>
                    <w:spacing w:line="240" w:lineRule="atLeast"/>
                    <w:jc w:val="center"/>
                    <w:rPr>
                      <w:bCs/>
                      <w:color w:val="auto"/>
                      <w:sz w:val="18"/>
                      <w:szCs w:val="18"/>
                    </w:rPr>
                  </w:pPr>
                  <w:r>
                    <w:rPr>
                      <w:bCs/>
                      <w:color w:val="auto"/>
                      <w:sz w:val="18"/>
                      <w:szCs w:val="18"/>
                    </w:rPr>
                    <w:t>企业不涉及易燃、易爆以及排出有毒气体的危险废物</w:t>
                  </w:r>
                </w:p>
              </w:tc>
              <w:tc>
                <w:tcPr>
                  <w:tcW w:w="493" w:type="pct"/>
                  <w:vAlign w:val="center"/>
                </w:tcPr>
                <w:p>
                  <w:pPr>
                    <w:spacing w:line="240" w:lineRule="atLeast"/>
                    <w:jc w:val="center"/>
                    <w:rPr>
                      <w:bCs/>
                      <w:color w:val="auto"/>
                      <w:sz w:val="18"/>
                      <w:szCs w:val="18"/>
                    </w:rPr>
                  </w:pPr>
                  <w:r>
                    <w:rPr>
                      <w:bCs/>
                      <w:color w:val="auto"/>
                      <w:sz w:val="18"/>
                      <w:szCs w:val="18"/>
                    </w:rPr>
                    <w:t>符合</w:t>
                  </w:r>
                </w:p>
              </w:tc>
            </w:tr>
          </w:tbl>
          <w:p>
            <w:pPr>
              <w:snapToGrid w:val="0"/>
              <w:spacing w:line="360" w:lineRule="auto"/>
              <w:ind w:firstLine="420" w:firstLineChars="200"/>
              <w:rPr>
                <w:color w:val="auto"/>
                <w:szCs w:val="21"/>
              </w:rPr>
            </w:pPr>
          </w:p>
          <w:p>
            <w:pPr>
              <w:snapToGrid w:val="0"/>
              <w:spacing w:line="360" w:lineRule="auto"/>
              <w:ind w:firstLine="420" w:firstLineChars="200"/>
              <w:rPr>
                <w:color w:val="auto"/>
                <w:szCs w:val="21"/>
              </w:rPr>
            </w:pPr>
            <w:r>
              <w:rPr>
                <w:color w:val="auto"/>
                <w:szCs w:val="21"/>
              </w:rPr>
              <w:t>5、现有项目污染物排放总量汇总情况</w:t>
            </w:r>
          </w:p>
          <w:p>
            <w:pPr>
              <w:spacing w:line="360" w:lineRule="auto"/>
              <w:ind w:firstLine="420" w:firstLineChars="200"/>
              <w:rPr>
                <w:color w:val="auto"/>
                <w:szCs w:val="21"/>
              </w:rPr>
            </w:pPr>
            <w:r>
              <w:rPr>
                <w:color w:val="auto"/>
                <w:szCs w:val="21"/>
              </w:rPr>
              <w:t>现有项目污染物排放量汇总见表2-</w:t>
            </w:r>
            <w:r>
              <w:rPr>
                <w:rFonts w:hint="eastAsia"/>
                <w:color w:val="auto"/>
                <w:szCs w:val="21"/>
              </w:rPr>
              <w:t>1</w:t>
            </w:r>
            <w:r>
              <w:rPr>
                <w:rFonts w:hint="eastAsia"/>
                <w:color w:val="auto"/>
                <w:szCs w:val="21"/>
                <w:lang w:val="en-US" w:eastAsia="zh-CN"/>
              </w:rPr>
              <w:t>5</w:t>
            </w:r>
            <w:r>
              <w:rPr>
                <w:color w:val="auto"/>
                <w:szCs w:val="21"/>
              </w:rPr>
              <w:t>。</w:t>
            </w:r>
          </w:p>
          <w:p>
            <w:pPr>
              <w:tabs>
                <w:tab w:val="left" w:pos="2421"/>
              </w:tabs>
              <w:jc w:val="center"/>
              <w:rPr>
                <w:b/>
                <w:color w:val="auto"/>
                <w:szCs w:val="21"/>
              </w:rPr>
            </w:pPr>
          </w:p>
          <w:p>
            <w:pPr>
              <w:tabs>
                <w:tab w:val="left" w:pos="2421"/>
              </w:tabs>
              <w:jc w:val="center"/>
              <w:rPr>
                <w:b/>
                <w:color w:val="auto"/>
                <w:szCs w:val="21"/>
              </w:rPr>
            </w:pPr>
          </w:p>
          <w:p>
            <w:pPr>
              <w:tabs>
                <w:tab w:val="left" w:pos="2421"/>
              </w:tabs>
              <w:jc w:val="center"/>
              <w:rPr>
                <w:b/>
                <w:color w:val="auto"/>
                <w:szCs w:val="21"/>
              </w:rPr>
            </w:pPr>
          </w:p>
          <w:p>
            <w:pPr>
              <w:tabs>
                <w:tab w:val="left" w:pos="2421"/>
              </w:tabs>
              <w:jc w:val="center"/>
              <w:rPr>
                <w:b/>
                <w:color w:val="auto"/>
                <w:szCs w:val="21"/>
              </w:rPr>
            </w:pPr>
          </w:p>
          <w:p>
            <w:pPr>
              <w:tabs>
                <w:tab w:val="left" w:pos="2421"/>
              </w:tabs>
              <w:jc w:val="center"/>
              <w:rPr>
                <w:b/>
                <w:color w:val="auto"/>
                <w:szCs w:val="21"/>
              </w:rPr>
            </w:pPr>
          </w:p>
          <w:p>
            <w:pPr>
              <w:tabs>
                <w:tab w:val="left" w:pos="2421"/>
              </w:tabs>
              <w:jc w:val="center"/>
              <w:rPr>
                <w:b/>
                <w:color w:val="auto"/>
                <w:szCs w:val="21"/>
              </w:rPr>
            </w:pPr>
          </w:p>
          <w:p>
            <w:pPr>
              <w:tabs>
                <w:tab w:val="left" w:pos="2421"/>
              </w:tabs>
              <w:jc w:val="center"/>
              <w:rPr>
                <w:b/>
                <w:color w:val="auto"/>
                <w:szCs w:val="21"/>
              </w:rPr>
            </w:pPr>
          </w:p>
          <w:p>
            <w:pPr>
              <w:pStyle w:val="2"/>
              <w:rPr>
                <w:color w:val="auto"/>
              </w:rPr>
            </w:pPr>
          </w:p>
          <w:p>
            <w:pPr>
              <w:tabs>
                <w:tab w:val="left" w:pos="2421"/>
              </w:tabs>
              <w:jc w:val="center"/>
              <w:rPr>
                <w:b/>
                <w:color w:val="auto"/>
                <w:szCs w:val="21"/>
              </w:rPr>
            </w:pPr>
          </w:p>
          <w:p>
            <w:pPr>
              <w:tabs>
                <w:tab w:val="left" w:pos="2421"/>
              </w:tabs>
              <w:jc w:val="center"/>
              <w:rPr>
                <w:b/>
                <w:color w:val="auto"/>
                <w:szCs w:val="21"/>
              </w:rPr>
            </w:pPr>
            <w:r>
              <w:rPr>
                <w:b/>
                <w:color w:val="auto"/>
                <w:szCs w:val="21"/>
              </w:rPr>
              <w:t>表2-</w:t>
            </w:r>
            <w:r>
              <w:rPr>
                <w:rFonts w:hint="eastAsia"/>
                <w:b/>
                <w:color w:val="auto"/>
                <w:szCs w:val="21"/>
              </w:rPr>
              <w:t>1</w:t>
            </w:r>
            <w:r>
              <w:rPr>
                <w:rFonts w:hint="eastAsia"/>
                <w:b/>
                <w:color w:val="auto"/>
                <w:szCs w:val="21"/>
                <w:lang w:val="en-US" w:eastAsia="zh-CN"/>
              </w:rPr>
              <w:t>5</w:t>
            </w:r>
            <w:r>
              <w:rPr>
                <w:b/>
                <w:color w:val="auto"/>
                <w:szCs w:val="21"/>
              </w:rPr>
              <w:t xml:space="preserve"> 现有项目污染物排放汇总表  （单位：t/a）</w:t>
            </w:r>
          </w:p>
          <w:tbl>
            <w:tblPr>
              <w:tblStyle w:val="3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299"/>
              <w:gridCol w:w="1677"/>
              <w:gridCol w:w="2438"/>
              <w:gridCol w:w="1949"/>
              <w:gridCol w:w="194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Align w:val="center"/>
                </w:tcPr>
                <w:p>
                  <w:pPr>
                    <w:overflowPunct w:val="0"/>
                    <w:autoSpaceDE w:val="0"/>
                    <w:autoSpaceDN w:val="0"/>
                    <w:adjustRightInd w:val="0"/>
                    <w:snapToGrid w:val="0"/>
                    <w:jc w:val="center"/>
                    <w:rPr>
                      <w:b/>
                      <w:color w:val="auto"/>
                      <w:sz w:val="18"/>
                      <w:szCs w:val="18"/>
                    </w:rPr>
                  </w:pPr>
                  <w:r>
                    <w:rPr>
                      <w:b/>
                      <w:color w:val="auto"/>
                      <w:sz w:val="18"/>
                      <w:szCs w:val="18"/>
                    </w:rPr>
                    <w:t>类别</w:t>
                  </w:r>
                </w:p>
              </w:tc>
              <w:tc>
                <w:tcPr>
                  <w:tcW w:w="2209" w:type="pct"/>
                  <w:gridSpan w:val="2"/>
                  <w:vAlign w:val="center"/>
                </w:tcPr>
                <w:p>
                  <w:pPr>
                    <w:overflowPunct w:val="0"/>
                    <w:autoSpaceDE w:val="0"/>
                    <w:autoSpaceDN w:val="0"/>
                    <w:adjustRightInd w:val="0"/>
                    <w:snapToGrid w:val="0"/>
                    <w:jc w:val="center"/>
                    <w:rPr>
                      <w:b/>
                      <w:color w:val="auto"/>
                      <w:sz w:val="18"/>
                      <w:szCs w:val="18"/>
                    </w:rPr>
                  </w:pPr>
                  <w:r>
                    <w:rPr>
                      <w:b/>
                      <w:color w:val="auto"/>
                      <w:sz w:val="18"/>
                      <w:szCs w:val="18"/>
                    </w:rPr>
                    <w:t>污染物名称</w:t>
                  </w:r>
                </w:p>
              </w:tc>
              <w:tc>
                <w:tcPr>
                  <w:tcW w:w="1047" w:type="pct"/>
                  <w:vAlign w:val="center"/>
                </w:tcPr>
                <w:p>
                  <w:pPr>
                    <w:adjustRightInd w:val="0"/>
                    <w:snapToGrid w:val="0"/>
                    <w:jc w:val="center"/>
                    <w:rPr>
                      <w:b/>
                      <w:bCs/>
                      <w:color w:val="auto"/>
                      <w:sz w:val="18"/>
                      <w:szCs w:val="18"/>
                    </w:rPr>
                  </w:pPr>
                  <w:r>
                    <w:rPr>
                      <w:b/>
                      <w:bCs/>
                      <w:color w:val="auto"/>
                      <w:sz w:val="18"/>
                      <w:szCs w:val="18"/>
                    </w:rPr>
                    <w:t>环评批复排放量</w:t>
                  </w:r>
                </w:p>
              </w:tc>
              <w:tc>
                <w:tcPr>
                  <w:tcW w:w="1046" w:type="pct"/>
                  <w:vAlign w:val="center"/>
                </w:tcPr>
                <w:p>
                  <w:pPr>
                    <w:adjustRightInd w:val="0"/>
                    <w:snapToGrid w:val="0"/>
                    <w:jc w:val="center"/>
                    <w:rPr>
                      <w:b/>
                      <w:bCs/>
                      <w:color w:val="auto"/>
                      <w:sz w:val="18"/>
                      <w:szCs w:val="18"/>
                    </w:rPr>
                  </w:pPr>
                  <w:r>
                    <w:rPr>
                      <w:b/>
                      <w:bCs/>
                      <w:color w:val="auto"/>
                      <w:sz w:val="18"/>
                      <w:szCs w:val="18"/>
                    </w:rPr>
                    <w:t>实际排放量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restart"/>
                  <w:vAlign w:val="center"/>
                </w:tcPr>
                <w:p>
                  <w:pPr>
                    <w:overflowPunct w:val="0"/>
                    <w:autoSpaceDE w:val="0"/>
                    <w:autoSpaceDN w:val="0"/>
                    <w:adjustRightInd w:val="0"/>
                    <w:snapToGrid w:val="0"/>
                    <w:jc w:val="center"/>
                    <w:rPr>
                      <w:color w:val="auto"/>
                      <w:sz w:val="18"/>
                      <w:szCs w:val="18"/>
                    </w:rPr>
                  </w:pPr>
                  <w:r>
                    <w:rPr>
                      <w:color w:val="auto"/>
                      <w:sz w:val="18"/>
                      <w:szCs w:val="18"/>
                    </w:rPr>
                    <w:t>废气</w:t>
                  </w:r>
                </w:p>
              </w:tc>
              <w:tc>
                <w:tcPr>
                  <w:tcW w:w="900" w:type="pct"/>
                  <w:vMerge w:val="restart"/>
                  <w:vAlign w:val="center"/>
                </w:tcPr>
                <w:p>
                  <w:pPr>
                    <w:adjustRightInd w:val="0"/>
                    <w:snapToGrid w:val="0"/>
                    <w:jc w:val="center"/>
                    <w:rPr>
                      <w:color w:val="auto"/>
                      <w:sz w:val="18"/>
                      <w:szCs w:val="18"/>
                    </w:rPr>
                  </w:pPr>
                  <w:r>
                    <w:rPr>
                      <w:color w:val="auto"/>
                      <w:sz w:val="18"/>
                      <w:szCs w:val="18"/>
                    </w:rPr>
                    <w:t>有组织</w:t>
                  </w:r>
                </w:p>
              </w:tc>
              <w:tc>
                <w:tcPr>
                  <w:tcW w:w="1309" w:type="pct"/>
                  <w:vAlign w:val="center"/>
                </w:tcPr>
                <w:p>
                  <w:pPr>
                    <w:adjustRightInd w:val="0"/>
                    <w:snapToGrid w:val="0"/>
                    <w:jc w:val="center"/>
                    <w:rPr>
                      <w:color w:val="auto"/>
                      <w:sz w:val="18"/>
                      <w:szCs w:val="18"/>
                    </w:rPr>
                  </w:pPr>
                  <w:r>
                    <w:rPr>
                      <w:color w:val="auto"/>
                      <w:sz w:val="18"/>
                      <w:szCs w:val="18"/>
                    </w:rPr>
                    <w:t>非甲烷总烃</w:t>
                  </w:r>
                </w:p>
              </w:tc>
              <w:tc>
                <w:tcPr>
                  <w:tcW w:w="1047" w:type="pct"/>
                  <w:vAlign w:val="center"/>
                </w:tcPr>
                <w:p>
                  <w:pPr>
                    <w:jc w:val="center"/>
                    <w:rPr>
                      <w:color w:val="auto"/>
                      <w:sz w:val="18"/>
                      <w:szCs w:val="18"/>
                    </w:rPr>
                  </w:pPr>
                  <w:r>
                    <w:rPr>
                      <w:bCs/>
                      <w:color w:val="auto"/>
                      <w:sz w:val="18"/>
                      <w:szCs w:val="18"/>
                    </w:rPr>
                    <w:t>0.0016</w:t>
                  </w:r>
                </w:p>
              </w:tc>
              <w:tc>
                <w:tcPr>
                  <w:tcW w:w="1947" w:type="dxa"/>
                  <w:vAlign w:val="center"/>
                </w:tcPr>
                <w:p>
                  <w:pPr>
                    <w:jc w:val="center"/>
                    <w:rPr>
                      <w:color w:val="auto"/>
                      <w:sz w:val="18"/>
                      <w:szCs w:val="18"/>
                    </w:rPr>
                  </w:pPr>
                  <w:r>
                    <w:rPr>
                      <w:bCs/>
                      <w:color w:val="auto"/>
                      <w:sz w:val="18"/>
                      <w:szCs w:val="18"/>
                    </w:rPr>
                    <w:t>0.0016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continue"/>
                  <w:vAlign w:val="center"/>
                </w:tcPr>
                <w:p>
                  <w:pPr>
                    <w:overflowPunct w:val="0"/>
                    <w:autoSpaceDE w:val="0"/>
                    <w:autoSpaceDN w:val="0"/>
                    <w:adjustRightInd w:val="0"/>
                    <w:snapToGrid w:val="0"/>
                    <w:jc w:val="center"/>
                    <w:rPr>
                      <w:color w:val="auto"/>
                      <w:sz w:val="18"/>
                      <w:szCs w:val="18"/>
                    </w:rPr>
                  </w:pPr>
                </w:p>
              </w:tc>
              <w:tc>
                <w:tcPr>
                  <w:tcW w:w="900" w:type="pct"/>
                  <w:vMerge w:val="continue"/>
                  <w:vAlign w:val="center"/>
                </w:tcPr>
                <w:p>
                  <w:pPr>
                    <w:adjustRightInd w:val="0"/>
                    <w:snapToGrid w:val="0"/>
                    <w:jc w:val="center"/>
                    <w:rPr>
                      <w:color w:val="auto"/>
                      <w:sz w:val="18"/>
                      <w:szCs w:val="18"/>
                    </w:rPr>
                  </w:pPr>
                </w:p>
              </w:tc>
              <w:tc>
                <w:tcPr>
                  <w:tcW w:w="1309" w:type="pct"/>
                  <w:vAlign w:val="center"/>
                </w:tcPr>
                <w:p>
                  <w:pPr>
                    <w:adjustRightInd w:val="0"/>
                    <w:snapToGrid w:val="0"/>
                    <w:jc w:val="center"/>
                    <w:rPr>
                      <w:color w:val="auto"/>
                      <w:sz w:val="18"/>
                      <w:szCs w:val="18"/>
                    </w:rPr>
                  </w:pPr>
                  <w:r>
                    <w:rPr>
                      <w:color w:val="auto"/>
                      <w:sz w:val="18"/>
                      <w:szCs w:val="18"/>
                    </w:rPr>
                    <w:t>硫化氢</w:t>
                  </w:r>
                </w:p>
              </w:tc>
              <w:tc>
                <w:tcPr>
                  <w:tcW w:w="1047" w:type="pct"/>
                  <w:vAlign w:val="center"/>
                </w:tcPr>
                <w:p>
                  <w:pPr>
                    <w:jc w:val="center"/>
                    <w:rPr>
                      <w:color w:val="auto"/>
                      <w:sz w:val="18"/>
                      <w:szCs w:val="18"/>
                    </w:rPr>
                  </w:pPr>
                  <w:r>
                    <w:rPr>
                      <w:bCs/>
                      <w:color w:val="auto"/>
                      <w:sz w:val="18"/>
                      <w:szCs w:val="18"/>
                    </w:rPr>
                    <w:t>0.0002</w:t>
                  </w:r>
                </w:p>
              </w:tc>
              <w:tc>
                <w:tcPr>
                  <w:tcW w:w="1947" w:type="dxa"/>
                  <w:vAlign w:val="center"/>
                </w:tcPr>
                <w:p>
                  <w:pPr>
                    <w:jc w:val="center"/>
                    <w:rPr>
                      <w:color w:val="auto"/>
                      <w:sz w:val="18"/>
                      <w:szCs w:val="18"/>
                    </w:rPr>
                  </w:pPr>
                  <w:r>
                    <w:rPr>
                      <w:bCs/>
                      <w:color w:val="auto"/>
                      <w:sz w:val="18"/>
                      <w:szCs w:val="18"/>
                    </w:rPr>
                    <w:t>0.0002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continue"/>
                  <w:vAlign w:val="center"/>
                </w:tcPr>
                <w:p>
                  <w:pPr>
                    <w:overflowPunct w:val="0"/>
                    <w:autoSpaceDE w:val="0"/>
                    <w:autoSpaceDN w:val="0"/>
                    <w:adjustRightInd w:val="0"/>
                    <w:snapToGrid w:val="0"/>
                    <w:jc w:val="center"/>
                    <w:rPr>
                      <w:color w:val="auto"/>
                      <w:sz w:val="18"/>
                      <w:szCs w:val="18"/>
                    </w:rPr>
                  </w:pPr>
                </w:p>
              </w:tc>
              <w:tc>
                <w:tcPr>
                  <w:tcW w:w="900" w:type="pct"/>
                  <w:vAlign w:val="center"/>
                </w:tcPr>
                <w:p>
                  <w:pPr>
                    <w:adjustRightInd w:val="0"/>
                    <w:snapToGrid w:val="0"/>
                    <w:jc w:val="center"/>
                    <w:rPr>
                      <w:color w:val="auto"/>
                      <w:sz w:val="18"/>
                      <w:szCs w:val="18"/>
                    </w:rPr>
                  </w:pPr>
                  <w:r>
                    <w:rPr>
                      <w:color w:val="auto"/>
                      <w:sz w:val="18"/>
                      <w:szCs w:val="18"/>
                    </w:rPr>
                    <w:t>无组织</w:t>
                  </w:r>
                </w:p>
              </w:tc>
              <w:tc>
                <w:tcPr>
                  <w:tcW w:w="1309" w:type="pct"/>
                  <w:vAlign w:val="center"/>
                </w:tcPr>
                <w:p>
                  <w:pPr>
                    <w:adjustRightInd w:val="0"/>
                    <w:snapToGrid w:val="0"/>
                    <w:jc w:val="center"/>
                    <w:rPr>
                      <w:b/>
                      <w:bCs/>
                      <w:color w:val="auto"/>
                      <w:sz w:val="18"/>
                      <w:szCs w:val="18"/>
                    </w:rPr>
                  </w:pPr>
                  <w:r>
                    <w:rPr>
                      <w:color w:val="auto"/>
                      <w:sz w:val="18"/>
                      <w:szCs w:val="18"/>
                    </w:rPr>
                    <w:t>非甲烷总烃</w:t>
                  </w:r>
                </w:p>
              </w:tc>
              <w:tc>
                <w:tcPr>
                  <w:tcW w:w="1047" w:type="pct"/>
                  <w:vAlign w:val="center"/>
                </w:tcPr>
                <w:p>
                  <w:pPr>
                    <w:adjustRightInd w:val="0"/>
                    <w:snapToGrid w:val="0"/>
                    <w:jc w:val="center"/>
                    <w:rPr>
                      <w:color w:val="auto"/>
                      <w:sz w:val="18"/>
                      <w:szCs w:val="18"/>
                    </w:rPr>
                  </w:pPr>
                  <w:r>
                    <w:rPr>
                      <w:bCs/>
                      <w:color w:val="auto"/>
                      <w:sz w:val="18"/>
                      <w:szCs w:val="18"/>
                    </w:rPr>
                    <w:t>0.004</w:t>
                  </w:r>
                </w:p>
              </w:tc>
              <w:tc>
                <w:tcPr>
                  <w:tcW w:w="1947" w:type="dxa"/>
                  <w:vAlign w:val="center"/>
                </w:tcPr>
                <w:p>
                  <w:pPr>
                    <w:adjustRightInd w:val="0"/>
                    <w:snapToGrid w:val="0"/>
                    <w:jc w:val="center"/>
                    <w:rPr>
                      <w:color w:val="auto"/>
                      <w:sz w:val="18"/>
                      <w:szCs w:val="18"/>
                    </w:rPr>
                  </w:pPr>
                  <w:r>
                    <w:rPr>
                      <w:bCs/>
                      <w:color w:val="auto"/>
                      <w:sz w:val="18"/>
                      <w:szCs w:val="18"/>
                    </w:rPr>
                    <w:t>0.004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restart"/>
                  <w:vAlign w:val="center"/>
                </w:tcPr>
                <w:p>
                  <w:pPr>
                    <w:overflowPunct w:val="0"/>
                    <w:autoSpaceDE w:val="0"/>
                    <w:autoSpaceDN w:val="0"/>
                    <w:adjustRightInd w:val="0"/>
                    <w:snapToGrid w:val="0"/>
                    <w:jc w:val="center"/>
                    <w:rPr>
                      <w:color w:val="auto"/>
                      <w:sz w:val="18"/>
                      <w:szCs w:val="18"/>
                    </w:rPr>
                  </w:pPr>
                  <w:r>
                    <w:rPr>
                      <w:color w:val="auto"/>
                      <w:sz w:val="18"/>
                      <w:szCs w:val="18"/>
                    </w:rPr>
                    <w:t>废水</w:t>
                  </w:r>
                </w:p>
              </w:tc>
              <w:tc>
                <w:tcPr>
                  <w:tcW w:w="2209" w:type="pct"/>
                  <w:gridSpan w:val="2"/>
                  <w:vAlign w:val="center"/>
                </w:tcPr>
                <w:p>
                  <w:pPr>
                    <w:jc w:val="center"/>
                    <w:rPr>
                      <w:color w:val="auto"/>
                      <w:sz w:val="18"/>
                      <w:szCs w:val="18"/>
                    </w:rPr>
                  </w:pPr>
                  <w:r>
                    <w:rPr>
                      <w:color w:val="auto"/>
                      <w:sz w:val="18"/>
                      <w:szCs w:val="18"/>
                    </w:rPr>
                    <w:t>废水量</w:t>
                  </w:r>
                </w:p>
              </w:tc>
              <w:tc>
                <w:tcPr>
                  <w:tcW w:w="1951" w:type="dxa"/>
                  <w:vAlign w:val="center"/>
                </w:tcPr>
                <w:p>
                  <w:pPr>
                    <w:jc w:val="center"/>
                    <w:rPr>
                      <w:color w:val="auto"/>
                      <w:sz w:val="18"/>
                      <w:szCs w:val="18"/>
                    </w:rPr>
                  </w:pPr>
                  <w:r>
                    <w:rPr>
                      <w:color w:val="auto"/>
                      <w:sz w:val="18"/>
                      <w:szCs w:val="18"/>
                    </w:rPr>
                    <w:t>191</w:t>
                  </w:r>
                </w:p>
              </w:tc>
              <w:tc>
                <w:tcPr>
                  <w:tcW w:w="1949" w:type="dxa"/>
                  <w:vAlign w:val="center"/>
                </w:tcPr>
                <w:p>
                  <w:pPr>
                    <w:jc w:val="center"/>
                    <w:rPr>
                      <w:color w:val="auto"/>
                      <w:sz w:val="18"/>
                      <w:szCs w:val="18"/>
                    </w:rPr>
                  </w:pPr>
                  <w:r>
                    <w:rPr>
                      <w:color w:val="auto"/>
                      <w:sz w:val="18"/>
                      <w:szCs w:val="18"/>
                    </w:rPr>
                    <w:t>191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continue"/>
                  <w:vAlign w:val="center"/>
                </w:tcPr>
                <w:p>
                  <w:pPr>
                    <w:overflowPunct w:val="0"/>
                    <w:autoSpaceDE w:val="0"/>
                    <w:autoSpaceDN w:val="0"/>
                    <w:adjustRightInd w:val="0"/>
                    <w:snapToGrid w:val="0"/>
                    <w:jc w:val="center"/>
                    <w:rPr>
                      <w:color w:val="auto"/>
                      <w:sz w:val="18"/>
                      <w:szCs w:val="18"/>
                    </w:rPr>
                  </w:pPr>
                </w:p>
              </w:tc>
              <w:tc>
                <w:tcPr>
                  <w:tcW w:w="2209" w:type="pct"/>
                  <w:gridSpan w:val="2"/>
                  <w:vAlign w:val="center"/>
                </w:tcPr>
                <w:p>
                  <w:pPr>
                    <w:jc w:val="center"/>
                    <w:rPr>
                      <w:color w:val="auto"/>
                      <w:sz w:val="18"/>
                      <w:szCs w:val="18"/>
                    </w:rPr>
                  </w:pPr>
                  <w:r>
                    <w:rPr>
                      <w:color w:val="auto"/>
                      <w:sz w:val="18"/>
                      <w:szCs w:val="18"/>
                    </w:rPr>
                    <w:t>COD</w:t>
                  </w:r>
                </w:p>
              </w:tc>
              <w:tc>
                <w:tcPr>
                  <w:tcW w:w="1951" w:type="dxa"/>
                  <w:vAlign w:val="center"/>
                </w:tcPr>
                <w:p>
                  <w:pPr>
                    <w:jc w:val="center"/>
                    <w:rPr>
                      <w:color w:val="auto"/>
                      <w:sz w:val="18"/>
                      <w:szCs w:val="18"/>
                    </w:rPr>
                  </w:pPr>
                  <w:r>
                    <w:rPr>
                      <w:color w:val="auto"/>
                      <w:sz w:val="18"/>
                      <w:szCs w:val="18"/>
                    </w:rPr>
                    <w:t>0.076</w:t>
                  </w:r>
                </w:p>
              </w:tc>
              <w:tc>
                <w:tcPr>
                  <w:tcW w:w="1949" w:type="dxa"/>
                  <w:vAlign w:val="center"/>
                </w:tcPr>
                <w:p>
                  <w:pPr>
                    <w:jc w:val="center"/>
                    <w:rPr>
                      <w:color w:val="auto"/>
                      <w:sz w:val="18"/>
                      <w:szCs w:val="18"/>
                    </w:rPr>
                  </w:pPr>
                  <w:r>
                    <w:rPr>
                      <w:color w:val="auto"/>
                      <w:sz w:val="18"/>
                      <w:szCs w:val="18"/>
                    </w:rPr>
                    <w:t>0.076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continue"/>
                  <w:vAlign w:val="center"/>
                </w:tcPr>
                <w:p>
                  <w:pPr>
                    <w:overflowPunct w:val="0"/>
                    <w:autoSpaceDE w:val="0"/>
                    <w:autoSpaceDN w:val="0"/>
                    <w:adjustRightInd w:val="0"/>
                    <w:snapToGrid w:val="0"/>
                    <w:jc w:val="center"/>
                    <w:rPr>
                      <w:color w:val="auto"/>
                      <w:sz w:val="18"/>
                      <w:szCs w:val="18"/>
                    </w:rPr>
                  </w:pPr>
                </w:p>
              </w:tc>
              <w:tc>
                <w:tcPr>
                  <w:tcW w:w="2209" w:type="pct"/>
                  <w:gridSpan w:val="2"/>
                  <w:vAlign w:val="center"/>
                </w:tcPr>
                <w:p>
                  <w:pPr>
                    <w:jc w:val="center"/>
                    <w:rPr>
                      <w:color w:val="auto"/>
                      <w:sz w:val="18"/>
                      <w:szCs w:val="18"/>
                    </w:rPr>
                  </w:pPr>
                  <w:r>
                    <w:rPr>
                      <w:color w:val="auto"/>
                      <w:sz w:val="18"/>
                      <w:szCs w:val="18"/>
                    </w:rPr>
                    <w:t>SS</w:t>
                  </w:r>
                </w:p>
              </w:tc>
              <w:tc>
                <w:tcPr>
                  <w:tcW w:w="1951" w:type="dxa"/>
                  <w:vAlign w:val="center"/>
                </w:tcPr>
                <w:p>
                  <w:pPr>
                    <w:jc w:val="center"/>
                    <w:rPr>
                      <w:color w:val="auto"/>
                      <w:sz w:val="18"/>
                      <w:szCs w:val="18"/>
                    </w:rPr>
                  </w:pPr>
                  <w:r>
                    <w:rPr>
                      <w:color w:val="auto"/>
                      <w:sz w:val="18"/>
                      <w:szCs w:val="18"/>
                    </w:rPr>
                    <w:t>0.038</w:t>
                  </w:r>
                </w:p>
              </w:tc>
              <w:tc>
                <w:tcPr>
                  <w:tcW w:w="1949" w:type="dxa"/>
                  <w:vAlign w:val="center"/>
                </w:tcPr>
                <w:p>
                  <w:pPr>
                    <w:jc w:val="center"/>
                    <w:rPr>
                      <w:color w:val="auto"/>
                      <w:sz w:val="18"/>
                      <w:szCs w:val="18"/>
                    </w:rPr>
                  </w:pPr>
                  <w:r>
                    <w:rPr>
                      <w:color w:val="auto"/>
                      <w:sz w:val="18"/>
                      <w:szCs w:val="18"/>
                    </w:rPr>
                    <w:t>0.038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continue"/>
                  <w:vAlign w:val="center"/>
                </w:tcPr>
                <w:p>
                  <w:pPr>
                    <w:overflowPunct w:val="0"/>
                    <w:autoSpaceDE w:val="0"/>
                    <w:autoSpaceDN w:val="0"/>
                    <w:adjustRightInd w:val="0"/>
                    <w:snapToGrid w:val="0"/>
                    <w:jc w:val="center"/>
                    <w:rPr>
                      <w:color w:val="auto"/>
                      <w:sz w:val="18"/>
                      <w:szCs w:val="18"/>
                    </w:rPr>
                  </w:pPr>
                </w:p>
              </w:tc>
              <w:tc>
                <w:tcPr>
                  <w:tcW w:w="2209" w:type="pct"/>
                  <w:gridSpan w:val="2"/>
                  <w:vAlign w:val="center"/>
                </w:tcPr>
                <w:p>
                  <w:pPr>
                    <w:jc w:val="center"/>
                    <w:rPr>
                      <w:color w:val="auto"/>
                      <w:sz w:val="18"/>
                      <w:szCs w:val="18"/>
                    </w:rPr>
                  </w:pPr>
                  <w:r>
                    <w:rPr>
                      <w:color w:val="auto"/>
                      <w:sz w:val="18"/>
                      <w:szCs w:val="18"/>
                    </w:rPr>
                    <w:t>氨氮</w:t>
                  </w:r>
                </w:p>
              </w:tc>
              <w:tc>
                <w:tcPr>
                  <w:tcW w:w="1951" w:type="dxa"/>
                  <w:vAlign w:val="center"/>
                </w:tcPr>
                <w:p>
                  <w:pPr>
                    <w:jc w:val="center"/>
                    <w:rPr>
                      <w:color w:val="auto"/>
                      <w:sz w:val="18"/>
                      <w:szCs w:val="18"/>
                    </w:rPr>
                  </w:pPr>
                  <w:r>
                    <w:rPr>
                      <w:color w:val="auto"/>
                      <w:sz w:val="18"/>
                      <w:szCs w:val="18"/>
                    </w:rPr>
                    <w:t>0.0048</w:t>
                  </w:r>
                </w:p>
              </w:tc>
              <w:tc>
                <w:tcPr>
                  <w:tcW w:w="1949" w:type="dxa"/>
                  <w:vAlign w:val="center"/>
                </w:tcPr>
                <w:p>
                  <w:pPr>
                    <w:jc w:val="center"/>
                    <w:rPr>
                      <w:color w:val="auto"/>
                      <w:sz w:val="18"/>
                      <w:szCs w:val="18"/>
                    </w:rPr>
                  </w:pPr>
                  <w:r>
                    <w:rPr>
                      <w:color w:val="auto"/>
                      <w:sz w:val="18"/>
                      <w:szCs w:val="18"/>
                    </w:rPr>
                    <w:t>0.0048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continue"/>
                  <w:vAlign w:val="center"/>
                </w:tcPr>
                <w:p>
                  <w:pPr>
                    <w:overflowPunct w:val="0"/>
                    <w:autoSpaceDE w:val="0"/>
                    <w:autoSpaceDN w:val="0"/>
                    <w:adjustRightInd w:val="0"/>
                    <w:snapToGrid w:val="0"/>
                    <w:jc w:val="center"/>
                    <w:rPr>
                      <w:color w:val="auto"/>
                      <w:sz w:val="18"/>
                      <w:szCs w:val="18"/>
                    </w:rPr>
                  </w:pPr>
                </w:p>
              </w:tc>
              <w:tc>
                <w:tcPr>
                  <w:tcW w:w="2209" w:type="pct"/>
                  <w:gridSpan w:val="2"/>
                  <w:vAlign w:val="center"/>
                </w:tcPr>
                <w:p>
                  <w:pPr>
                    <w:jc w:val="center"/>
                    <w:rPr>
                      <w:color w:val="auto"/>
                      <w:sz w:val="18"/>
                      <w:szCs w:val="18"/>
                    </w:rPr>
                  </w:pPr>
                  <w:r>
                    <w:rPr>
                      <w:color w:val="auto"/>
                      <w:sz w:val="18"/>
                      <w:szCs w:val="18"/>
                    </w:rPr>
                    <w:t>总氮</w:t>
                  </w:r>
                </w:p>
              </w:tc>
              <w:tc>
                <w:tcPr>
                  <w:tcW w:w="1951" w:type="dxa"/>
                  <w:vAlign w:val="center"/>
                </w:tcPr>
                <w:p>
                  <w:pPr>
                    <w:jc w:val="center"/>
                    <w:rPr>
                      <w:color w:val="auto"/>
                      <w:sz w:val="18"/>
                      <w:szCs w:val="18"/>
                    </w:rPr>
                  </w:pPr>
                  <w:r>
                    <w:rPr>
                      <w:color w:val="auto"/>
                      <w:sz w:val="18"/>
                      <w:szCs w:val="18"/>
                    </w:rPr>
                    <w:t>0.0067</w:t>
                  </w:r>
                </w:p>
              </w:tc>
              <w:tc>
                <w:tcPr>
                  <w:tcW w:w="1949" w:type="dxa"/>
                  <w:vAlign w:val="center"/>
                </w:tcPr>
                <w:p>
                  <w:pPr>
                    <w:jc w:val="center"/>
                    <w:rPr>
                      <w:color w:val="auto"/>
                      <w:sz w:val="18"/>
                      <w:szCs w:val="18"/>
                    </w:rPr>
                  </w:pPr>
                  <w:r>
                    <w:rPr>
                      <w:color w:val="auto"/>
                      <w:sz w:val="18"/>
                      <w:szCs w:val="18"/>
                    </w:rPr>
                    <w:t>0.0067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continue"/>
                  <w:vAlign w:val="center"/>
                </w:tcPr>
                <w:p>
                  <w:pPr>
                    <w:overflowPunct w:val="0"/>
                    <w:autoSpaceDE w:val="0"/>
                    <w:autoSpaceDN w:val="0"/>
                    <w:adjustRightInd w:val="0"/>
                    <w:snapToGrid w:val="0"/>
                    <w:jc w:val="center"/>
                    <w:rPr>
                      <w:color w:val="auto"/>
                      <w:sz w:val="18"/>
                      <w:szCs w:val="18"/>
                    </w:rPr>
                  </w:pPr>
                </w:p>
              </w:tc>
              <w:tc>
                <w:tcPr>
                  <w:tcW w:w="2209" w:type="pct"/>
                  <w:gridSpan w:val="2"/>
                  <w:vAlign w:val="center"/>
                </w:tcPr>
                <w:p>
                  <w:pPr>
                    <w:jc w:val="center"/>
                    <w:rPr>
                      <w:color w:val="auto"/>
                      <w:sz w:val="18"/>
                      <w:szCs w:val="18"/>
                    </w:rPr>
                  </w:pPr>
                  <w:r>
                    <w:rPr>
                      <w:color w:val="auto"/>
                      <w:sz w:val="18"/>
                      <w:szCs w:val="18"/>
                    </w:rPr>
                    <w:t>总磷</w:t>
                  </w:r>
                </w:p>
              </w:tc>
              <w:tc>
                <w:tcPr>
                  <w:tcW w:w="1951" w:type="dxa"/>
                  <w:vAlign w:val="center"/>
                </w:tcPr>
                <w:p>
                  <w:pPr>
                    <w:jc w:val="center"/>
                    <w:rPr>
                      <w:color w:val="auto"/>
                      <w:sz w:val="18"/>
                      <w:szCs w:val="18"/>
                    </w:rPr>
                  </w:pPr>
                  <w:r>
                    <w:rPr>
                      <w:color w:val="auto"/>
                      <w:sz w:val="18"/>
                      <w:szCs w:val="18"/>
                    </w:rPr>
                    <w:t>0.0008</w:t>
                  </w:r>
                </w:p>
              </w:tc>
              <w:tc>
                <w:tcPr>
                  <w:tcW w:w="1949" w:type="dxa"/>
                  <w:vAlign w:val="center"/>
                </w:tcPr>
                <w:p>
                  <w:pPr>
                    <w:jc w:val="center"/>
                    <w:rPr>
                      <w:color w:val="auto"/>
                      <w:sz w:val="18"/>
                      <w:szCs w:val="18"/>
                    </w:rPr>
                  </w:pPr>
                  <w:r>
                    <w:rPr>
                      <w:color w:val="auto"/>
                      <w:sz w:val="18"/>
                      <w:szCs w:val="18"/>
                    </w:rPr>
                    <w:t>0.0008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restart"/>
                  <w:vAlign w:val="center"/>
                </w:tcPr>
                <w:p>
                  <w:pPr>
                    <w:overflowPunct w:val="0"/>
                    <w:autoSpaceDE w:val="0"/>
                    <w:autoSpaceDN w:val="0"/>
                    <w:adjustRightInd w:val="0"/>
                    <w:snapToGrid w:val="0"/>
                    <w:jc w:val="center"/>
                    <w:rPr>
                      <w:color w:val="auto"/>
                      <w:sz w:val="18"/>
                      <w:szCs w:val="18"/>
                    </w:rPr>
                  </w:pPr>
                  <w:r>
                    <w:rPr>
                      <w:color w:val="auto"/>
                      <w:sz w:val="18"/>
                      <w:szCs w:val="18"/>
                    </w:rPr>
                    <w:t>固废</w:t>
                  </w:r>
                </w:p>
              </w:tc>
              <w:tc>
                <w:tcPr>
                  <w:tcW w:w="2209" w:type="pct"/>
                  <w:gridSpan w:val="2"/>
                  <w:vAlign w:val="center"/>
                </w:tcPr>
                <w:p>
                  <w:pPr>
                    <w:adjustRightInd w:val="0"/>
                    <w:snapToGrid w:val="0"/>
                    <w:jc w:val="center"/>
                    <w:rPr>
                      <w:color w:val="auto"/>
                      <w:sz w:val="18"/>
                      <w:szCs w:val="18"/>
                    </w:rPr>
                  </w:pPr>
                  <w:r>
                    <w:rPr>
                      <w:color w:val="auto"/>
                      <w:sz w:val="18"/>
                      <w:szCs w:val="18"/>
                    </w:rPr>
                    <w:t>危险废物</w:t>
                  </w:r>
                </w:p>
              </w:tc>
              <w:tc>
                <w:tcPr>
                  <w:tcW w:w="1047" w:type="pct"/>
                  <w:vAlign w:val="center"/>
                </w:tcPr>
                <w:p>
                  <w:pPr>
                    <w:adjustRightInd w:val="0"/>
                    <w:snapToGrid w:val="0"/>
                    <w:jc w:val="center"/>
                    <w:rPr>
                      <w:color w:val="auto"/>
                      <w:sz w:val="18"/>
                      <w:szCs w:val="18"/>
                    </w:rPr>
                  </w:pPr>
                  <w:r>
                    <w:rPr>
                      <w:color w:val="auto"/>
                      <w:sz w:val="18"/>
                      <w:szCs w:val="18"/>
                    </w:rPr>
                    <w:t>0</w:t>
                  </w:r>
                </w:p>
              </w:tc>
              <w:tc>
                <w:tcPr>
                  <w:tcW w:w="1046" w:type="pct"/>
                  <w:vAlign w:val="center"/>
                </w:tcPr>
                <w:p>
                  <w:pPr>
                    <w:adjustRightInd w:val="0"/>
                    <w:snapToGrid w:val="0"/>
                    <w:jc w:val="center"/>
                    <w:rPr>
                      <w:color w:val="auto"/>
                      <w:sz w:val="18"/>
                      <w:szCs w:val="18"/>
                    </w:rPr>
                  </w:pPr>
                  <w:r>
                    <w:rPr>
                      <w:color w:val="auto"/>
                      <w:sz w:val="18"/>
                      <w:szCs w:val="18"/>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continue"/>
                  <w:vAlign w:val="center"/>
                </w:tcPr>
                <w:p>
                  <w:pPr>
                    <w:overflowPunct w:val="0"/>
                    <w:autoSpaceDE w:val="0"/>
                    <w:autoSpaceDN w:val="0"/>
                    <w:adjustRightInd w:val="0"/>
                    <w:snapToGrid w:val="0"/>
                    <w:jc w:val="center"/>
                    <w:rPr>
                      <w:color w:val="auto"/>
                      <w:sz w:val="18"/>
                      <w:szCs w:val="18"/>
                    </w:rPr>
                  </w:pPr>
                </w:p>
              </w:tc>
              <w:tc>
                <w:tcPr>
                  <w:tcW w:w="2209" w:type="pct"/>
                  <w:gridSpan w:val="2"/>
                  <w:vAlign w:val="center"/>
                </w:tcPr>
                <w:p>
                  <w:pPr>
                    <w:adjustRightInd w:val="0"/>
                    <w:snapToGrid w:val="0"/>
                    <w:jc w:val="center"/>
                    <w:rPr>
                      <w:color w:val="auto"/>
                      <w:sz w:val="18"/>
                      <w:szCs w:val="18"/>
                    </w:rPr>
                  </w:pPr>
                  <w:r>
                    <w:rPr>
                      <w:color w:val="auto"/>
                      <w:sz w:val="18"/>
                      <w:szCs w:val="18"/>
                    </w:rPr>
                    <w:t>一般固废</w:t>
                  </w:r>
                </w:p>
              </w:tc>
              <w:tc>
                <w:tcPr>
                  <w:tcW w:w="1047" w:type="pct"/>
                  <w:vAlign w:val="center"/>
                </w:tcPr>
                <w:p>
                  <w:pPr>
                    <w:adjustRightInd w:val="0"/>
                    <w:snapToGrid w:val="0"/>
                    <w:jc w:val="center"/>
                    <w:rPr>
                      <w:color w:val="auto"/>
                      <w:sz w:val="18"/>
                      <w:szCs w:val="18"/>
                    </w:rPr>
                  </w:pPr>
                  <w:r>
                    <w:rPr>
                      <w:color w:val="auto"/>
                      <w:sz w:val="18"/>
                      <w:szCs w:val="18"/>
                    </w:rPr>
                    <w:t>0</w:t>
                  </w:r>
                </w:p>
              </w:tc>
              <w:tc>
                <w:tcPr>
                  <w:tcW w:w="1046" w:type="pct"/>
                  <w:vAlign w:val="center"/>
                </w:tcPr>
                <w:p>
                  <w:pPr>
                    <w:adjustRightInd w:val="0"/>
                    <w:snapToGrid w:val="0"/>
                    <w:jc w:val="center"/>
                    <w:rPr>
                      <w:color w:val="auto"/>
                      <w:sz w:val="18"/>
                      <w:szCs w:val="18"/>
                    </w:rPr>
                  </w:pPr>
                  <w:r>
                    <w:rPr>
                      <w:color w:val="auto"/>
                      <w:sz w:val="18"/>
                      <w:szCs w:val="18"/>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697" w:type="pct"/>
                  <w:vMerge w:val="continue"/>
                  <w:vAlign w:val="center"/>
                </w:tcPr>
                <w:p>
                  <w:pPr>
                    <w:overflowPunct w:val="0"/>
                    <w:autoSpaceDE w:val="0"/>
                    <w:autoSpaceDN w:val="0"/>
                    <w:adjustRightInd w:val="0"/>
                    <w:snapToGrid w:val="0"/>
                    <w:jc w:val="center"/>
                    <w:rPr>
                      <w:color w:val="auto"/>
                      <w:sz w:val="18"/>
                      <w:szCs w:val="18"/>
                    </w:rPr>
                  </w:pPr>
                </w:p>
              </w:tc>
              <w:tc>
                <w:tcPr>
                  <w:tcW w:w="2209" w:type="pct"/>
                  <w:gridSpan w:val="2"/>
                  <w:vAlign w:val="center"/>
                </w:tcPr>
                <w:p>
                  <w:pPr>
                    <w:adjustRightInd w:val="0"/>
                    <w:snapToGrid w:val="0"/>
                    <w:jc w:val="center"/>
                    <w:rPr>
                      <w:color w:val="auto"/>
                      <w:sz w:val="18"/>
                      <w:szCs w:val="18"/>
                    </w:rPr>
                  </w:pPr>
                  <w:r>
                    <w:rPr>
                      <w:color w:val="auto"/>
                      <w:sz w:val="18"/>
                      <w:szCs w:val="18"/>
                    </w:rPr>
                    <w:t>生活垃圾</w:t>
                  </w:r>
                </w:p>
              </w:tc>
              <w:tc>
                <w:tcPr>
                  <w:tcW w:w="1047" w:type="pct"/>
                  <w:vAlign w:val="center"/>
                </w:tcPr>
                <w:p>
                  <w:pPr>
                    <w:adjustRightInd w:val="0"/>
                    <w:snapToGrid w:val="0"/>
                    <w:jc w:val="center"/>
                    <w:rPr>
                      <w:color w:val="auto"/>
                      <w:sz w:val="18"/>
                      <w:szCs w:val="18"/>
                    </w:rPr>
                  </w:pPr>
                  <w:r>
                    <w:rPr>
                      <w:color w:val="auto"/>
                      <w:sz w:val="18"/>
                      <w:szCs w:val="18"/>
                    </w:rPr>
                    <w:t>0</w:t>
                  </w:r>
                </w:p>
              </w:tc>
              <w:tc>
                <w:tcPr>
                  <w:tcW w:w="1046" w:type="pct"/>
                  <w:vAlign w:val="center"/>
                </w:tcPr>
                <w:p>
                  <w:pPr>
                    <w:adjustRightInd w:val="0"/>
                    <w:snapToGrid w:val="0"/>
                    <w:jc w:val="center"/>
                    <w:rPr>
                      <w:color w:val="auto"/>
                      <w:sz w:val="18"/>
                      <w:szCs w:val="18"/>
                    </w:rPr>
                  </w:pPr>
                  <w:r>
                    <w:rPr>
                      <w:color w:val="auto"/>
                      <w:sz w:val="18"/>
                      <w:szCs w:val="18"/>
                    </w:rPr>
                    <w:t>0</w:t>
                  </w:r>
                </w:p>
              </w:tc>
            </w:tr>
          </w:tbl>
          <w:p>
            <w:pPr>
              <w:snapToGrid w:val="0"/>
              <w:spacing w:before="120" w:beforeLines="50" w:line="360" w:lineRule="auto"/>
              <w:ind w:firstLine="422" w:firstLineChars="200"/>
              <w:rPr>
                <w:b/>
                <w:bCs/>
                <w:color w:val="auto"/>
                <w:szCs w:val="21"/>
              </w:rPr>
            </w:pPr>
            <w:r>
              <w:rPr>
                <w:b/>
                <w:bCs/>
                <w:color w:val="auto"/>
                <w:szCs w:val="21"/>
              </w:rPr>
              <w:t>五、现有项目存在的环保问题及解决方案</w:t>
            </w:r>
          </w:p>
          <w:p>
            <w:pPr>
              <w:adjustRightInd w:val="0"/>
              <w:snapToGrid w:val="0"/>
              <w:spacing w:line="360" w:lineRule="auto"/>
              <w:ind w:firstLine="420" w:firstLineChars="200"/>
              <w:rPr>
                <w:color w:val="auto"/>
              </w:rPr>
            </w:pPr>
            <w:r>
              <w:rPr>
                <w:color w:val="auto"/>
                <w:szCs w:val="21"/>
              </w:rPr>
              <w:t>企业现有项目已履行了环评和环保竣工验收手续，目前各类环保设施运行正常，各项污染物达标排放，符合当地环保部门的管理要求，到目前为止，未发生过环境污染事故。</w:t>
            </w:r>
          </w:p>
          <w:p>
            <w:pPr>
              <w:snapToGrid w:val="0"/>
              <w:spacing w:before="120" w:beforeLines="50" w:line="360" w:lineRule="auto"/>
              <w:ind w:firstLine="422" w:firstLineChars="200"/>
              <w:rPr>
                <w:b/>
                <w:bCs/>
                <w:color w:val="auto"/>
                <w:szCs w:val="21"/>
              </w:rPr>
            </w:pPr>
            <w:r>
              <w:rPr>
                <w:rFonts w:hint="eastAsia"/>
                <w:b/>
                <w:bCs/>
                <w:color w:val="auto"/>
                <w:szCs w:val="21"/>
              </w:rPr>
              <w:t>六</w:t>
            </w:r>
            <w:r>
              <w:rPr>
                <w:b/>
                <w:bCs/>
                <w:color w:val="auto"/>
                <w:szCs w:val="21"/>
              </w:rPr>
              <w:t>、</w:t>
            </w:r>
            <w:r>
              <w:rPr>
                <w:rFonts w:hint="eastAsia"/>
                <w:b/>
                <w:bCs/>
                <w:color w:val="auto"/>
                <w:szCs w:val="21"/>
              </w:rPr>
              <w:t>搬迁过程中污染防治措施与要求</w:t>
            </w:r>
          </w:p>
          <w:p>
            <w:pPr>
              <w:adjustRightInd w:val="0"/>
              <w:snapToGrid w:val="0"/>
              <w:spacing w:line="360" w:lineRule="auto"/>
              <w:ind w:firstLine="420" w:firstLineChars="200"/>
              <w:rPr>
                <w:color w:val="auto"/>
                <w:szCs w:val="21"/>
              </w:rPr>
            </w:pPr>
            <w:r>
              <w:rPr>
                <w:rFonts w:hint="eastAsia"/>
                <w:color w:val="auto"/>
                <w:szCs w:val="21"/>
              </w:rPr>
              <w:t>企业原项目搬迁后须对现有厂区彻底清理，部分淘汰的办厂房公用品等外售给物资回收公司，一般废物由环卫部门收集处理；企业必须将所有可能产生的环境问题进行合理处理或处置，不得在原址遗留环境问题，如若搬迁后发现有企业遗留的环境问题，则应负责清除。原项目搬迁涉及面广，各部门必须相互配合，加强管理，确保搬迁处置安全，防止污染和危险事故的发生，确保搬迁工作周密、细致、顺利、安全的进行。</w:t>
            </w:r>
          </w:p>
          <w:p>
            <w:pPr>
              <w:adjustRightInd w:val="0"/>
              <w:snapToGrid w:val="0"/>
              <w:spacing w:line="360" w:lineRule="auto"/>
              <w:ind w:firstLine="420" w:firstLineChars="200"/>
              <w:rPr>
                <w:color w:val="auto"/>
                <w:szCs w:val="21"/>
              </w:rPr>
            </w:pPr>
            <w:r>
              <w:rPr>
                <w:rFonts w:hint="eastAsia"/>
                <w:color w:val="auto"/>
                <w:szCs w:val="21"/>
              </w:rPr>
              <w:t>根据《关于加强工业企业关停、搬迁及原址场地再开发利用过程中污染防治工作的通知》(环发[2014] 66号)、《企业拆除活动污染防治技术规定(试行)》(环保部2017年第78 号公告)要求，企业搬迁时应注意以下内容，并做好相关污染防治措施：</w:t>
            </w:r>
          </w:p>
          <w:p>
            <w:pPr>
              <w:adjustRightInd w:val="0"/>
              <w:snapToGrid w:val="0"/>
              <w:spacing w:line="360" w:lineRule="auto"/>
              <w:ind w:firstLine="420" w:firstLineChars="200"/>
              <w:rPr>
                <w:color w:val="auto"/>
                <w:szCs w:val="21"/>
              </w:rPr>
            </w:pPr>
            <w:r>
              <w:rPr>
                <w:rFonts w:hint="eastAsia"/>
                <w:color w:val="auto"/>
                <w:szCs w:val="21"/>
              </w:rPr>
              <w:t>（1）遗留物料及残留污染物清理和安全处置</w:t>
            </w:r>
          </w:p>
          <w:p>
            <w:pPr>
              <w:adjustRightInd w:val="0"/>
              <w:snapToGrid w:val="0"/>
              <w:spacing w:line="360" w:lineRule="auto"/>
              <w:ind w:firstLine="420" w:firstLineChars="200"/>
              <w:rPr>
                <w:color w:val="auto"/>
                <w:szCs w:val="21"/>
              </w:rPr>
            </w:pPr>
            <w:r>
              <w:rPr>
                <w:rFonts w:hint="eastAsia"/>
                <w:color w:val="auto"/>
                <w:szCs w:val="21"/>
              </w:rPr>
              <w:t>现有项目位于太仓经济开发区兴业南路 11 号16 栋，主要生产橡胶件产品，使用原辅材料无毒、无害、无致癌性。搬迁过程中应对厂区内废活性炭等危废集中收集暂存在集中收集后暂存在吨袋/吨桶内，委托有资质的危废单位处理。</w:t>
            </w:r>
          </w:p>
          <w:p>
            <w:pPr>
              <w:adjustRightInd w:val="0"/>
              <w:snapToGrid w:val="0"/>
              <w:spacing w:line="360" w:lineRule="auto"/>
              <w:ind w:firstLine="420" w:firstLineChars="200"/>
              <w:rPr>
                <w:color w:val="auto"/>
                <w:szCs w:val="21"/>
              </w:rPr>
            </w:pPr>
            <w:r>
              <w:rPr>
                <w:rFonts w:hint="eastAsia"/>
                <w:color w:val="auto"/>
                <w:szCs w:val="21"/>
              </w:rPr>
              <w:t>（2）拆除过程中污染防治措施</w:t>
            </w:r>
          </w:p>
          <w:p>
            <w:pPr>
              <w:adjustRightInd w:val="0"/>
              <w:snapToGrid w:val="0"/>
              <w:spacing w:line="360" w:lineRule="auto"/>
              <w:ind w:firstLine="420" w:firstLineChars="200"/>
              <w:rPr>
                <w:color w:val="auto"/>
                <w:szCs w:val="21"/>
              </w:rPr>
            </w:pPr>
            <w:r>
              <w:rPr>
                <w:rFonts w:hint="eastAsia"/>
                <w:color w:val="auto"/>
                <w:szCs w:val="21"/>
              </w:rPr>
              <w:t>废气：企业拆除过程大气污染源主要是设备拆除及运输车辆等所引起的扬尘，将造成局部环境的空气污染。污染尽管是短期行为，但仍会对周围环境空气造成不利的影响，施工中保持车辆过往的道路平坦并经常洒水，场地平整时也应适当洒水后再操作。</w:t>
            </w:r>
          </w:p>
          <w:p>
            <w:pPr>
              <w:adjustRightInd w:val="0"/>
              <w:snapToGrid w:val="0"/>
              <w:spacing w:line="360" w:lineRule="auto"/>
              <w:ind w:firstLine="420" w:firstLineChars="200"/>
              <w:rPr>
                <w:color w:val="auto"/>
                <w:szCs w:val="21"/>
              </w:rPr>
            </w:pPr>
            <w:r>
              <w:rPr>
                <w:rFonts w:hint="eastAsia"/>
                <w:color w:val="auto"/>
                <w:szCs w:val="21"/>
              </w:rPr>
              <w:t>废水：物料放空、拆解、临时堆放等区域，应设置适当的防雨、防渗、拦挡等隔离措施，必要时设置围堰，防止废水外溢或渗漏污染拆除区域土壤。</w:t>
            </w:r>
          </w:p>
          <w:p>
            <w:pPr>
              <w:adjustRightInd w:val="0"/>
              <w:snapToGrid w:val="0"/>
              <w:spacing w:line="360" w:lineRule="auto"/>
              <w:ind w:firstLine="420" w:firstLineChars="200"/>
              <w:rPr>
                <w:color w:val="auto"/>
                <w:szCs w:val="21"/>
              </w:rPr>
            </w:pPr>
            <w:r>
              <w:rPr>
                <w:rFonts w:hint="eastAsia"/>
                <w:color w:val="auto"/>
                <w:szCs w:val="21"/>
              </w:rPr>
              <w:t>噪声：企业设备拆除过程中，应采取噪声防治措施，对施工阶段的噪声进行控制。</w:t>
            </w:r>
          </w:p>
          <w:p>
            <w:pPr>
              <w:adjustRightInd w:val="0"/>
              <w:snapToGrid w:val="0"/>
              <w:spacing w:line="360" w:lineRule="auto"/>
              <w:ind w:firstLine="420" w:firstLineChars="200"/>
              <w:rPr>
                <w:color w:val="auto"/>
                <w:szCs w:val="21"/>
              </w:rPr>
            </w:pPr>
            <w:r>
              <w:rPr>
                <w:rFonts w:hint="eastAsia"/>
                <w:color w:val="auto"/>
                <w:szCs w:val="21"/>
              </w:rPr>
              <w:t>具体措施有：合理安排拆除时间，制订拆除计划时，应尽可能避免大量高噪声设备同时施工。除此之外，明确夜间不得拆除活动。对位置相对固定的机械设备，能在室内操作的尽量进入操作间，不能入室的，可适当建立单面声障。</w:t>
            </w:r>
          </w:p>
          <w:p>
            <w:pPr>
              <w:adjustRightInd w:val="0"/>
              <w:snapToGrid w:val="0"/>
              <w:spacing w:line="360" w:lineRule="auto"/>
              <w:ind w:firstLine="420" w:firstLineChars="200"/>
              <w:rPr>
                <w:color w:val="auto"/>
                <w:szCs w:val="21"/>
              </w:rPr>
            </w:pPr>
            <w:r>
              <w:rPr>
                <w:rFonts w:hint="eastAsia"/>
                <w:color w:val="auto"/>
                <w:szCs w:val="21"/>
              </w:rPr>
              <w:t>固废：拆除中产生的设备垃圾和拆除过程产生的工业固废，拆除之前对厂区内废活性炭集中收集暂存在集中收集后暂存在吨袋/吨桶内，委托有资质的危废单位处理。设备拆除后产生的固废，根据不同污染物的危害程度与特性，区别对待、分类处置。严格分类识别危险废物和一般废物，按相关政策规范对不同废物进行规范化收集、贮存、处理处置。危险废物最终处置的基本原则，是合理地、最大限度地将危害废物与生物圈相隔离，减少有毒有害物质释放进入环境的速度和总量，将其在长期处置过程中对人类和环境的影响减至最小程度。</w:t>
            </w:r>
          </w:p>
          <w:p>
            <w:pPr>
              <w:adjustRightInd w:val="0"/>
              <w:snapToGrid w:val="0"/>
              <w:spacing w:line="360" w:lineRule="auto"/>
              <w:ind w:firstLine="420" w:firstLineChars="200"/>
              <w:rPr>
                <w:b/>
                <w:bCs/>
                <w:snapToGrid w:val="0"/>
                <w:color w:val="auto"/>
                <w:kern w:val="0"/>
                <w:szCs w:val="21"/>
              </w:rPr>
            </w:pPr>
            <w:r>
              <w:rPr>
                <w:rFonts w:hint="eastAsia"/>
                <w:color w:val="auto"/>
                <w:szCs w:val="21"/>
              </w:rPr>
              <w:t>地下水及土壤污染：根据拆除活动及土壤污染防治需要，可将拆除活动现场划分为拆除区域、设备集中拆解区、临时贮存区等，实现污染物集中产生、集中收集，防止和减少污染扩散。不同区域应设立明显标志标识，标明污染防治要点、应急处置措施等。如若搬迁后发现有企业遗留的环境问题，企业则应负责清除，必要时及时进行土壤调查及修复。</w:t>
            </w:r>
          </w:p>
        </w:tc>
      </w:tr>
    </w:tbl>
    <w:p>
      <w:pPr>
        <w:widowControl/>
        <w:jc w:val="left"/>
        <w:rPr>
          <w:rFonts w:eastAsia="黑体"/>
          <w:snapToGrid w:val="0"/>
          <w:color w:val="auto"/>
          <w:sz w:val="10"/>
          <w:szCs w:val="10"/>
        </w:rPr>
        <w:sectPr>
          <w:pgSz w:w="11906" w:h="16838"/>
          <w:pgMar w:top="1440" w:right="1080" w:bottom="1440" w:left="1080" w:header="851" w:footer="851" w:gutter="0"/>
          <w:cols w:space="720" w:num="1"/>
          <w:docGrid w:linePitch="312" w:charSpace="0"/>
        </w:sectPr>
      </w:pPr>
    </w:p>
    <w:p>
      <w:pPr>
        <w:spacing w:line="360" w:lineRule="auto"/>
        <w:jc w:val="center"/>
        <w:outlineLvl w:val="0"/>
        <w:rPr>
          <w:rFonts w:eastAsia="黑体"/>
          <w:snapToGrid w:val="0"/>
          <w:color w:val="auto"/>
          <w:sz w:val="30"/>
          <w:szCs w:val="30"/>
        </w:rPr>
      </w:pPr>
      <w:r>
        <w:rPr>
          <w:rFonts w:eastAsia="黑体"/>
          <w:snapToGrid w:val="0"/>
          <w:color w:val="auto"/>
          <w:sz w:val="30"/>
          <w:szCs w:val="30"/>
        </w:rPr>
        <w:t>三、区域环境质量现状、环境保护目标及评价标准</w:t>
      </w:r>
    </w:p>
    <w:tbl>
      <w:tblPr>
        <w:tblStyle w:val="37"/>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396"/>
        <w:gridCol w:w="956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46" w:hRule="atLeast"/>
          <w:jc w:val="center"/>
        </w:trPr>
        <w:tc>
          <w:tcPr>
            <w:tcW w:w="357" w:type="dxa"/>
            <w:tcBorders>
              <w:top w:val="single" w:color="auto" w:sz="4" w:space="0"/>
              <w:left w:val="single" w:color="auto" w:sz="4" w:space="0"/>
              <w:bottom w:val="single" w:color="auto" w:sz="4" w:space="0"/>
            </w:tcBorders>
            <w:vAlign w:val="center"/>
          </w:tcPr>
          <w:p>
            <w:pPr>
              <w:adjustRightInd w:val="0"/>
              <w:snapToGrid w:val="0"/>
              <w:jc w:val="center"/>
              <w:rPr>
                <w:color w:val="auto"/>
                <w:kern w:val="0"/>
                <w:szCs w:val="21"/>
              </w:rPr>
            </w:pPr>
            <w:r>
              <w:rPr>
                <w:color w:val="auto"/>
                <w:kern w:val="0"/>
                <w:szCs w:val="21"/>
              </w:rPr>
              <w:t>区域</w:t>
            </w:r>
          </w:p>
          <w:p>
            <w:pPr>
              <w:adjustRightInd w:val="0"/>
              <w:snapToGrid w:val="0"/>
              <w:jc w:val="center"/>
              <w:rPr>
                <w:color w:val="auto"/>
                <w:kern w:val="0"/>
                <w:szCs w:val="21"/>
              </w:rPr>
            </w:pPr>
            <w:r>
              <w:rPr>
                <w:color w:val="auto"/>
                <w:kern w:val="0"/>
                <w:szCs w:val="21"/>
              </w:rPr>
              <w:t>环境</w:t>
            </w:r>
          </w:p>
          <w:p>
            <w:pPr>
              <w:adjustRightInd w:val="0"/>
              <w:snapToGrid w:val="0"/>
              <w:jc w:val="center"/>
              <w:rPr>
                <w:color w:val="auto"/>
                <w:kern w:val="0"/>
                <w:szCs w:val="21"/>
              </w:rPr>
            </w:pPr>
            <w:r>
              <w:rPr>
                <w:color w:val="auto"/>
                <w:kern w:val="0"/>
                <w:szCs w:val="21"/>
              </w:rPr>
              <w:t>质量</w:t>
            </w:r>
          </w:p>
          <w:p>
            <w:pPr>
              <w:adjustRightInd w:val="0"/>
              <w:snapToGrid w:val="0"/>
              <w:rPr>
                <w:color w:val="auto"/>
                <w:kern w:val="0"/>
                <w:szCs w:val="21"/>
              </w:rPr>
            </w:pPr>
            <w:r>
              <w:rPr>
                <w:color w:val="auto"/>
                <w:kern w:val="0"/>
                <w:szCs w:val="21"/>
              </w:rPr>
              <w:t>现状</w:t>
            </w:r>
          </w:p>
        </w:tc>
        <w:tc>
          <w:tcPr>
            <w:tcW w:w="8633" w:type="dxa"/>
            <w:tcBorders>
              <w:top w:val="single" w:color="auto" w:sz="4" w:space="0"/>
              <w:bottom w:val="single" w:color="auto" w:sz="4" w:space="0"/>
              <w:right w:val="single" w:color="auto" w:sz="4" w:space="0"/>
            </w:tcBorders>
          </w:tcPr>
          <w:p>
            <w:pPr>
              <w:spacing w:line="360" w:lineRule="auto"/>
              <w:ind w:firstLine="422" w:firstLineChars="200"/>
              <w:jc w:val="left"/>
              <w:rPr>
                <w:color w:val="auto"/>
                <w:kern w:val="0"/>
                <w:szCs w:val="21"/>
              </w:rPr>
            </w:pPr>
            <w:r>
              <w:rPr>
                <w:b/>
                <w:bCs/>
                <w:color w:val="auto"/>
                <w:kern w:val="0"/>
                <w:szCs w:val="21"/>
              </w:rPr>
              <w:t>1、大气环境</w:t>
            </w:r>
          </w:p>
          <w:p>
            <w:pPr>
              <w:spacing w:line="360" w:lineRule="auto"/>
              <w:ind w:firstLine="420" w:firstLineChars="200"/>
              <w:rPr>
                <w:color w:val="auto"/>
                <w:szCs w:val="21"/>
              </w:rPr>
            </w:pPr>
            <w:r>
              <w:rPr>
                <w:color w:val="auto"/>
                <w:szCs w:val="21"/>
              </w:rPr>
              <w:t>（1）达标区判定</w:t>
            </w:r>
          </w:p>
          <w:p>
            <w:pPr>
              <w:spacing w:line="360" w:lineRule="auto"/>
              <w:ind w:firstLine="420" w:firstLineChars="200"/>
              <w:rPr>
                <w:color w:val="auto"/>
              </w:rPr>
            </w:pPr>
            <w:r>
              <w:rPr>
                <w:snapToGrid w:val="0"/>
                <w:color w:val="auto"/>
                <w:szCs w:val="21"/>
              </w:rPr>
              <w:t>根据苏州市太仓生态环境局公开发布的《2022 年太仓市环境状况公报》中的结论，2022 年太仓市环境空气质量有效监测天数为 365 天，优良天数为 303 天，优良率为 83.0%，细颗粒物（PM2.5）年均浓度为 24μg/m</w:t>
            </w:r>
            <w:r>
              <w:rPr>
                <w:snapToGrid w:val="0"/>
                <w:color w:val="auto"/>
                <w:szCs w:val="21"/>
                <w:vertAlign w:val="superscript"/>
              </w:rPr>
              <w:t>3</w:t>
            </w:r>
            <w:r>
              <w:rPr>
                <w:snapToGrid w:val="0"/>
                <w:color w:val="auto"/>
                <w:szCs w:val="21"/>
              </w:rPr>
              <w:t>。</w:t>
            </w:r>
          </w:p>
          <w:p>
            <w:pPr>
              <w:jc w:val="center"/>
              <w:rPr>
                <w:b/>
                <w:color w:val="auto"/>
                <w:szCs w:val="21"/>
              </w:rPr>
            </w:pPr>
            <w:r>
              <w:rPr>
                <w:b/>
                <w:color w:val="auto"/>
                <w:szCs w:val="21"/>
              </w:rPr>
              <w:t xml:space="preserve">表3-1  </w:t>
            </w:r>
            <w:r>
              <w:rPr>
                <w:b/>
                <w:color w:val="auto"/>
              </w:rPr>
              <w:t>区域空气质量现状评价表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36" w:type="dxa"/>
                <w:left w:w="107" w:type="dxa"/>
                <w:bottom w:w="0" w:type="dxa"/>
                <w:right w:w="108" w:type="dxa"/>
              </w:tblCellMar>
            </w:tblPr>
            <w:tblGrid>
              <w:gridCol w:w="944"/>
              <w:gridCol w:w="3069"/>
              <w:gridCol w:w="1300"/>
              <w:gridCol w:w="1265"/>
              <w:gridCol w:w="1337"/>
              <w:gridCol w:w="143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07" w:type="dxa"/>
                  <w:bottom w:w="0" w:type="dxa"/>
                  <w:right w:w="108" w:type="dxa"/>
                </w:tblCellMar>
              </w:tblPrEx>
              <w:trPr>
                <w:trHeight w:val="284" w:hRule="atLeast"/>
                <w:jc w:val="center"/>
              </w:trPr>
              <w:tc>
                <w:tcPr>
                  <w:tcW w:w="920" w:type="dxa"/>
                  <w:vAlign w:val="center"/>
                </w:tcPr>
                <w:p>
                  <w:pPr>
                    <w:jc w:val="center"/>
                    <w:rPr>
                      <w:b/>
                      <w:color w:val="auto"/>
                      <w:sz w:val="18"/>
                      <w:szCs w:val="18"/>
                    </w:rPr>
                  </w:pPr>
                  <w:r>
                    <w:rPr>
                      <w:b/>
                      <w:color w:val="auto"/>
                      <w:sz w:val="18"/>
                      <w:szCs w:val="18"/>
                    </w:rPr>
                    <w:t>污染物</w:t>
                  </w:r>
                </w:p>
              </w:tc>
              <w:tc>
                <w:tcPr>
                  <w:tcW w:w="2995" w:type="dxa"/>
                  <w:vAlign w:val="center"/>
                </w:tcPr>
                <w:p>
                  <w:pPr>
                    <w:jc w:val="center"/>
                    <w:rPr>
                      <w:b/>
                      <w:color w:val="auto"/>
                      <w:sz w:val="18"/>
                      <w:szCs w:val="18"/>
                    </w:rPr>
                  </w:pPr>
                  <w:r>
                    <w:rPr>
                      <w:b/>
                      <w:color w:val="auto"/>
                      <w:sz w:val="18"/>
                      <w:szCs w:val="18"/>
                    </w:rPr>
                    <w:t>年评价指标</w:t>
                  </w:r>
                </w:p>
              </w:tc>
              <w:tc>
                <w:tcPr>
                  <w:tcW w:w="1269" w:type="dxa"/>
                  <w:vAlign w:val="center"/>
                </w:tcPr>
                <w:p>
                  <w:pPr>
                    <w:jc w:val="center"/>
                    <w:rPr>
                      <w:b/>
                      <w:color w:val="auto"/>
                      <w:sz w:val="18"/>
                      <w:szCs w:val="18"/>
                    </w:rPr>
                  </w:pPr>
                  <w:r>
                    <w:rPr>
                      <w:b/>
                      <w:color w:val="auto"/>
                      <w:sz w:val="18"/>
                      <w:szCs w:val="18"/>
                    </w:rPr>
                    <w:t>现状浓度/（μg/m</w:t>
                  </w:r>
                  <w:r>
                    <w:rPr>
                      <w:b/>
                      <w:color w:val="auto"/>
                      <w:sz w:val="18"/>
                      <w:szCs w:val="18"/>
                      <w:vertAlign w:val="superscript"/>
                    </w:rPr>
                    <w:t>3</w:t>
                  </w:r>
                  <w:r>
                    <w:rPr>
                      <w:b/>
                      <w:color w:val="auto"/>
                      <w:sz w:val="18"/>
                      <w:szCs w:val="18"/>
                    </w:rPr>
                    <w:t>）</w:t>
                  </w:r>
                </w:p>
              </w:tc>
              <w:tc>
                <w:tcPr>
                  <w:tcW w:w="1235" w:type="dxa"/>
                  <w:vAlign w:val="center"/>
                </w:tcPr>
                <w:p>
                  <w:pPr>
                    <w:jc w:val="center"/>
                    <w:rPr>
                      <w:b/>
                      <w:color w:val="auto"/>
                      <w:sz w:val="18"/>
                      <w:szCs w:val="18"/>
                    </w:rPr>
                  </w:pPr>
                  <w:r>
                    <w:rPr>
                      <w:b/>
                      <w:color w:val="auto"/>
                      <w:sz w:val="18"/>
                      <w:szCs w:val="18"/>
                    </w:rPr>
                    <w:t>标准值/</w:t>
                  </w:r>
                </w:p>
                <w:p>
                  <w:pPr>
                    <w:jc w:val="center"/>
                    <w:rPr>
                      <w:b/>
                      <w:color w:val="auto"/>
                      <w:sz w:val="18"/>
                      <w:szCs w:val="18"/>
                    </w:rPr>
                  </w:pPr>
                  <w:r>
                    <w:rPr>
                      <w:b/>
                      <w:color w:val="auto"/>
                      <w:sz w:val="18"/>
                      <w:szCs w:val="18"/>
                    </w:rPr>
                    <w:t>（μg/m</w:t>
                  </w:r>
                  <w:r>
                    <w:rPr>
                      <w:b/>
                      <w:color w:val="auto"/>
                      <w:sz w:val="18"/>
                      <w:szCs w:val="18"/>
                      <w:vertAlign w:val="superscript"/>
                    </w:rPr>
                    <w:t>3</w:t>
                  </w:r>
                  <w:r>
                    <w:rPr>
                      <w:b/>
                      <w:color w:val="auto"/>
                      <w:sz w:val="18"/>
                      <w:szCs w:val="18"/>
                    </w:rPr>
                    <w:t>）</w:t>
                  </w:r>
                </w:p>
              </w:tc>
              <w:tc>
                <w:tcPr>
                  <w:tcW w:w="1305" w:type="dxa"/>
                  <w:vAlign w:val="center"/>
                </w:tcPr>
                <w:p>
                  <w:pPr>
                    <w:jc w:val="center"/>
                    <w:rPr>
                      <w:b/>
                      <w:color w:val="auto"/>
                      <w:sz w:val="18"/>
                      <w:szCs w:val="18"/>
                    </w:rPr>
                  </w:pPr>
                  <w:r>
                    <w:rPr>
                      <w:b/>
                      <w:color w:val="auto"/>
                      <w:sz w:val="18"/>
                      <w:szCs w:val="18"/>
                    </w:rPr>
                    <w:t>占标率%</w:t>
                  </w:r>
                </w:p>
              </w:tc>
              <w:tc>
                <w:tcPr>
                  <w:tcW w:w="1400" w:type="dxa"/>
                  <w:vAlign w:val="center"/>
                </w:tcPr>
                <w:p>
                  <w:pPr>
                    <w:jc w:val="center"/>
                    <w:rPr>
                      <w:b/>
                      <w:color w:val="auto"/>
                      <w:sz w:val="18"/>
                      <w:szCs w:val="18"/>
                    </w:rPr>
                  </w:pPr>
                  <w:r>
                    <w:rPr>
                      <w:b/>
                      <w:color w:val="auto"/>
                      <w:sz w:val="18"/>
                      <w:szCs w:val="18"/>
                    </w:rPr>
                    <w:t>达标情况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07" w:type="dxa"/>
                  <w:bottom w:w="0" w:type="dxa"/>
                  <w:right w:w="108" w:type="dxa"/>
                </w:tblCellMar>
              </w:tblPrEx>
              <w:trPr>
                <w:trHeight w:val="284" w:hRule="atLeast"/>
                <w:jc w:val="center"/>
              </w:trPr>
              <w:tc>
                <w:tcPr>
                  <w:tcW w:w="920" w:type="dxa"/>
                  <w:vAlign w:val="center"/>
                </w:tcPr>
                <w:p>
                  <w:pPr>
                    <w:jc w:val="center"/>
                    <w:rPr>
                      <w:bCs/>
                      <w:color w:val="auto"/>
                      <w:sz w:val="18"/>
                      <w:szCs w:val="18"/>
                    </w:rPr>
                  </w:pPr>
                  <w:r>
                    <w:rPr>
                      <w:bCs/>
                      <w:color w:val="auto"/>
                      <w:sz w:val="18"/>
                      <w:szCs w:val="18"/>
                    </w:rPr>
                    <w:t>SO</w:t>
                  </w:r>
                  <w:r>
                    <w:rPr>
                      <w:bCs/>
                      <w:color w:val="auto"/>
                      <w:sz w:val="18"/>
                      <w:szCs w:val="18"/>
                      <w:vertAlign w:val="subscript"/>
                    </w:rPr>
                    <w:t>2</w:t>
                  </w:r>
                </w:p>
              </w:tc>
              <w:tc>
                <w:tcPr>
                  <w:tcW w:w="2995" w:type="dxa"/>
                  <w:vAlign w:val="center"/>
                </w:tcPr>
                <w:p>
                  <w:pPr>
                    <w:jc w:val="center"/>
                    <w:rPr>
                      <w:bCs/>
                      <w:color w:val="auto"/>
                      <w:sz w:val="18"/>
                      <w:szCs w:val="18"/>
                    </w:rPr>
                  </w:pPr>
                  <w:r>
                    <w:rPr>
                      <w:bCs/>
                      <w:color w:val="auto"/>
                      <w:sz w:val="18"/>
                      <w:szCs w:val="18"/>
                    </w:rPr>
                    <w:t>年平均质量浓度</w:t>
                  </w:r>
                </w:p>
              </w:tc>
              <w:tc>
                <w:tcPr>
                  <w:tcW w:w="1269" w:type="dxa"/>
                  <w:vAlign w:val="center"/>
                </w:tcPr>
                <w:p>
                  <w:pPr>
                    <w:jc w:val="center"/>
                    <w:rPr>
                      <w:bCs/>
                      <w:color w:val="auto"/>
                      <w:sz w:val="18"/>
                      <w:szCs w:val="18"/>
                    </w:rPr>
                  </w:pPr>
                  <w:r>
                    <w:rPr>
                      <w:bCs/>
                      <w:color w:val="auto"/>
                      <w:sz w:val="18"/>
                      <w:szCs w:val="18"/>
                    </w:rPr>
                    <w:t>8</w:t>
                  </w:r>
                </w:p>
              </w:tc>
              <w:tc>
                <w:tcPr>
                  <w:tcW w:w="1235" w:type="dxa"/>
                  <w:vAlign w:val="center"/>
                </w:tcPr>
                <w:p>
                  <w:pPr>
                    <w:jc w:val="center"/>
                    <w:rPr>
                      <w:bCs/>
                      <w:color w:val="auto"/>
                      <w:sz w:val="18"/>
                      <w:szCs w:val="18"/>
                    </w:rPr>
                  </w:pPr>
                  <w:r>
                    <w:rPr>
                      <w:bCs/>
                      <w:color w:val="auto"/>
                      <w:sz w:val="18"/>
                      <w:szCs w:val="18"/>
                    </w:rPr>
                    <w:t>60</w:t>
                  </w:r>
                </w:p>
              </w:tc>
              <w:tc>
                <w:tcPr>
                  <w:tcW w:w="1305" w:type="dxa"/>
                  <w:vAlign w:val="center"/>
                </w:tcPr>
                <w:p>
                  <w:pPr>
                    <w:jc w:val="center"/>
                    <w:rPr>
                      <w:bCs/>
                      <w:color w:val="auto"/>
                      <w:sz w:val="18"/>
                      <w:szCs w:val="18"/>
                    </w:rPr>
                  </w:pPr>
                  <w:r>
                    <w:rPr>
                      <w:bCs/>
                      <w:color w:val="auto"/>
                      <w:sz w:val="18"/>
                      <w:szCs w:val="18"/>
                    </w:rPr>
                    <w:t>13.3%</w:t>
                  </w:r>
                </w:p>
              </w:tc>
              <w:tc>
                <w:tcPr>
                  <w:tcW w:w="1400" w:type="dxa"/>
                  <w:vAlign w:val="center"/>
                </w:tcPr>
                <w:p>
                  <w:pPr>
                    <w:jc w:val="center"/>
                    <w:rPr>
                      <w:bCs/>
                      <w:color w:val="auto"/>
                      <w:sz w:val="18"/>
                      <w:szCs w:val="18"/>
                    </w:rPr>
                  </w:pPr>
                  <w:r>
                    <w:rPr>
                      <w:bCs/>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07" w:type="dxa"/>
                  <w:bottom w:w="0" w:type="dxa"/>
                  <w:right w:w="108" w:type="dxa"/>
                </w:tblCellMar>
              </w:tblPrEx>
              <w:trPr>
                <w:trHeight w:val="284" w:hRule="atLeast"/>
                <w:jc w:val="center"/>
              </w:trPr>
              <w:tc>
                <w:tcPr>
                  <w:tcW w:w="920" w:type="dxa"/>
                  <w:vAlign w:val="center"/>
                </w:tcPr>
                <w:p>
                  <w:pPr>
                    <w:jc w:val="center"/>
                    <w:rPr>
                      <w:bCs/>
                      <w:color w:val="auto"/>
                      <w:sz w:val="18"/>
                      <w:szCs w:val="18"/>
                    </w:rPr>
                  </w:pPr>
                  <w:r>
                    <w:rPr>
                      <w:bCs/>
                      <w:color w:val="auto"/>
                      <w:sz w:val="18"/>
                      <w:szCs w:val="18"/>
                    </w:rPr>
                    <w:t>NO</w:t>
                  </w:r>
                  <w:r>
                    <w:rPr>
                      <w:bCs/>
                      <w:color w:val="auto"/>
                      <w:sz w:val="18"/>
                      <w:szCs w:val="18"/>
                      <w:vertAlign w:val="subscript"/>
                    </w:rPr>
                    <w:t>2</w:t>
                  </w:r>
                </w:p>
              </w:tc>
              <w:tc>
                <w:tcPr>
                  <w:tcW w:w="2995" w:type="dxa"/>
                  <w:vAlign w:val="center"/>
                </w:tcPr>
                <w:p>
                  <w:pPr>
                    <w:jc w:val="center"/>
                    <w:rPr>
                      <w:bCs/>
                      <w:color w:val="auto"/>
                      <w:sz w:val="18"/>
                      <w:szCs w:val="18"/>
                    </w:rPr>
                  </w:pPr>
                  <w:r>
                    <w:rPr>
                      <w:bCs/>
                      <w:color w:val="auto"/>
                      <w:sz w:val="18"/>
                      <w:szCs w:val="18"/>
                    </w:rPr>
                    <w:t>年平均质量浓度</w:t>
                  </w:r>
                </w:p>
              </w:tc>
              <w:tc>
                <w:tcPr>
                  <w:tcW w:w="1269" w:type="dxa"/>
                  <w:vAlign w:val="center"/>
                </w:tcPr>
                <w:p>
                  <w:pPr>
                    <w:jc w:val="center"/>
                    <w:rPr>
                      <w:bCs/>
                      <w:color w:val="auto"/>
                      <w:sz w:val="18"/>
                      <w:szCs w:val="18"/>
                    </w:rPr>
                  </w:pPr>
                  <w:r>
                    <w:rPr>
                      <w:rFonts w:hint="eastAsia"/>
                      <w:bCs/>
                      <w:color w:val="auto"/>
                      <w:sz w:val="18"/>
                      <w:szCs w:val="18"/>
                    </w:rPr>
                    <w:t>29</w:t>
                  </w:r>
                </w:p>
              </w:tc>
              <w:tc>
                <w:tcPr>
                  <w:tcW w:w="1235" w:type="dxa"/>
                  <w:vAlign w:val="center"/>
                </w:tcPr>
                <w:p>
                  <w:pPr>
                    <w:jc w:val="center"/>
                    <w:rPr>
                      <w:bCs/>
                      <w:color w:val="auto"/>
                      <w:sz w:val="18"/>
                      <w:szCs w:val="18"/>
                    </w:rPr>
                  </w:pPr>
                  <w:r>
                    <w:rPr>
                      <w:bCs/>
                      <w:color w:val="auto"/>
                      <w:sz w:val="18"/>
                      <w:szCs w:val="18"/>
                    </w:rPr>
                    <w:t>40</w:t>
                  </w:r>
                </w:p>
              </w:tc>
              <w:tc>
                <w:tcPr>
                  <w:tcW w:w="1305" w:type="dxa"/>
                  <w:vAlign w:val="center"/>
                </w:tcPr>
                <w:p>
                  <w:pPr>
                    <w:jc w:val="center"/>
                    <w:rPr>
                      <w:bCs/>
                      <w:color w:val="auto"/>
                      <w:sz w:val="18"/>
                      <w:szCs w:val="18"/>
                    </w:rPr>
                  </w:pPr>
                  <w:r>
                    <w:rPr>
                      <w:rFonts w:hint="eastAsia"/>
                      <w:bCs/>
                      <w:color w:val="auto"/>
                      <w:sz w:val="18"/>
                      <w:szCs w:val="18"/>
                    </w:rPr>
                    <w:t>72.5</w:t>
                  </w:r>
                  <w:r>
                    <w:rPr>
                      <w:bCs/>
                      <w:color w:val="auto"/>
                      <w:sz w:val="18"/>
                      <w:szCs w:val="18"/>
                    </w:rPr>
                    <w:t>%</w:t>
                  </w:r>
                </w:p>
              </w:tc>
              <w:tc>
                <w:tcPr>
                  <w:tcW w:w="1400" w:type="dxa"/>
                  <w:vAlign w:val="center"/>
                </w:tcPr>
                <w:p>
                  <w:pPr>
                    <w:jc w:val="center"/>
                    <w:rPr>
                      <w:bCs/>
                      <w:color w:val="auto"/>
                      <w:sz w:val="18"/>
                      <w:szCs w:val="18"/>
                    </w:rPr>
                  </w:pPr>
                  <w:r>
                    <w:rPr>
                      <w:bCs/>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07" w:type="dxa"/>
                  <w:bottom w:w="0" w:type="dxa"/>
                  <w:right w:w="108" w:type="dxa"/>
                </w:tblCellMar>
              </w:tblPrEx>
              <w:trPr>
                <w:trHeight w:val="284" w:hRule="atLeast"/>
                <w:jc w:val="center"/>
              </w:trPr>
              <w:tc>
                <w:tcPr>
                  <w:tcW w:w="920" w:type="dxa"/>
                  <w:vAlign w:val="center"/>
                </w:tcPr>
                <w:p>
                  <w:pPr>
                    <w:jc w:val="center"/>
                    <w:rPr>
                      <w:bCs/>
                      <w:color w:val="auto"/>
                      <w:sz w:val="18"/>
                      <w:szCs w:val="18"/>
                    </w:rPr>
                  </w:pPr>
                  <w:r>
                    <w:rPr>
                      <w:bCs/>
                      <w:color w:val="auto"/>
                      <w:sz w:val="18"/>
                      <w:szCs w:val="18"/>
                    </w:rPr>
                    <w:t>PM</w:t>
                  </w:r>
                  <w:r>
                    <w:rPr>
                      <w:bCs/>
                      <w:color w:val="auto"/>
                      <w:sz w:val="18"/>
                      <w:szCs w:val="18"/>
                      <w:vertAlign w:val="subscript"/>
                    </w:rPr>
                    <w:t>10</w:t>
                  </w:r>
                </w:p>
              </w:tc>
              <w:tc>
                <w:tcPr>
                  <w:tcW w:w="2995" w:type="dxa"/>
                  <w:vAlign w:val="center"/>
                </w:tcPr>
                <w:p>
                  <w:pPr>
                    <w:jc w:val="center"/>
                    <w:rPr>
                      <w:bCs/>
                      <w:color w:val="auto"/>
                      <w:sz w:val="18"/>
                      <w:szCs w:val="18"/>
                    </w:rPr>
                  </w:pPr>
                  <w:r>
                    <w:rPr>
                      <w:bCs/>
                      <w:color w:val="auto"/>
                      <w:sz w:val="18"/>
                      <w:szCs w:val="18"/>
                    </w:rPr>
                    <w:t>年平均质量浓度</w:t>
                  </w:r>
                </w:p>
              </w:tc>
              <w:tc>
                <w:tcPr>
                  <w:tcW w:w="1269" w:type="dxa"/>
                  <w:vAlign w:val="center"/>
                </w:tcPr>
                <w:p>
                  <w:pPr>
                    <w:jc w:val="center"/>
                    <w:rPr>
                      <w:bCs/>
                      <w:color w:val="auto"/>
                      <w:sz w:val="18"/>
                      <w:szCs w:val="18"/>
                    </w:rPr>
                  </w:pPr>
                  <w:r>
                    <w:rPr>
                      <w:rFonts w:hint="eastAsia"/>
                      <w:bCs/>
                      <w:color w:val="auto"/>
                      <w:sz w:val="18"/>
                      <w:szCs w:val="18"/>
                    </w:rPr>
                    <w:t>42</w:t>
                  </w:r>
                </w:p>
              </w:tc>
              <w:tc>
                <w:tcPr>
                  <w:tcW w:w="1235" w:type="dxa"/>
                  <w:vAlign w:val="center"/>
                </w:tcPr>
                <w:p>
                  <w:pPr>
                    <w:jc w:val="center"/>
                    <w:rPr>
                      <w:bCs/>
                      <w:color w:val="auto"/>
                      <w:sz w:val="18"/>
                      <w:szCs w:val="18"/>
                    </w:rPr>
                  </w:pPr>
                  <w:r>
                    <w:rPr>
                      <w:bCs/>
                      <w:color w:val="auto"/>
                      <w:sz w:val="18"/>
                      <w:szCs w:val="18"/>
                    </w:rPr>
                    <w:t>70</w:t>
                  </w:r>
                </w:p>
              </w:tc>
              <w:tc>
                <w:tcPr>
                  <w:tcW w:w="1305" w:type="dxa"/>
                  <w:vAlign w:val="center"/>
                </w:tcPr>
                <w:p>
                  <w:pPr>
                    <w:jc w:val="center"/>
                    <w:rPr>
                      <w:bCs/>
                      <w:color w:val="auto"/>
                      <w:sz w:val="18"/>
                      <w:szCs w:val="18"/>
                    </w:rPr>
                  </w:pPr>
                  <w:r>
                    <w:rPr>
                      <w:rFonts w:hint="eastAsia"/>
                      <w:bCs/>
                      <w:color w:val="auto"/>
                      <w:sz w:val="18"/>
                      <w:szCs w:val="18"/>
                    </w:rPr>
                    <w:t>60</w:t>
                  </w:r>
                  <w:r>
                    <w:rPr>
                      <w:bCs/>
                      <w:color w:val="auto"/>
                      <w:sz w:val="18"/>
                      <w:szCs w:val="18"/>
                    </w:rPr>
                    <w:t>%</w:t>
                  </w:r>
                </w:p>
              </w:tc>
              <w:tc>
                <w:tcPr>
                  <w:tcW w:w="1400" w:type="dxa"/>
                  <w:vAlign w:val="center"/>
                </w:tcPr>
                <w:p>
                  <w:pPr>
                    <w:jc w:val="center"/>
                    <w:rPr>
                      <w:bCs/>
                      <w:color w:val="auto"/>
                      <w:sz w:val="18"/>
                      <w:szCs w:val="18"/>
                    </w:rPr>
                  </w:pPr>
                  <w:r>
                    <w:rPr>
                      <w:bCs/>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07" w:type="dxa"/>
                  <w:bottom w:w="0" w:type="dxa"/>
                  <w:right w:w="108" w:type="dxa"/>
                </w:tblCellMar>
              </w:tblPrEx>
              <w:trPr>
                <w:trHeight w:val="284" w:hRule="atLeast"/>
                <w:jc w:val="center"/>
              </w:trPr>
              <w:tc>
                <w:tcPr>
                  <w:tcW w:w="920" w:type="dxa"/>
                  <w:vAlign w:val="center"/>
                </w:tcPr>
                <w:p>
                  <w:pPr>
                    <w:jc w:val="center"/>
                    <w:rPr>
                      <w:bCs/>
                      <w:color w:val="auto"/>
                      <w:sz w:val="18"/>
                      <w:szCs w:val="18"/>
                    </w:rPr>
                  </w:pPr>
                  <w:r>
                    <w:rPr>
                      <w:bCs/>
                      <w:color w:val="auto"/>
                      <w:sz w:val="18"/>
                      <w:szCs w:val="18"/>
                    </w:rPr>
                    <w:t>PM</w:t>
                  </w:r>
                  <w:r>
                    <w:rPr>
                      <w:bCs/>
                      <w:color w:val="auto"/>
                      <w:sz w:val="18"/>
                      <w:szCs w:val="18"/>
                      <w:vertAlign w:val="subscript"/>
                    </w:rPr>
                    <w:t>2.5</w:t>
                  </w:r>
                </w:p>
              </w:tc>
              <w:tc>
                <w:tcPr>
                  <w:tcW w:w="2995" w:type="dxa"/>
                  <w:vAlign w:val="center"/>
                </w:tcPr>
                <w:p>
                  <w:pPr>
                    <w:jc w:val="center"/>
                    <w:rPr>
                      <w:bCs/>
                      <w:color w:val="auto"/>
                      <w:sz w:val="18"/>
                      <w:szCs w:val="18"/>
                    </w:rPr>
                  </w:pPr>
                  <w:r>
                    <w:rPr>
                      <w:bCs/>
                      <w:color w:val="auto"/>
                      <w:sz w:val="18"/>
                      <w:szCs w:val="18"/>
                    </w:rPr>
                    <w:t>年平均质量浓度</w:t>
                  </w:r>
                </w:p>
              </w:tc>
              <w:tc>
                <w:tcPr>
                  <w:tcW w:w="1269" w:type="dxa"/>
                  <w:vAlign w:val="center"/>
                </w:tcPr>
                <w:p>
                  <w:pPr>
                    <w:jc w:val="center"/>
                    <w:rPr>
                      <w:bCs/>
                      <w:color w:val="auto"/>
                      <w:sz w:val="18"/>
                      <w:szCs w:val="18"/>
                    </w:rPr>
                  </w:pPr>
                  <w:r>
                    <w:rPr>
                      <w:rFonts w:hint="eastAsia"/>
                      <w:bCs/>
                      <w:color w:val="auto"/>
                      <w:sz w:val="18"/>
                      <w:szCs w:val="18"/>
                    </w:rPr>
                    <w:t>24</w:t>
                  </w:r>
                </w:p>
              </w:tc>
              <w:tc>
                <w:tcPr>
                  <w:tcW w:w="1235" w:type="dxa"/>
                  <w:vAlign w:val="center"/>
                </w:tcPr>
                <w:p>
                  <w:pPr>
                    <w:jc w:val="center"/>
                    <w:rPr>
                      <w:bCs/>
                      <w:color w:val="auto"/>
                      <w:sz w:val="18"/>
                      <w:szCs w:val="18"/>
                    </w:rPr>
                  </w:pPr>
                  <w:r>
                    <w:rPr>
                      <w:bCs/>
                      <w:color w:val="auto"/>
                      <w:sz w:val="18"/>
                      <w:szCs w:val="18"/>
                    </w:rPr>
                    <w:t>35</w:t>
                  </w:r>
                </w:p>
              </w:tc>
              <w:tc>
                <w:tcPr>
                  <w:tcW w:w="1305" w:type="dxa"/>
                  <w:vAlign w:val="center"/>
                </w:tcPr>
                <w:p>
                  <w:pPr>
                    <w:jc w:val="center"/>
                    <w:rPr>
                      <w:bCs/>
                      <w:color w:val="auto"/>
                      <w:sz w:val="18"/>
                      <w:szCs w:val="18"/>
                    </w:rPr>
                  </w:pPr>
                  <w:r>
                    <w:rPr>
                      <w:rFonts w:hint="eastAsia"/>
                      <w:bCs/>
                      <w:color w:val="auto"/>
                      <w:sz w:val="18"/>
                      <w:szCs w:val="18"/>
                    </w:rPr>
                    <w:t>68.8</w:t>
                  </w:r>
                  <w:r>
                    <w:rPr>
                      <w:bCs/>
                      <w:color w:val="auto"/>
                      <w:sz w:val="18"/>
                      <w:szCs w:val="18"/>
                    </w:rPr>
                    <w:t>%</w:t>
                  </w:r>
                </w:p>
              </w:tc>
              <w:tc>
                <w:tcPr>
                  <w:tcW w:w="1400" w:type="dxa"/>
                  <w:vAlign w:val="center"/>
                </w:tcPr>
                <w:p>
                  <w:pPr>
                    <w:jc w:val="center"/>
                    <w:rPr>
                      <w:bCs/>
                      <w:color w:val="auto"/>
                      <w:sz w:val="18"/>
                      <w:szCs w:val="18"/>
                    </w:rPr>
                  </w:pPr>
                  <w:r>
                    <w:rPr>
                      <w:bCs/>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07" w:type="dxa"/>
                  <w:bottom w:w="0" w:type="dxa"/>
                  <w:right w:w="108" w:type="dxa"/>
                </w:tblCellMar>
              </w:tblPrEx>
              <w:trPr>
                <w:trHeight w:val="284" w:hRule="atLeast"/>
                <w:jc w:val="center"/>
              </w:trPr>
              <w:tc>
                <w:tcPr>
                  <w:tcW w:w="920" w:type="dxa"/>
                  <w:vAlign w:val="center"/>
                </w:tcPr>
                <w:p>
                  <w:pPr>
                    <w:jc w:val="center"/>
                    <w:rPr>
                      <w:bCs/>
                      <w:color w:val="auto"/>
                      <w:sz w:val="18"/>
                      <w:szCs w:val="18"/>
                    </w:rPr>
                  </w:pPr>
                  <w:r>
                    <w:rPr>
                      <w:bCs/>
                      <w:color w:val="auto"/>
                      <w:sz w:val="18"/>
                      <w:szCs w:val="18"/>
                    </w:rPr>
                    <w:t>CO</w:t>
                  </w:r>
                </w:p>
              </w:tc>
              <w:tc>
                <w:tcPr>
                  <w:tcW w:w="2995" w:type="dxa"/>
                  <w:vAlign w:val="center"/>
                </w:tcPr>
                <w:p>
                  <w:pPr>
                    <w:jc w:val="center"/>
                    <w:rPr>
                      <w:bCs/>
                      <w:color w:val="auto"/>
                      <w:sz w:val="18"/>
                      <w:szCs w:val="18"/>
                    </w:rPr>
                  </w:pPr>
                  <w:r>
                    <w:rPr>
                      <w:color w:val="auto"/>
                      <w:sz w:val="18"/>
                      <w:szCs w:val="18"/>
                    </w:rPr>
                    <w:t>95百分位最大8小时平均</w:t>
                  </w:r>
                </w:p>
              </w:tc>
              <w:tc>
                <w:tcPr>
                  <w:tcW w:w="1269" w:type="dxa"/>
                  <w:vAlign w:val="center"/>
                </w:tcPr>
                <w:p>
                  <w:pPr>
                    <w:jc w:val="center"/>
                    <w:rPr>
                      <w:bCs/>
                      <w:color w:val="auto"/>
                      <w:sz w:val="18"/>
                      <w:szCs w:val="18"/>
                    </w:rPr>
                  </w:pPr>
                  <w:r>
                    <w:rPr>
                      <w:rFonts w:hint="eastAsia"/>
                      <w:bCs/>
                      <w:color w:val="auto"/>
                      <w:sz w:val="18"/>
                      <w:szCs w:val="18"/>
                    </w:rPr>
                    <w:t>9</w:t>
                  </w:r>
                  <w:r>
                    <w:rPr>
                      <w:bCs/>
                      <w:color w:val="auto"/>
                      <w:sz w:val="18"/>
                      <w:szCs w:val="18"/>
                    </w:rPr>
                    <w:t>00</w:t>
                  </w:r>
                </w:p>
              </w:tc>
              <w:tc>
                <w:tcPr>
                  <w:tcW w:w="1235" w:type="dxa"/>
                  <w:vAlign w:val="center"/>
                </w:tcPr>
                <w:p>
                  <w:pPr>
                    <w:jc w:val="center"/>
                    <w:rPr>
                      <w:bCs/>
                      <w:color w:val="auto"/>
                      <w:sz w:val="18"/>
                      <w:szCs w:val="18"/>
                    </w:rPr>
                  </w:pPr>
                  <w:r>
                    <w:rPr>
                      <w:bCs/>
                      <w:color w:val="auto"/>
                      <w:sz w:val="18"/>
                      <w:szCs w:val="18"/>
                    </w:rPr>
                    <w:t>4000</w:t>
                  </w:r>
                </w:p>
              </w:tc>
              <w:tc>
                <w:tcPr>
                  <w:tcW w:w="1305" w:type="dxa"/>
                  <w:vAlign w:val="center"/>
                </w:tcPr>
                <w:p>
                  <w:pPr>
                    <w:jc w:val="center"/>
                    <w:rPr>
                      <w:bCs/>
                      <w:color w:val="auto"/>
                      <w:sz w:val="18"/>
                      <w:szCs w:val="18"/>
                    </w:rPr>
                  </w:pPr>
                  <w:r>
                    <w:rPr>
                      <w:rFonts w:hint="eastAsia"/>
                      <w:bCs/>
                      <w:color w:val="auto"/>
                      <w:sz w:val="18"/>
                      <w:szCs w:val="18"/>
                    </w:rPr>
                    <w:t>22.5</w:t>
                  </w:r>
                  <w:r>
                    <w:rPr>
                      <w:bCs/>
                      <w:color w:val="auto"/>
                      <w:sz w:val="18"/>
                      <w:szCs w:val="18"/>
                    </w:rPr>
                    <w:t>%</w:t>
                  </w:r>
                </w:p>
              </w:tc>
              <w:tc>
                <w:tcPr>
                  <w:tcW w:w="1400" w:type="dxa"/>
                  <w:vAlign w:val="center"/>
                </w:tcPr>
                <w:p>
                  <w:pPr>
                    <w:jc w:val="center"/>
                    <w:rPr>
                      <w:bCs/>
                      <w:color w:val="auto"/>
                      <w:sz w:val="18"/>
                      <w:szCs w:val="18"/>
                    </w:rPr>
                  </w:pPr>
                  <w:r>
                    <w:rPr>
                      <w:bCs/>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07" w:type="dxa"/>
                  <w:bottom w:w="0" w:type="dxa"/>
                  <w:right w:w="108" w:type="dxa"/>
                </w:tblCellMar>
              </w:tblPrEx>
              <w:trPr>
                <w:trHeight w:val="284" w:hRule="atLeast"/>
                <w:jc w:val="center"/>
              </w:trPr>
              <w:tc>
                <w:tcPr>
                  <w:tcW w:w="920" w:type="dxa"/>
                  <w:vAlign w:val="center"/>
                </w:tcPr>
                <w:p>
                  <w:pPr>
                    <w:jc w:val="center"/>
                    <w:rPr>
                      <w:bCs/>
                      <w:color w:val="auto"/>
                      <w:sz w:val="18"/>
                      <w:szCs w:val="18"/>
                    </w:rPr>
                  </w:pPr>
                  <w:r>
                    <w:rPr>
                      <w:bCs/>
                      <w:color w:val="auto"/>
                      <w:sz w:val="18"/>
                      <w:szCs w:val="18"/>
                    </w:rPr>
                    <w:t>O</w:t>
                  </w:r>
                  <w:r>
                    <w:rPr>
                      <w:bCs/>
                      <w:color w:val="auto"/>
                      <w:sz w:val="18"/>
                      <w:szCs w:val="18"/>
                      <w:vertAlign w:val="subscript"/>
                    </w:rPr>
                    <w:t>3</w:t>
                  </w:r>
                </w:p>
              </w:tc>
              <w:tc>
                <w:tcPr>
                  <w:tcW w:w="2995" w:type="dxa"/>
                  <w:vAlign w:val="center"/>
                </w:tcPr>
                <w:p>
                  <w:pPr>
                    <w:widowControl/>
                    <w:jc w:val="center"/>
                    <w:rPr>
                      <w:bCs/>
                      <w:color w:val="auto"/>
                      <w:sz w:val="18"/>
                      <w:szCs w:val="18"/>
                    </w:rPr>
                  </w:pPr>
                  <w:r>
                    <w:rPr>
                      <w:color w:val="auto"/>
                      <w:kern w:val="0"/>
                      <w:sz w:val="18"/>
                      <w:szCs w:val="18"/>
                      <w:lang w:bidi="ar"/>
                    </w:rPr>
                    <w:t>90百分位数日平均</w:t>
                  </w:r>
                </w:p>
              </w:tc>
              <w:tc>
                <w:tcPr>
                  <w:tcW w:w="1269" w:type="dxa"/>
                  <w:vAlign w:val="center"/>
                </w:tcPr>
                <w:p>
                  <w:pPr>
                    <w:jc w:val="center"/>
                    <w:rPr>
                      <w:bCs/>
                      <w:color w:val="auto"/>
                      <w:sz w:val="18"/>
                      <w:szCs w:val="18"/>
                    </w:rPr>
                  </w:pPr>
                  <w:r>
                    <w:rPr>
                      <w:rFonts w:hint="eastAsia"/>
                      <w:bCs/>
                      <w:color w:val="auto"/>
                      <w:sz w:val="18"/>
                      <w:szCs w:val="18"/>
                    </w:rPr>
                    <w:t>178</w:t>
                  </w:r>
                </w:p>
              </w:tc>
              <w:tc>
                <w:tcPr>
                  <w:tcW w:w="1235" w:type="dxa"/>
                  <w:vAlign w:val="center"/>
                </w:tcPr>
                <w:p>
                  <w:pPr>
                    <w:jc w:val="center"/>
                    <w:rPr>
                      <w:bCs/>
                      <w:color w:val="auto"/>
                      <w:sz w:val="18"/>
                      <w:szCs w:val="18"/>
                    </w:rPr>
                  </w:pPr>
                  <w:r>
                    <w:rPr>
                      <w:bCs/>
                      <w:color w:val="auto"/>
                      <w:sz w:val="18"/>
                      <w:szCs w:val="18"/>
                    </w:rPr>
                    <w:t>160</w:t>
                  </w:r>
                </w:p>
              </w:tc>
              <w:tc>
                <w:tcPr>
                  <w:tcW w:w="1305" w:type="dxa"/>
                  <w:vAlign w:val="center"/>
                </w:tcPr>
                <w:p>
                  <w:pPr>
                    <w:jc w:val="center"/>
                    <w:rPr>
                      <w:bCs/>
                      <w:color w:val="auto"/>
                      <w:sz w:val="18"/>
                      <w:szCs w:val="18"/>
                    </w:rPr>
                  </w:pPr>
                  <w:r>
                    <w:rPr>
                      <w:rFonts w:hint="eastAsia"/>
                      <w:bCs/>
                      <w:color w:val="auto"/>
                      <w:sz w:val="18"/>
                      <w:szCs w:val="18"/>
                    </w:rPr>
                    <w:t>111.3</w:t>
                  </w:r>
                  <w:r>
                    <w:rPr>
                      <w:bCs/>
                      <w:color w:val="auto"/>
                      <w:sz w:val="18"/>
                      <w:szCs w:val="18"/>
                    </w:rPr>
                    <w:t>%</w:t>
                  </w:r>
                </w:p>
              </w:tc>
              <w:tc>
                <w:tcPr>
                  <w:tcW w:w="1400" w:type="dxa"/>
                  <w:vAlign w:val="center"/>
                </w:tcPr>
                <w:p>
                  <w:pPr>
                    <w:jc w:val="center"/>
                    <w:rPr>
                      <w:bCs/>
                      <w:color w:val="auto"/>
                      <w:sz w:val="18"/>
                      <w:szCs w:val="18"/>
                    </w:rPr>
                  </w:pPr>
                  <w:r>
                    <w:rPr>
                      <w:rFonts w:hint="eastAsia"/>
                      <w:bCs/>
                      <w:color w:val="auto"/>
                      <w:sz w:val="18"/>
                      <w:szCs w:val="18"/>
                    </w:rPr>
                    <w:t>超</w:t>
                  </w:r>
                  <w:r>
                    <w:rPr>
                      <w:bCs/>
                      <w:color w:val="auto"/>
                      <w:sz w:val="18"/>
                      <w:szCs w:val="18"/>
                    </w:rPr>
                    <w:t>标</w:t>
                  </w:r>
                </w:p>
              </w:tc>
            </w:tr>
          </w:tbl>
          <w:p>
            <w:pPr>
              <w:spacing w:line="360" w:lineRule="auto"/>
              <w:ind w:firstLine="420" w:firstLineChars="200"/>
              <w:rPr>
                <w:color w:val="auto"/>
                <w:szCs w:val="21"/>
              </w:rPr>
            </w:pPr>
            <w:r>
              <w:rPr>
                <w:color w:val="auto"/>
                <w:szCs w:val="21"/>
              </w:rPr>
              <w:t>项目所在区域 O</w:t>
            </w:r>
            <w:r>
              <w:rPr>
                <w:color w:val="auto"/>
                <w:szCs w:val="21"/>
                <w:vertAlign w:val="subscript"/>
              </w:rPr>
              <w:t>3</w:t>
            </w:r>
            <w:r>
              <w:rPr>
                <w:color w:val="auto"/>
                <w:szCs w:val="21"/>
              </w:rPr>
              <w:t>超标，因此判定为环境空气质量不达标区。根据《苏州市空气质量改善达标规划（2019~2024 年）》，空气质量达标期限与分阶段目标如下：到 2020 年，SO</w:t>
            </w:r>
            <w:r>
              <w:rPr>
                <w:color w:val="auto"/>
                <w:szCs w:val="21"/>
                <w:vertAlign w:val="subscript"/>
              </w:rPr>
              <w:t>2</w:t>
            </w:r>
            <w:r>
              <w:rPr>
                <w:color w:val="auto"/>
                <w:szCs w:val="21"/>
              </w:rPr>
              <w:t>、NOx、VOCs 排放总量均比 2015 年下降 20%以上；确保 PM</w:t>
            </w:r>
            <w:r>
              <w:rPr>
                <w:color w:val="auto"/>
                <w:szCs w:val="21"/>
                <w:vertAlign w:val="subscript"/>
              </w:rPr>
              <w:t>2.5</w:t>
            </w:r>
            <w:r>
              <w:rPr>
                <w:color w:val="auto"/>
                <w:szCs w:val="21"/>
              </w:rPr>
              <w:t>浓度比 2015 年下降25%以上，力争达到 39μg/cm</w:t>
            </w:r>
            <w:r>
              <w:rPr>
                <w:color w:val="auto"/>
                <w:szCs w:val="21"/>
                <w:vertAlign w:val="superscript"/>
              </w:rPr>
              <w:t>3</w:t>
            </w:r>
            <w:r>
              <w:rPr>
                <w:color w:val="auto"/>
                <w:szCs w:val="21"/>
              </w:rPr>
              <w:t>；确保空气质量优良天数比率达到 75%；确保重度及以上污染天数比率比 2015 年下降 25%以上；确保全面实现“十三五”约束性目标。力争到 2024年，苏州市 PM</w:t>
            </w:r>
            <w:r>
              <w:rPr>
                <w:color w:val="auto"/>
                <w:szCs w:val="21"/>
                <w:vertAlign w:val="subscript"/>
              </w:rPr>
              <w:t>2.5</w:t>
            </w:r>
            <w:r>
              <w:rPr>
                <w:color w:val="auto"/>
                <w:szCs w:val="21"/>
              </w:rPr>
              <w:t>浓度达到 35μg/cm</w:t>
            </w:r>
            <w:r>
              <w:rPr>
                <w:color w:val="auto"/>
                <w:szCs w:val="21"/>
                <w:vertAlign w:val="superscript"/>
              </w:rPr>
              <w:t>3</w:t>
            </w:r>
            <w:r>
              <w:rPr>
                <w:color w:val="auto"/>
                <w:szCs w:val="21"/>
              </w:rPr>
              <w:t>左右，O</w:t>
            </w:r>
            <w:r>
              <w:rPr>
                <w:color w:val="auto"/>
                <w:szCs w:val="21"/>
                <w:vertAlign w:val="subscript"/>
              </w:rPr>
              <w:t>3</w:t>
            </w:r>
            <w:r>
              <w:rPr>
                <w:color w:val="auto"/>
                <w:szCs w:val="21"/>
              </w:rPr>
              <w:t>浓度达到拐点，除 O</w:t>
            </w:r>
            <w:r>
              <w:rPr>
                <w:color w:val="auto"/>
                <w:szCs w:val="21"/>
                <w:vertAlign w:val="subscript"/>
              </w:rPr>
              <w:t>3</w:t>
            </w:r>
            <w:r>
              <w:rPr>
                <w:color w:val="auto"/>
                <w:szCs w:val="21"/>
              </w:rPr>
              <w:t>以外的主要大气污染物浓度达到国家二级标准要求，空气质量优良天数比率达到 80%。苏州市环境空气质量在 2024 年实现全面达标。因此预计区域大气环境质量状况可以得到进一步改善，能够达标。</w:t>
            </w:r>
          </w:p>
          <w:p>
            <w:pPr>
              <w:spacing w:line="360" w:lineRule="auto"/>
              <w:ind w:firstLine="420" w:firstLineChars="200"/>
              <w:rPr>
                <w:color w:val="auto"/>
                <w:szCs w:val="21"/>
              </w:rPr>
            </w:pPr>
            <w:r>
              <w:rPr>
                <w:color w:val="auto"/>
                <w:szCs w:val="21"/>
              </w:rPr>
              <w:t>（2）特征环境质量现状</w:t>
            </w:r>
          </w:p>
          <w:p>
            <w:pPr>
              <w:spacing w:line="360" w:lineRule="auto"/>
              <w:ind w:firstLine="420" w:firstLineChars="200"/>
              <w:rPr>
                <w:color w:val="auto"/>
                <w:szCs w:val="21"/>
              </w:rPr>
            </w:pPr>
            <w:r>
              <w:rPr>
                <w:color w:val="auto"/>
                <w:szCs w:val="21"/>
              </w:rPr>
              <w:t>本项目非甲烷总烃环境质量现状引用</w:t>
            </w:r>
            <w:r>
              <w:rPr>
                <w:snapToGrid w:val="0"/>
                <w:color w:val="auto"/>
                <w:kern w:val="0"/>
                <w:szCs w:val="21"/>
              </w:rPr>
              <w:t>《</w:t>
            </w:r>
            <w:bookmarkStart w:id="6" w:name="_Hlk124348092"/>
            <w:r>
              <w:rPr>
                <w:snapToGrid w:val="0"/>
                <w:color w:val="auto"/>
                <w:kern w:val="0"/>
                <w:szCs w:val="21"/>
              </w:rPr>
              <w:t>欧皮特传动系统（太仓）有限公司</w:t>
            </w:r>
            <w:bookmarkEnd w:id="6"/>
            <w:r>
              <w:rPr>
                <w:snapToGrid w:val="0"/>
                <w:color w:val="auto"/>
                <w:kern w:val="0"/>
                <w:szCs w:val="21"/>
              </w:rPr>
              <w:t>扩建橡胶传动皮带包布带项目》环境检测报告[检测报告编号：（2020）国泰监测.太（验）字第（08276）；</w:t>
            </w:r>
            <w:r>
              <w:rPr>
                <w:rFonts w:hint="eastAsia"/>
                <w:snapToGrid w:val="0"/>
                <w:color w:val="auto"/>
                <w:kern w:val="0"/>
                <w:szCs w:val="21"/>
              </w:rPr>
              <w:t>监测时间：2</w:t>
            </w:r>
            <w:r>
              <w:rPr>
                <w:snapToGrid w:val="0"/>
                <w:color w:val="auto"/>
                <w:kern w:val="0"/>
                <w:szCs w:val="21"/>
              </w:rPr>
              <w:t>020</w:t>
            </w:r>
            <w:r>
              <w:rPr>
                <w:rFonts w:hint="eastAsia"/>
                <w:snapToGrid w:val="0"/>
                <w:color w:val="auto"/>
                <w:kern w:val="0"/>
                <w:szCs w:val="21"/>
              </w:rPr>
              <w:t>年8月3</w:t>
            </w:r>
            <w:r>
              <w:rPr>
                <w:snapToGrid w:val="0"/>
                <w:color w:val="auto"/>
                <w:kern w:val="0"/>
                <w:szCs w:val="21"/>
              </w:rPr>
              <w:t>1</w:t>
            </w:r>
            <w:r>
              <w:rPr>
                <w:rFonts w:hint="eastAsia"/>
                <w:snapToGrid w:val="0"/>
                <w:color w:val="auto"/>
                <w:kern w:val="0"/>
                <w:szCs w:val="21"/>
              </w:rPr>
              <w:t>日~</w:t>
            </w:r>
            <w:r>
              <w:rPr>
                <w:snapToGrid w:val="0"/>
                <w:color w:val="auto"/>
                <w:kern w:val="0"/>
                <w:szCs w:val="21"/>
              </w:rPr>
              <w:t>9</w:t>
            </w:r>
            <w:r>
              <w:rPr>
                <w:rFonts w:hint="eastAsia"/>
                <w:snapToGrid w:val="0"/>
                <w:color w:val="auto"/>
                <w:kern w:val="0"/>
                <w:szCs w:val="21"/>
              </w:rPr>
              <w:t>月6日；</w:t>
            </w:r>
            <w:r>
              <w:rPr>
                <w:snapToGrid w:val="0"/>
                <w:color w:val="auto"/>
                <w:kern w:val="0"/>
                <w:szCs w:val="21"/>
              </w:rPr>
              <w:t>检测单位：江苏国泰环境监测有限公司]中G1项目所在地的大气环境现状监测数据</w:t>
            </w:r>
            <w:r>
              <w:rPr>
                <w:color w:val="auto"/>
                <w:szCs w:val="21"/>
              </w:rPr>
              <w:t>，引用情况见表3-2。</w:t>
            </w:r>
          </w:p>
          <w:p>
            <w:pPr>
              <w:jc w:val="center"/>
              <w:rPr>
                <w:b/>
                <w:color w:val="auto"/>
                <w:szCs w:val="21"/>
              </w:rPr>
            </w:pPr>
            <w:r>
              <w:rPr>
                <w:b/>
                <w:color w:val="auto"/>
                <w:szCs w:val="21"/>
              </w:rPr>
              <w:t xml:space="preserve">表3-2  </w:t>
            </w:r>
            <w:r>
              <w:rPr>
                <w:b/>
                <w:bCs/>
                <w:snapToGrid w:val="0"/>
                <w:color w:val="auto"/>
                <w:kern w:val="0"/>
                <w:szCs w:val="21"/>
              </w:rPr>
              <w:t>大气环境质量现状引用监测点位情况一览表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551"/>
              <w:gridCol w:w="802"/>
              <w:gridCol w:w="805"/>
              <w:gridCol w:w="1949"/>
              <w:gridCol w:w="999"/>
              <w:gridCol w:w="780"/>
              <w:gridCol w:w="246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53" w:hRule="atLeast"/>
                <w:jc w:val="center"/>
              </w:trPr>
              <w:tc>
                <w:tcPr>
                  <w:tcW w:w="830" w:type="pct"/>
                  <w:vMerge w:val="restart"/>
                  <w:shd w:val="clear" w:color="auto" w:fill="auto"/>
                  <w:vAlign w:val="center"/>
                </w:tcPr>
                <w:p>
                  <w:pPr>
                    <w:overflowPunct w:val="0"/>
                    <w:autoSpaceDE w:val="0"/>
                    <w:autoSpaceDN w:val="0"/>
                    <w:adjustRightInd w:val="0"/>
                    <w:snapToGrid w:val="0"/>
                    <w:jc w:val="center"/>
                    <w:rPr>
                      <w:b/>
                      <w:bCs/>
                      <w:snapToGrid w:val="0"/>
                      <w:color w:val="auto"/>
                      <w:kern w:val="0"/>
                      <w:sz w:val="18"/>
                      <w:szCs w:val="18"/>
                    </w:rPr>
                  </w:pPr>
                  <w:r>
                    <w:rPr>
                      <w:b/>
                      <w:bCs/>
                      <w:snapToGrid w:val="0"/>
                      <w:color w:val="auto"/>
                      <w:kern w:val="0"/>
                      <w:sz w:val="18"/>
                      <w:szCs w:val="18"/>
                    </w:rPr>
                    <w:t>监测点位</w:t>
                  </w:r>
                </w:p>
              </w:tc>
              <w:tc>
                <w:tcPr>
                  <w:tcW w:w="859" w:type="pct"/>
                  <w:gridSpan w:val="2"/>
                  <w:shd w:val="clear" w:color="auto" w:fill="auto"/>
                  <w:vAlign w:val="center"/>
                </w:tcPr>
                <w:p>
                  <w:pPr>
                    <w:overflowPunct w:val="0"/>
                    <w:autoSpaceDE w:val="0"/>
                    <w:autoSpaceDN w:val="0"/>
                    <w:adjustRightInd w:val="0"/>
                    <w:snapToGrid w:val="0"/>
                    <w:jc w:val="center"/>
                    <w:rPr>
                      <w:b/>
                      <w:bCs/>
                      <w:snapToGrid w:val="0"/>
                      <w:color w:val="auto"/>
                      <w:kern w:val="0"/>
                      <w:sz w:val="18"/>
                      <w:szCs w:val="18"/>
                    </w:rPr>
                  </w:pPr>
                  <w:r>
                    <w:rPr>
                      <w:b/>
                      <w:snapToGrid w:val="0"/>
                      <w:color w:val="auto"/>
                      <w:kern w:val="0"/>
                      <w:sz w:val="18"/>
                      <w:szCs w:val="18"/>
                    </w:rPr>
                    <w:t>监测点坐标/m</w:t>
                  </w:r>
                </w:p>
              </w:tc>
              <w:tc>
                <w:tcPr>
                  <w:tcW w:w="1042" w:type="pct"/>
                  <w:vMerge w:val="restart"/>
                  <w:shd w:val="clear" w:color="auto" w:fill="auto"/>
                  <w:vAlign w:val="center"/>
                </w:tcPr>
                <w:p>
                  <w:pPr>
                    <w:overflowPunct w:val="0"/>
                    <w:autoSpaceDE w:val="0"/>
                    <w:autoSpaceDN w:val="0"/>
                    <w:adjustRightInd w:val="0"/>
                    <w:snapToGrid w:val="0"/>
                    <w:jc w:val="center"/>
                    <w:rPr>
                      <w:b/>
                      <w:bCs/>
                      <w:snapToGrid w:val="0"/>
                      <w:color w:val="auto"/>
                      <w:kern w:val="0"/>
                      <w:sz w:val="18"/>
                      <w:szCs w:val="18"/>
                    </w:rPr>
                  </w:pPr>
                  <w:r>
                    <w:rPr>
                      <w:b/>
                      <w:bCs/>
                      <w:snapToGrid w:val="0"/>
                      <w:color w:val="auto"/>
                      <w:kern w:val="0"/>
                      <w:sz w:val="18"/>
                      <w:szCs w:val="18"/>
                    </w:rPr>
                    <w:t>监测日期</w:t>
                  </w:r>
                </w:p>
              </w:tc>
              <w:tc>
                <w:tcPr>
                  <w:tcW w:w="534" w:type="pct"/>
                  <w:vMerge w:val="restart"/>
                  <w:shd w:val="clear" w:color="auto" w:fill="auto"/>
                  <w:vAlign w:val="center"/>
                </w:tcPr>
                <w:p>
                  <w:pPr>
                    <w:overflowPunct w:val="0"/>
                    <w:autoSpaceDE w:val="0"/>
                    <w:autoSpaceDN w:val="0"/>
                    <w:adjustRightInd w:val="0"/>
                    <w:snapToGrid w:val="0"/>
                    <w:jc w:val="center"/>
                    <w:rPr>
                      <w:b/>
                      <w:bCs/>
                      <w:snapToGrid w:val="0"/>
                      <w:color w:val="auto"/>
                      <w:kern w:val="0"/>
                      <w:sz w:val="18"/>
                      <w:szCs w:val="18"/>
                    </w:rPr>
                  </w:pPr>
                  <w:r>
                    <w:rPr>
                      <w:b/>
                      <w:bCs/>
                      <w:snapToGrid w:val="0"/>
                      <w:color w:val="auto"/>
                      <w:kern w:val="0"/>
                      <w:sz w:val="18"/>
                      <w:szCs w:val="18"/>
                    </w:rPr>
                    <w:t>相对厂址</w:t>
                  </w:r>
                </w:p>
                <w:p>
                  <w:pPr>
                    <w:overflowPunct w:val="0"/>
                    <w:autoSpaceDE w:val="0"/>
                    <w:autoSpaceDN w:val="0"/>
                    <w:adjustRightInd w:val="0"/>
                    <w:snapToGrid w:val="0"/>
                    <w:jc w:val="center"/>
                    <w:rPr>
                      <w:b/>
                      <w:bCs/>
                      <w:snapToGrid w:val="0"/>
                      <w:color w:val="auto"/>
                      <w:kern w:val="0"/>
                      <w:sz w:val="18"/>
                      <w:szCs w:val="18"/>
                    </w:rPr>
                  </w:pPr>
                  <w:r>
                    <w:rPr>
                      <w:b/>
                      <w:bCs/>
                      <w:snapToGrid w:val="0"/>
                      <w:color w:val="auto"/>
                      <w:kern w:val="0"/>
                      <w:sz w:val="18"/>
                      <w:szCs w:val="18"/>
                    </w:rPr>
                    <w:t>方位</w:t>
                  </w:r>
                </w:p>
              </w:tc>
              <w:tc>
                <w:tcPr>
                  <w:tcW w:w="417" w:type="pct"/>
                  <w:vMerge w:val="restart"/>
                  <w:shd w:val="clear" w:color="auto" w:fill="auto"/>
                  <w:vAlign w:val="center"/>
                </w:tcPr>
                <w:p>
                  <w:pPr>
                    <w:overflowPunct w:val="0"/>
                    <w:autoSpaceDE w:val="0"/>
                    <w:autoSpaceDN w:val="0"/>
                    <w:adjustRightInd w:val="0"/>
                    <w:snapToGrid w:val="0"/>
                    <w:jc w:val="center"/>
                    <w:rPr>
                      <w:b/>
                      <w:bCs/>
                      <w:snapToGrid w:val="0"/>
                      <w:color w:val="auto"/>
                      <w:kern w:val="0"/>
                      <w:sz w:val="18"/>
                      <w:szCs w:val="18"/>
                    </w:rPr>
                  </w:pPr>
                  <w:r>
                    <w:rPr>
                      <w:b/>
                      <w:bCs/>
                      <w:snapToGrid w:val="0"/>
                      <w:color w:val="auto"/>
                      <w:kern w:val="0"/>
                      <w:sz w:val="18"/>
                      <w:szCs w:val="18"/>
                    </w:rPr>
                    <w:t>相对</w:t>
                  </w:r>
                </w:p>
                <w:p>
                  <w:pPr>
                    <w:overflowPunct w:val="0"/>
                    <w:autoSpaceDE w:val="0"/>
                    <w:autoSpaceDN w:val="0"/>
                    <w:adjustRightInd w:val="0"/>
                    <w:snapToGrid w:val="0"/>
                    <w:jc w:val="center"/>
                    <w:rPr>
                      <w:b/>
                      <w:bCs/>
                      <w:snapToGrid w:val="0"/>
                      <w:color w:val="auto"/>
                      <w:kern w:val="0"/>
                      <w:sz w:val="18"/>
                      <w:szCs w:val="18"/>
                    </w:rPr>
                  </w:pPr>
                  <w:r>
                    <w:rPr>
                      <w:b/>
                      <w:bCs/>
                      <w:snapToGrid w:val="0"/>
                      <w:color w:val="auto"/>
                      <w:kern w:val="0"/>
                      <w:sz w:val="18"/>
                      <w:szCs w:val="18"/>
                    </w:rPr>
                    <w:t>距离/m</w:t>
                  </w:r>
                </w:p>
              </w:tc>
              <w:tc>
                <w:tcPr>
                  <w:tcW w:w="1318" w:type="pct"/>
                  <w:vMerge w:val="restart"/>
                  <w:shd w:val="clear" w:color="auto" w:fill="auto"/>
                  <w:vAlign w:val="center"/>
                </w:tcPr>
                <w:p>
                  <w:pPr>
                    <w:overflowPunct w:val="0"/>
                    <w:autoSpaceDE w:val="0"/>
                    <w:autoSpaceDN w:val="0"/>
                    <w:adjustRightInd w:val="0"/>
                    <w:snapToGrid w:val="0"/>
                    <w:jc w:val="center"/>
                    <w:rPr>
                      <w:b/>
                      <w:bCs/>
                      <w:snapToGrid w:val="0"/>
                      <w:color w:val="auto"/>
                      <w:kern w:val="0"/>
                      <w:sz w:val="18"/>
                      <w:szCs w:val="18"/>
                    </w:rPr>
                  </w:pPr>
                  <w:r>
                    <w:rPr>
                      <w:b/>
                      <w:bCs/>
                      <w:snapToGrid w:val="0"/>
                      <w:color w:val="auto"/>
                      <w:kern w:val="0"/>
                      <w:sz w:val="18"/>
                      <w:szCs w:val="18"/>
                    </w:rPr>
                    <w:t>引用监测因子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55" w:hRule="atLeast"/>
                <w:jc w:val="center"/>
              </w:trPr>
              <w:tc>
                <w:tcPr>
                  <w:tcW w:w="830" w:type="pct"/>
                  <w:vMerge w:val="continue"/>
                  <w:shd w:val="clear" w:color="auto" w:fill="auto"/>
                  <w:vAlign w:val="center"/>
                </w:tcPr>
                <w:p>
                  <w:pPr>
                    <w:overflowPunct w:val="0"/>
                    <w:autoSpaceDE w:val="0"/>
                    <w:autoSpaceDN w:val="0"/>
                    <w:adjustRightInd w:val="0"/>
                    <w:snapToGrid w:val="0"/>
                    <w:jc w:val="center"/>
                    <w:rPr>
                      <w:b/>
                      <w:bCs/>
                      <w:snapToGrid w:val="0"/>
                      <w:color w:val="auto"/>
                      <w:kern w:val="0"/>
                      <w:sz w:val="18"/>
                      <w:szCs w:val="18"/>
                    </w:rPr>
                  </w:pPr>
                </w:p>
              </w:tc>
              <w:tc>
                <w:tcPr>
                  <w:tcW w:w="429" w:type="pct"/>
                  <w:shd w:val="clear" w:color="auto" w:fill="auto"/>
                  <w:vAlign w:val="center"/>
                </w:tcPr>
                <w:p>
                  <w:pPr>
                    <w:overflowPunct w:val="0"/>
                    <w:autoSpaceDE w:val="0"/>
                    <w:autoSpaceDN w:val="0"/>
                    <w:adjustRightInd w:val="0"/>
                    <w:snapToGrid w:val="0"/>
                    <w:jc w:val="center"/>
                    <w:rPr>
                      <w:b/>
                      <w:bCs/>
                      <w:snapToGrid w:val="0"/>
                      <w:color w:val="auto"/>
                      <w:kern w:val="0"/>
                      <w:sz w:val="18"/>
                      <w:szCs w:val="18"/>
                    </w:rPr>
                  </w:pPr>
                  <w:r>
                    <w:rPr>
                      <w:b/>
                      <w:bCs/>
                      <w:snapToGrid w:val="0"/>
                      <w:color w:val="auto"/>
                      <w:kern w:val="0"/>
                      <w:sz w:val="18"/>
                      <w:szCs w:val="18"/>
                    </w:rPr>
                    <w:t>X</w:t>
                  </w:r>
                </w:p>
              </w:tc>
              <w:tc>
                <w:tcPr>
                  <w:tcW w:w="430" w:type="pct"/>
                  <w:shd w:val="clear" w:color="auto" w:fill="auto"/>
                  <w:vAlign w:val="center"/>
                </w:tcPr>
                <w:p>
                  <w:pPr>
                    <w:overflowPunct w:val="0"/>
                    <w:autoSpaceDE w:val="0"/>
                    <w:autoSpaceDN w:val="0"/>
                    <w:adjustRightInd w:val="0"/>
                    <w:snapToGrid w:val="0"/>
                    <w:jc w:val="center"/>
                    <w:rPr>
                      <w:b/>
                      <w:bCs/>
                      <w:snapToGrid w:val="0"/>
                      <w:color w:val="auto"/>
                      <w:kern w:val="0"/>
                      <w:sz w:val="18"/>
                      <w:szCs w:val="18"/>
                    </w:rPr>
                  </w:pPr>
                  <w:r>
                    <w:rPr>
                      <w:b/>
                      <w:bCs/>
                      <w:snapToGrid w:val="0"/>
                      <w:color w:val="auto"/>
                      <w:kern w:val="0"/>
                      <w:sz w:val="18"/>
                      <w:szCs w:val="18"/>
                    </w:rPr>
                    <w:t>Y</w:t>
                  </w:r>
                </w:p>
              </w:tc>
              <w:tc>
                <w:tcPr>
                  <w:tcW w:w="1042" w:type="pct"/>
                  <w:vMerge w:val="continue"/>
                  <w:shd w:val="clear" w:color="auto" w:fill="auto"/>
                  <w:vAlign w:val="center"/>
                </w:tcPr>
                <w:p>
                  <w:pPr>
                    <w:overflowPunct w:val="0"/>
                    <w:autoSpaceDE w:val="0"/>
                    <w:autoSpaceDN w:val="0"/>
                    <w:adjustRightInd w:val="0"/>
                    <w:snapToGrid w:val="0"/>
                    <w:jc w:val="center"/>
                    <w:rPr>
                      <w:b/>
                      <w:bCs/>
                      <w:snapToGrid w:val="0"/>
                      <w:color w:val="auto"/>
                      <w:kern w:val="0"/>
                      <w:sz w:val="18"/>
                      <w:szCs w:val="18"/>
                    </w:rPr>
                  </w:pPr>
                </w:p>
              </w:tc>
              <w:tc>
                <w:tcPr>
                  <w:tcW w:w="534" w:type="pct"/>
                  <w:vMerge w:val="continue"/>
                  <w:shd w:val="clear" w:color="auto" w:fill="auto"/>
                  <w:vAlign w:val="center"/>
                </w:tcPr>
                <w:p>
                  <w:pPr>
                    <w:overflowPunct w:val="0"/>
                    <w:autoSpaceDE w:val="0"/>
                    <w:autoSpaceDN w:val="0"/>
                    <w:adjustRightInd w:val="0"/>
                    <w:snapToGrid w:val="0"/>
                    <w:jc w:val="center"/>
                    <w:rPr>
                      <w:b/>
                      <w:bCs/>
                      <w:snapToGrid w:val="0"/>
                      <w:color w:val="auto"/>
                      <w:kern w:val="0"/>
                      <w:sz w:val="18"/>
                      <w:szCs w:val="18"/>
                    </w:rPr>
                  </w:pPr>
                </w:p>
              </w:tc>
              <w:tc>
                <w:tcPr>
                  <w:tcW w:w="417" w:type="pct"/>
                  <w:vMerge w:val="continue"/>
                  <w:shd w:val="clear" w:color="auto" w:fill="auto"/>
                  <w:vAlign w:val="center"/>
                </w:tcPr>
                <w:p>
                  <w:pPr>
                    <w:overflowPunct w:val="0"/>
                    <w:autoSpaceDE w:val="0"/>
                    <w:autoSpaceDN w:val="0"/>
                    <w:adjustRightInd w:val="0"/>
                    <w:snapToGrid w:val="0"/>
                    <w:jc w:val="center"/>
                    <w:rPr>
                      <w:b/>
                      <w:bCs/>
                      <w:snapToGrid w:val="0"/>
                      <w:color w:val="auto"/>
                      <w:kern w:val="0"/>
                      <w:sz w:val="18"/>
                      <w:szCs w:val="18"/>
                    </w:rPr>
                  </w:pPr>
                </w:p>
              </w:tc>
              <w:tc>
                <w:tcPr>
                  <w:tcW w:w="1318" w:type="pct"/>
                  <w:vMerge w:val="continue"/>
                  <w:shd w:val="clear" w:color="auto" w:fill="auto"/>
                  <w:vAlign w:val="center"/>
                </w:tcPr>
                <w:p>
                  <w:pPr>
                    <w:overflowPunct w:val="0"/>
                    <w:autoSpaceDE w:val="0"/>
                    <w:autoSpaceDN w:val="0"/>
                    <w:adjustRightInd w:val="0"/>
                    <w:snapToGrid w:val="0"/>
                    <w:jc w:val="center"/>
                    <w:rPr>
                      <w:b/>
                      <w:bCs/>
                      <w:snapToGrid w:val="0"/>
                      <w:color w:val="auto"/>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30" w:type="pct"/>
                  <w:shd w:val="clear" w:color="auto" w:fill="auto"/>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项目所在地G1</w:t>
                  </w:r>
                </w:p>
              </w:tc>
              <w:tc>
                <w:tcPr>
                  <w:tcW w:w="429" w:type="pct"/>
                  <w:shd w:val="clear" w:color="auto" w:fill="auto"/>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1370</w:t>
                  </w:r>
                </w:p>
              </w:tc>
              <w:tc>
                <w:tcPr>
                  <w:tcW w:w="430" w:type="pct"/>
                  <w:shd w:val="clear" w:color="auto" w:fill="auto"/>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-2177</w:t>
                  </w:r>
                </w:p>
              </w:tc>
              <w:tc>
                <w:tcPr>
                  <w:tcW w:w="1042" w:type="pct"/>
                  <w:shd w:val="clear" w:color="auto" w:fill="auto"/>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2020.8.31~2020.9.6</w:t>
                  </w:r>
                </w:p>
              </w:tc>
              <w:tc>
                <w:tcPr>
                  <w:tcW w:w="534" w:type="pct"/>
                  <w:shd w:val="clear" w:color="auto" w:fill="auto"/>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SW</w:t>
                  </w:r>
                </w:p>
              </w:tc>
              <w:tc>
                <w:tcPr>
                  <w:tcW w:w="417" w:type="pct"/>
                  <w:shd w:val="clear" w:color="auto" w:fill="auto"/>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1500</w:t>
                  </w:r>
                </w:p>
              </w:tc>
              <w:tc>
                <w:tcPr>
                  <w:tcW w:w="1318" w:type="pct"/>
                  <w:shd w:val="clear" w:color="auto" w:fill="auto"/>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非甲烷总烃</w:t>
                  </w:r>
                  <w:r>
                    <w:rPr>
                      <w:rFonts w:hint="eastAsia"/>
                      <w:snapToGrid w:val="0"/>
                      <w:color w:val="auto"/>
                      <w:kern w:val="0"/>
                      <w:sz w:val="18"/>
                      <w:szCs w:val="18"/>
                    </w:rPr>
                    <w:t>、硫化氢</w:t>
                  </w:r>
                </w:p>
              </w:tc>
            </w:tr>
          </w:tbl>
          <w:p>
            <w:pPr>
              <w:overflowPunct w:val="0"/>
              <w:autoSpaceDE w:val="0"/>
              <w:autoSpaceDN w:val="0"/>
              <w:adjustRightInd w:val="0"/>
              <w:snapToGrid w:val="0"/>
              <w:rPr>
                <w:b/>
                <w:bCs/>
                <w:snapToGrid w:val="0"/>
                <w:color w:val="auto"/>
                <w:kern w:val="0"/>
                <w:szCs w:val="21"/>
              </w:rPr>
            </w:pPr>
            <w:r>
              <w:rPr>
                <w:snapToGrid w:val="0"/>
                <w:color w:val="auto"/>
                <w:kern w:val="0"/>
                <w:sz w:val="18"/>
                <w:szCs w:val="18"/>
              </w:rPr>
              <w:t>注：以本项目厂区东南角作为坐标原点（0</w:t>
            </w:r>
            <w:r>
              <w:rPr>
                <w:rFonts w:hint="eastAsia"/>
                <w:snapToGrid w:val="0"/>
                <w:color w:val="auto"/>
                <w:kern w:val="0"/>
                <w:sz w:val="18"/>
                <w:szCs w:val="18"/>
              </w:rPr>
              <w:t>，</w:t>
            </w:r>
            <w:r>
              <w:rPr>
                <w:snapToGrid w:val="0"/>
                <w:color w:val="auto"/>
                <w:kern w:val="0"/>
                <w:sz w:val="18"/>
                <w:szCs w:val="18"/>
              </w:rPr>
              <w:t>0），坐标点选取距离本项目厂址最近点位。</w:t>
            </w:r>
          </w:p>
          <w:p>
            <w:pPr>
              <w:overflowPunct w:val="0"/>
              <w:autoSpaceDE w:val="0"/>
              <w:autoSpaceDN w:val="0"/>
              <w:adjustRightInd w:val="0"/>
              <w:snapToGrid w:val="0"/>
              <w:spacing w:before="120" w:beforeLines="50" w:line="360" w:lineRule="auto"/>
              <w:ind w:firstLine="420" w:firstLineChars="200"/>
              <w:rPr>
                <w:snapToGrid w:val="0"/>
                <w:color w:val="auto"/>
                <w:kern w:val="0"/>
                <w:szCs w:val="21"/>
              </w:rPr>
            </w:pPr>
            <w:r>
              <w:rPr>
                <w:snapToGrid w:val="0"/>
                <w:color w:val="auto"/>
                <w:kern w:val="0"/>
                <w:szCs w:val="21"/>
              </w:rPr>
              <w:t>《建设项目环境影响报告表编制技术指南（污染影响类）（试行）》规定：排放国家、地方环境空气质量标准中有标准限值要求的特征污染物时，引用建设项目周边5千米范围内近3年的现有监测数据。根据上表，本项目引用监测点位在周边5km范围内且监测时间在3年内，因此引用项目现状监测数据是有效的。监测结果见表3-3。</w:t>
            </w:r>
          </w:p>
          <w:p>
            <w:pPr>
              <w:overflowPunct w:val="0"/>
              <w:autoSpaceDE w:val="0"/>
              <w:autoSpaceDN w:val="0"/>
              <w:adjustRightInd w:val="0"/>
              <w:snapToGrid w:val="0"/>
              <w:jc w:val="center"/>
              <w:rPr>
                <w:b/>
                <w:bCs/>
                <w:snapToGrid w:val="0"/>
                <w:color w:val="auto"/>
                <w:kern w:val="0"/>
                <w:szCs w:val="21"/>
              </w:rPr>
            </w:pPr>
          </w:p>
          <w:p>
            <w:pPr>
              <w:overflowPunct w:val="0"/>
              <w:autoSpaceDE w:val="0"/>
              <w:autoSpaceDN w:val="0"/>
              <w:adjustRightInd w:val="0"/>
              <w:snapToGrid w:val="0"/>
              <w:jc w:val="center"/>
              <w:rPr>
                <w:b/>
                <w:bCs/>
                <w:snapToGrid w:val="0"/>
                <w:color w:val="auto"/>
                <w:kern w:val="0"/>
                <w:szCs w:val="21"/>
              </w:rPr>
            </w:pPr>
            <w:r>
              <w:rPr>
                <w:b/>
                <w:bCs/>
                <w:snapToGrid w:val="0"/>
                <w:color w:val="auto"/>
                <w:kern w:val="0"/>
                <w:szCs w:val="21"/>
              </w:rPr>
              <w:t>表3-3  大气现状质量监测结果表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542"/>
              <w:gridCol w:w="716"/>
              <w:gridCol w:w="716"/>
              <w:gridCol w:w="1144"/>
              <w:gridCol w:w="1139"/>
              <w:gridCol w:w="999"/>
              <w:gridCol w:w="997"/>
              <w:gridCol w:w="887"/>
              <w:gridCol w:w="653"/>
              <w:gridCol w:w="55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24" w:type="pct"/>
                  <w:vMerge w:val="restar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监测点位</w:t>
                  </w:r>
                </w:p>
              </w:tc>
              <w:tc>
                <w:tcPr>
                  <w:tcW w:w="764" w:type="pct"/>
                  <w:gridSpan w:val="2"/>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监测点坐标/m</w:t>
                  </w:r>
                </w:p>
              </w:tc>
              <w:tc>
                <w:tcPr>
                  <w:tcW w:w="611" w:type="pct"/>
                  <w:vMerge w:val="restar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污染物</w:t>
                  </w:r>
                </w:p>
              </w:tc>
              <w:tc>
                <w:tcPr>
                  <w:tcW w:w="609" w:type="pct"/>
                  <w:vMerge w:val="restar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平均时间</w:t>
                  </w:r>
                </w:p>
              </w:tc>
              <w:tc>
                <w:tcPr>
                  <w:tcW w:w="534" w:type="pct"/>
                  <w:vMerge w:val="restar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评价标准</w:t>
                  </w:r>
                </w:p>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（mg/m</w:t>
                  </w:r>
                  <w:r>
                    <w:rPr>
                      <w:b/>
                      <w:snapToGrid w:val="0"/>
                      <w:color w:val="auto"/>
                      <w:kern w:val="0"/>
                      <w:sz w:val="18"/>
                      <w:szCs w:val="18"/>
                      <w:vertAlign w:val="superscript"/>
                    </w:rPr>
                    <w:t>3</w:t>
                  </w:r>
                  <w:r>
                    <w:rPr>
                      <w:b/>
                      <w:snapToGrid w:val="0"/>
                      <w:color w:val="auto"/>
                      <w:kern w:val="0"/>
                      <w:sz w:val="18"/>
                      <w:szCs w:val="18"/>
                    </w:rPr>
                    <w:t>）</w:t>
                  </w:r>
                </w:p>
              </w:tc>
              <w:tc>
                <w:tcPr>
                  <w:tcW w:w="533" w:type="pct"/>
                  <w:vMerge w:val="restar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监测浓度</w:t>
                  </w:r>
                </w:p>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范围</w:t>
                  </w:r>
                </w:p>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（mg/m</w:t>
                  </w:r>
                  <w:r>
                    <w:rPr>
                      <w:b/>
                      <w:snapToGrid w:val="0"/>
                      <w:color w:val="auto"/>
                      <w:kern w:val="0"/>
                      <w:sz w:val="18"/>
                      <w:szCs w:val="18"/>
                      <w:vertAlign w:val="superscript"/>
                    </w:rPr>
                    <w:t>3</w:t>
                  </w:r>
                  <w:r>
                    <w:rPr>
                      <w:b/>
                      <w:snapToGrid w:val="0"/>
                      <w:color w:val="auto"/>
                      <w:kern w:val="0"/>
                      <w:sz w:val="18"/>
                      <w:szCs w:val="18"/>
                    </w:rPr>
                    <w:t>）</w:t>
                  </w:r>
                </w:p>
              </w:tc>
              <w:tc>
                <w:tcPr>
                  <w:tcW w:w="474" w:type="pct"/>
                  <w:vMerge w:val="restar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最大浓度</w:t>
                  </w:r>
                </w:p>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占标率/%</w:t>
                  </w:r>
                </w:p>
              </w:tc>
              <w:tc>
                <w:tcPr>
                  <w:tcW w:w="349" w:type="pct"/>
                  <w:vMerge w:val="restar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超标率/%</w:t>
                  </w:r>
                </w:p>
              </w:tc>
              <w:tc>
                <w:tcPr>
                  <w:tcW w:w="299" w:type="pct"/>
                  <w:vMerge w:val="restar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达标</w:t>
                  </w:r>
                </w:p>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24" w:type="pct"/>
                  <w:vMerge w:val="continue"/>
                  <w:vAlign w:val="center"/>
                </w:tcPr>
                <w:p>
                  <w:pPr>
                    <w:overflowPunct w:val="0"/>
                    <w:autoSpaceDE w:val="0"/>
                    <w:autoSpaceDN w:val="0"/>
                    <w:adjustRightInd w:val="0"/>
                    <w:snapToGrid w:val="0"/>
                    <w:jc w:val="center"/>
                    <w:rPr>
                      <w:b/>
                      <w:snapToGrid w:val="0"/>
                      <w:color w:val="auto"/>
                      <w:kern w:val="0"/>
                      <w:sz w:val="18"/>
                      <w:szCs w:val="18"/>
                    </w:rPr>
                  </w:pPr>
                </w:p>
              </w:tc>
              <w:tc>
                <w:tcPr>
                  <w:tcW w:w="382" w:type="pc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X</w:t>
                  </w:r>
                </w:p>
              </w:tc>
              <w:tc>
                <w:tcPr>
                  <w:tcW w:w="382" w:type="pct"/>
                  <w:vAlign w:val="center"/>
                </w:tcPr>
                <w:p>
                  <w:pPr>
                    <w:overflowPunct w:val="0"/>
                    <w:autoSpaceDE w:val="0"/>
                    <w:autoSpaceDN w:val="0"/>
                    <w:adjustRightInd w:val="0"/>
                    <w:snapToGrid w:val="0"/>
                    <w:jc w:val="center"/>
                    <w:rPr>
                      <w:b/>
                      <w:snapToGrid w:val="0"/>
                      <w:color w:val="auto"/>
                      <w:kern w:val="0"/>
                      <w:sz w:val="18"/>
                      <w:szCs w:val="18"/>
                    </w:rPr>
                  </w:pPr>
                  <w:r>
                    <w:rPr>
                      <w:b/>
                      <w:snapToGrid w:val="0"/>
                      <w:color w:val="auto"/>
                      <w:kern w:val="0"/>
                      <w:sz w:val="18"/>
                      <w:szCs w:val="18"/>
                    </w:rPr>
                    <w:t>Y</w:t>
                  </w:r>
                </w:p>
              </w:tc>
              <w:tc>
                <w:tcPr>
                  <w:tcW w:w="611" w:type="pct"/>
                  <w:vMerge w:val="continue"/>
                  <w:vAlign w:val="center"/>
                </w:tcPr>
                <w:p>
                  <w:pPr>
                    <w:overflowPunct w:val="0"/>
                    <w:autoSpaceDE w:val="0"/>
                    <w:autoSpaceDN w:val="0"/>
                    <w:adjustRightInd w:val="0"/>
                    <w:snapToGrid w:val="0"/>
                    <w:jc w:val="center"/>
                    <w:rPr>
                      <w:b/>
                      <w:snapToGrid w:val="0"/>
                      <w:color w:val="auto"/>
                      <w:kern w:val="0"/>
                      <w:sz w:val="18"/>
                      <w:szCs w:val="18"/>
                    </w:rPr>
                  </w:pPr>
                </w:p>
              </w:tc>
              <w:tc>
                <w:tcPr>
                  <w:tcW w:w="609" w:type="pct"/>
                  <w:vMerge w:val="continue"/>
                  <w:vAlign w:val="center"/>
                </w:tcPr>
                <w:p>
                  <w:pPr>
                    <w:overflowPunct w:val="0"/>
                    <w:autoSpaceDE w:val="0"/>
                    <w:autoSpaceDN w:val="0"/>
                    <w:adjustRightInd w:val="0"/>
                    <w:snapToGrid w:val="0"/>
                    <w:jc w:val="center"/>
                    <w:rPr>
                      <w:b/>
                      <w:snapToGrid w:val="0"/>
                      <w:color w:val="auto"/>
                      <w:kern w:val="0"/>
                      <w:sz w:val="18"/>
                      <w:szCs w:val="18"/>
                    </w:rPr>
                  </w:pPr>
                </w:p>
              </w:tc>
              <w:tc>
                <w:tcPr>
                  <w:tcW w:w="534" w:type="pct"/>
                  <w:vMerge w:val="continue"/>
                  <w:vAlign w:val="center"/>
                </w:tcPr>
                <w:p>
                  <w:pPr>
                    <w:overflowPunct w:val="0"/>
                    <w:autoSpaceDE w:val="0"/>
                    <w:autoSpaceDN w:val="0"/>
                    <w:adjustRightInd w:val="0"/>
                    <w:snapToGrid w:val="0"/>
                    <w:jc w:val="center"/>
                    <w:rPr>
                      <w:b/>
                      <w:snapToGrid w:val="0"/>
                      <w:color w:val="auto"/>
                      <w:kern w:val="0"/>
                      <w:sz w:val="18"/>
                      <w:szCs w:val="18"/>
                    </w:rPr>
                  </w:pPr>
                </w:p>
              </w:tc>
              <w:tc>
                <w:tcPr>
                  <w:tcW w:w="533" w:type="pct"/>
                  <w:vMerge w:val="continue"/>
                  <w:vAlign w:val="center"/>
                </w:tcPr>
                <w:p>
                  <w:pPr>
                    <w:overflowPunct w:val="0"/>
                    <w:autoSpaceDE w:val="0"/>
                    <w:autoSpaceDN w:val="0"/>
                    <w:adjustRightInd w:val="0"/>
                    <w:snapToGrid w:val="0"/>
                    <w:jc w:val="center"/>
                    <w:rPr>
                      <w:b/>
                      <w:snapToGrid w:val="0"/>
                      <w:color w:val="auto"/>
                      <w:kern w:val="0"/>
                      <w:sz w:val="18"/>
                      <w:szCs w:val="18"/>
                    </w:rPr>
                  </w:pPr>
                </w:p>
              </w:tc>
              <w:tc>
                <w:tcPr>
                  <w:tcW w:w="474" w:type="pct"/>
                  <w:vMerge w:val="continue"/>
                  <w:vAlign w:val="center"/>
                </w:tcPr>
                <w:p>
                  <w:pPr>
                    <w:overflowPunct w:val="0"/>
                    <w:autoSpaceDE w:val="0"/>
                    <w:autoSpaceDN w:val="0"/>
                    <w:adjustRightInd w:val="0"/>
                    <w:snapToGrid w:val="0"/>
                    <w:jc w:val="center"/>
                    <w:rPr>
                      <w:b/>
                      <w:snapToGrid w:val="0"/>
                      <w:color w:val="auto"/>
                      <w:kern w:val="0"/>
                      <w:sz w:val="18"/>
                      <w:szCs w:val="18"/>
                    </w:rPr>
                  </w:pPr>
                </w:p>
              </w:tc>
              <w:tc>
                <w:tcPr>
                  <w:tcW w:w="349" w:type="pct"/>
                  <w:vMerge w:val="continue"/>
                  <w:vAlign w:val="center"/>
                </w:tcPr>
                <w:p>
                  <w:pPr>
                    <w:overflowPunct w:val="0"/>
                    <w:autoSpaceDE w:val="0"/>
                    <w:autoSpaceDN w:val="0"/>
                    <w:adjustRightInd w:val="0"/>
                    <w:snapToGrid w:val="0"/>
                    <w:jc w:val="center"/>
                    <w:rPr>
                      <w:b/>
                      <w:snapToGrid w:val="0"/>
                      <w:color w:val="auto"/>
                      <w:kern w:val="0"/>
                      <w:sz w:val="18"/>
                      <w:szCs w:val="18"/>
                    </w:rPr>
                  </w:pPr>
                </w:p>
              </w:tc>
              <w:tc>
                <w:tcPr>
                  <w:tcW w:w="299" w:type="pct"/>
                  <w:vMerge w:val="continue"/>
                  <w:vAlign w:val="center"/>
                </w:tcPr>
                <w:p>
                  <w:pPr>
                    <w:overflowPunct w:val="0"/>
                    <w:autoSpaceDE w:val="0"/>
                    <w:autoSpaceDN w:val="0"/>
                    <w:adjustRightInd w:val="0"/>
                    <w:snapToGrid w:val="0"/>
                    <w:jc w:val="center"/>
                    <w:rPr>
                      <w:b/>
                      <w:snapToGrid w:val="0"/>
                      <w:color w:val="auto"/>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24" w:type="pct"/>
                  <w:vMerge w:val="restart"/>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欧皮特传动系统（太仓）有限公司</w:t>
                  </w:r>
                </w:p>
              </w:tc>
              <w:tc>
                <w:tcPr>
                  <w:tcW w:w="382" w:type="pct"/>
                  <w:vMerge w:val="restart"/>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1370</w:t>
                  </w:r>
                </w:p>
              </w:tc>
              <w:tc>
                <w:tcPr>
                  <w:tcW w:w="382" w:type="pct"/>
                  <w:vMerge w:val="restart"/>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-2177</w:t>
                  </w:r>
                </w:p>
              </w:tc>
              <w:tc>
                <w:tcPr>
                  <w:tcW w:w="611" w:type="pct"/>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非甲烷总烃</w:t>
                  </w:r>
                </w:p>
              </w:tc>
              <w:tc>
                <w:tcPr>
                  <w:tcW w:w="609" w:type="pct"/>
                  <w:vAlign w:val="center"/>
                </w:tcPr>
                <w:p>
                  <w:pPr>
                    <w:overflowPunct w:val="0"/>
                    <w:autoSpaceDE w:val="0"/>
                    <w:autoSpaceDN w:val="0"/>
                    <w:adjustRightInd w:val="0"/>
                    <w:snapToGrid w:val="0"/>
                    <w:jc w:val="center"/>
                    <w:rPr>
                      <w:snapToGrid w:val="0"/>
                      <w:color w:val="auto"/>
                      <w:kern w:val="0"/>
                      <w:sz w:val="18"/>
                      <w:szCs w:val="18"/>
                    </w:rPr>
                  </w:pPr>
                  <w:r>
                    <w:rPr>
                      <w:rFonts w:hint="eastAsia"/>
                      <w:snapToGrid w:val="0"/>
                      <w:color w:val="auto"/>
                      <w:kern w:val="0"/>
                      <w:sz w:val="18"/>
                      <w:szCs w:val="18"/>
                    </w:rPr>
                    <w:t>1h</w:t>
                  </w:r>
                </w:p>
              </w:tc>
              <w:tc>
                <w:tcPr>
                  <w:tcW w:w="534" w:type="pct"/>
                  <w:vAlign w:val="center"/>
                </w:tcPr>
                <w:p>
                  <w:pPr>
                    <w:overflowPunct w:val="0"/>
                    <w:autoSpaceDE w:val="0"/>
                    <w:autoSpaceDN w:val="0"/>
                    <w:adjustRightInd w:val="0"/>
                    <w:snapToGrid w:val="0"/>
                    <w:jc w:val="center"/>
                    <w:rPr>
                      <w:snapToGrid w:val="0"/>
                      <w:color w:val="auto"/>
                      <w:kern w:val="0"/>
                      <w:sz w:val="18"/>
                      <w:szCs w:val="18"/>
                      <w:lang w:val="en-GB"/>
                    </w:rPr>
                  </w:pPr>
                  <w:r>
                    <w:rPr>
                      <w:snapToGrid w:val="0"/>
                      <w:color w:val="auto"/>
                      <w:kern w:val="0"/>
                      <w:sz w:val="18"/>
                      <w:szCs w:val="18"/>
                      <w:lang w:val="en-GB"/>
                    </w:rPr>
                    <w:t>2.0</w:t>
                  </w:r>
                </w:p>
              </w:tc>
              <w:tc>
                <w:tcPr>
                  <w:tcW w:w="533" w:type="pct"/>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0.28-0.73</w:t>
                  </w:r>
                </w:p>
              </w:tc>
              <w:tc>
                <w:tcPr>
                  <w:tcW w:w="474" w:type="pct"/>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36.5</w:t>
                  </w:r>
                </w:p>
              </w:tc>
              <w:tc>
                <w:tcPr>
                  <w:tcW w:w="349" w:type="pct"/>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w:t>
                  </w:r>
                </w:p>
              </w:tc>
              <w:tc>
                <w:tcPr>
                  <w:tcW w:w="299" w:type="pct"/>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824" w:type="pct"/>
                  <w:vMerge w:val="continue"/>
                  <w:vAlign w:val="center"/>
                </w:tcPr>
                <w:p>
                  <w:pPr>
                    <w:overflowPunct w:val="0"/>
                    <w:autoSpaceDE w:val="0"/>
                    <w:autoSpaceDN w:val="0"/>
                    <w:adjustRightInd w:val="0"/>
                    <w:snapToGrid w:val="0"/>
                    <w:jc w:val="center"/>
                    <w:rPr>
                      <w:snapToGrid w:val="0"/>
                      <w:color w:val="auto"/>
                      <w:kern w:val="0"/>
                      <w:sz w:val="18"/>
                      <w:szCs w:val="18"/>
                    </w:rPr>
                  </w:pPr>
                </w:p>
              </w:tc>
              <w:tc>
                <w:tcPr>
                  <w:tcW w:w="382" w:type="pct"/>
                  <w:vMerge w:val="continue"/>
                  <w:vAlign w:val="center"/>
                </w:tcPr>
                <w:p>
                  <w:pPr>
                    <w:overflowPunct w:val="0"/>
                    <w:autoSpaceDE w:val="0"/>
                    <w:autoSpaceDN w:val="0"/>
                    <w:adjustRightInd w:val="0"/>
                    <w:snapToGrid w:val="0"/>
                    <w:jc w:val="center"/>
                    <w:rPr>
                      <w:snapToGrid w:val="0"/>
                      <w:color w:val="auto"/>
                      <w:kern w:val="0"/>
                      <w:sz w:val="18"/>
                      <w:szCs w:val="18"/>
                    </w:rPr>
                  </w:pPr>
                </w:p>
              </w:tc>
              <w:tc>
                <w:tcPr>
                  <w:tcW w:w="382" w:type="pct"/>
                  <w:vMerge w:val="continue"/>
                  <w:vAlign w:val="center"/>
                </w:tcPr>
                <w:p>
                  <w:pPr>
                    <w:overflowPunct w:val="0"/>
                    <w:autoSpaceDE w:val="0"/>
                    <w:autoSpaceDN w:val="0"/>
                    <w:adjustRightInd w:val="0"/>
                    <w:snapToGrid w:val="0"/>
                    <w:jc w:val="center"/>
                    <w:rPr>
                      <w:snapToGrid w:val="0"/>
                      <w:color w:val="auto"/>
                      <w:kern w:val="0"/>
                      <w:sz w:val="18"/>
                      <w:szCs w:val="18"/>
                    </w:rPr>
                  </w:pPr>
                </w:p>
              </w:tc>
              <w:tc>
                <w:tcPr>
                  <w:tcW w:w="611" w:type="pct"/>
                  <w:vAlign w:val="center"/>
                </w:tcPr>
                <w:p>
                  <w:pPr>
                    <w:overflowPunct w:val="0"/>
                    <w:autoSpaceDE w:val="0"/>
                    <w:autoSpaceDN w:val="0"/>
                    <w:adjustRightInd w:val="0"/>
                    <w:snapToGrid w:val="0"/>
                    <w:jc w:val="center"/>
                    <w:rPr>
                      <w:snapToGrid w:val="0"/>
                      <w:color w:val="auto"/>
                      <w:kern w:val="0"/>
                      <w:sz w:val="18"/>
                      <w:szCs w:val="18"/>
                    </w:rPr>
                  </w:pPr>
                  <w:r>
                    <w:rPr>
                      <w:rFonts w:hint="eastAsia"/>
                      <w:snapToGrid w:val="0"/>
                      <w:color w:val="auto"/>
                      <w:kern w:val="0"/>
                      <w:sz w:val="18"/>
                      <w:szCs w:val="18"/>
                    </w:rPr>
                    <w:t>硫化氢</w:t>
                  </w:r>
                </w:p>
              </w:tc>
              <w:tc>
                <w:tcPr>
                  <w:tcW w:w="609" w:type="pct"/>
                  <w:vAlign w:val="center"/>
                </w:tcPr>
                <w:p>
                  <w:pPr>
                    <w:overflowPunct w:val="0"/>
                    <w:autoSpaceDE w:val="0"/>
                    <w:autoSpaceDN w:val="0"/>
                    <w:adjustRightInd w:val="0"/>
                    <w:snapToGrid w:val="0"/>
                    <w:jc w:val="center"/>
                    <w:rPr>
                      <w:snapToGrid w:val="0"/>
                      <w:color w:val="auto"/>
                      <w:kern w:val="0"/>
                      <w:sz w:val="18"/>
                      <w:szCs w:val="18"/>
                    </w:rPr>
                  </w:pPr>
                  <w:r>
                    <w:rPr>
                      <w:rFonts w:hint="eastAsia"/>
                      <w:snapToGrid w:val="0"/>
                      <w:color w:val="auto"/>
                      <w:kern w:val="0"/>
                      <w:sz w:val="18"/>
                      <w:szCs w:val="18"/>
                    </w:rPr>
                    <w:t>1h</w:t>
                  </w:r>
                </w:p>
              </w:tc>
              <w:tc>
                <w:tcPr>
                  <w:tcW w:w="534" w:type="pct"/>
                  <w:vAlign w:val="center"/>
                </w:tcPr>
                <w:p>
                  <w:pPr>
                    <w:overflowPunct w:val="0"/>
                    <w:autoSpaceDE w:val="0"/>
                    <w:autoSpaceDN w:val="0"/>
                    <w:adjustRightInd w:val="0"/>
                    <w:snapToGrid w:val="0"/>
                    <w:jc w:val="center"/>
                    <w:rPr>
                      <w:snapToGrid w:val="0"/>
                      <w:color w:val="auto"/>
                      <w:kern w:val="0"/>
                      <w:sz w:val="18"/>
                      <w:szCs w:val="18"/>
                    </w:rPr>
                  </w:pPr>
                  <w:r>
                    <w:rPr>
                      <w:rFonts w:hint="eastAsia"/>
                      <w:snapToGrid w:val="0"/>
                      <w:color w:val="auto"/>
                      <w:kern w:val="0"/>
                      <w:sz w:val="18"/>
                      <w:szCs w:val="18"/>
                    </w:rPr>
                    <w:t>0.01</w:t>
                  </w:r>
                </w:p>
              </w:tc>
              <w:tc>
                <w:tcPr>
                  <w:tcW w:w="533" w:type="pct"/>
                  <w:vAlign w:val="center"/>
                </w:tcPr>
                <w:p>
                  <w:pPr>
                    <w:overflowPunct w:val="0"/>
                    <w:autoSpaceDE w:val="0"/>
                    <w:autoSpaceDN w:val="0"/>
                    <w:adjustRightInd w:val="0"/>
                    <w:snapToGrid w:val="0"/>
                    <w:jc w:val="center"/>
                    <w:rPr>
                      <w:snapToGrid w:val="0"/>
                      <w:color w:val="auto"/>
                      <w:kern w:val="0"/>
                      <w:sz w:val="18"/>
                      <w:szCs w:val="18"/>
                    </w:rPr>
                  </w:pPr>
                  <w:r>
                    <w:rPr>
                      <w:rFonts w:hint="eastAsia"/>
                      <w:snapToGrid w:val="0"/>
                      <w:color w:val="auto"/>
                      <w:kern w:val="0"/>
                      <w:sz w:val="18"/>
                      <w:szCs w:val="18"/>
                    </w:rPr>
                    <w:t>ND～0.002</w:t>
                  </w:r>
                </w:p>
              </w:tc>
              <w:tc>
                <w:tcPr>
                  <w:tcW w:w="474" w:type="pct"/>
                  <w:vAlign w:val="center"/>
                </w:tcPr>
                <w:p>
                  <w:pPr>
                    <w:overflowPunct w:val="0"/>
                    <w:autoSpaceDE w:val="0"/>
                    <w:autoSpaceDN w:val="0"/>
                    <w:adjustRightInd w:val="0"/>
                    <w:snapToGrid w:val="0"/>
                    <w:jc w:val="center"/>
                    <w:rPr>
                      <w:snapToGrid w:val="0"/>
                      <w:color w:val="auto"/>
                      <w:kern w:val="0"/>
                      <w:sz w:val="18"/>
                      <w:szCs w:val="18"/>
                    </w:rPr>
                  </w:pPr>
                  <w:r>
                    <w:rPr>
                      <w:rFonts w:hint="eastAsia"/>
                      <w:snapToGrid w:val="0"/>
                      <w:color w:val="auto"/>
                      <w:kern w:val="0"/>
                      <w:sz w:val="18"/>
                      <w:szCs w:val="18"/>
                    </w:rPr>
                    <w:t>20</w:t>
                  </w:r>
                </w:p>
              </w:tc>
              <w:tc>
                <w:tcPr>
                  <w:tcW w:w="653" w:type="dxa"/>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w:t>
                  </w:r>
                </w:p>
              </w:tc>
              <w:tc>
                <w:tcPr>
                  <w:tcW w:w="561" w:type="dxa"/>
                  <w:vAlign w:val="center"/>
                </w:tcPr>
                <w:p>
                  <w:pPr>
                    <w:overflowPunct w:val="0"/>
                    <w:autoSpaceDE w:val="0"/>
                    <w:autoSpaceDN w:val="0"/>
                    <w:adjustRightInd w:val="0"/>
                    <w:snapToGrid w:val="0"/>
                    <w:jc w:val="center"/>
                    <w:rPr>
                      <w:snapToGrid w:val="0"/>
                      <w:color w:val="auto"/>
                      <w:kern w:val="0"/>
                      <w:sz w:val="18"/>
                      <w:szCs w:val="18"/>
                    </w:rPr>
                  </w:pPr>
                  <w:r>
                    <w:rPr>
                      <w:snapToGrid w:val="0"/>
                      <w:color w:val="auto"/>
                      <w:kern w:val="0"/>
                      <w:sz w:val="18"/>
                      <w:szCs w:val="18"/>
                    </w:rPr>
                    <w:t>达标</w:t>
                  </w:r>
                </w:p>
              </w:tc>
            </w:tr>
          </w:tbl>
          <w:p>
            <w:pPr>
              <w:overflowPunct w:val="0"/>
              <w:autoSpaceDE w:val="0"/>
              <w:autoSpaceDN w:val="0"/>
              <w:adjustRightInd w:val="0"/>
              <w:snapToGrid w:val="0"/>
              <w:rPr>
                <w:b/>
                <w:bCs/>
                <w:snapToGrid w:val="0"/>
                <w:color w:val="auto"/>
                <w:kern w:val="0"/>
                <w:szCs w:val="21"/>
              </w:rPr>
            </w:pPr>
            <w:r>
              <w:rPr>
                <w:snapToGrid w:val="0"/>
                <w:color w:val="auto"/>
                <w:kern w:val="0"/>
                <w:sz w:val="18"/>
                <w:szCs w:val="18"/>
              </w:rPr>
              <w:t>注：以本项目厂区东南角作为坐标原点（0,0），坐标点选取距离本项目厂址最近点位。</w:t>
            </w:r>
          </w:p>
          <w:p>
            <w:pPr>
              <w:overflowPunct w:val="0"/>
              <w:autoSpaceDE w:val="0"/>
              <w:autoSpaceDN w:val="0"/>
              <w:adjustRightInd w:val="0"/>
              <w:snapToGrid w:val="0"/>
              <w:spacing w:before="120" w:beforeLines="50" w:line="360" w:lineRule="auto"/>
              <w:ind w:firstLine="420" w:firstLineChars="200"/>
              <w:rPr>
                <w:snapToGrid w:val="0"/>
                <w:color w:val="auto"/>
                <w:kern w:val="0"/>
                <w:szCs w:val="21"/>
              </w:rPr>
            </w:pPr>
            <w:r>
              <w:rPr>
                <w:snapToGrid w:val="0"/>
                <w:color w:val="auto"/>
                <w:kern w:val="0"/>
                <w:szCs w:val="21"/>
              </w:rPr>
              <w:t>根据上表分析，项目区域大气环境中非甲烷总烃最大浓度满足《大气污染物综合排放标准详解》推荐的2.0mg/m</w:t>
            </w:r>
            <w:r>
              <w:rPr>
                <w:snapToGrid w:val="0"/>
                <w:color w:val="auto"/>
                <w:kern w:val="0"/>
                <w:szCs w:val="21"/>
                <w:vertAlign w:val="superscript"/>
              </w:rPr>
              <w:t>3</w:t>
            </w:r>
            <w:r>
              <w:rPr>
                <w:snapToGrid w:val="0"/>
                <w:color w:val="auto"/>
                <w:kern w:val="0"/>
                <w:szCs w:val="21"/>
              </w:rPr>
              <w:t>标准</w:t>
            </w:r>
            <w:r>
              <w:rPr>
                <w:rFonts w:hint="eastAsia"/>
                <w:snapToGrid w:val="0"/>
                <w:color w:val="auto"/>
                <w:kern w:val="0"/>
                <w:szCs w:val="21"/>
              </w:rPr>
              <w:t>，硫化氢小时浓度满足《环境影响评价技术导则 大气环境》（HJ2.2-2018）附录 D 质量浓度参考限值</w:t>
            </w:r>
            <w:r>
              <w:rPr>
                <w:snapToGrid w:val="0"/>
                <w:color w:val="auto"/>
                <w:kern w:val="0"/>
                <w:szCs w:val="21"/>
              </w:rPr>
              <w:t>。</w:t>
            </w:r>
          </w:p>
          <w:p>
            <w:pPr>
              <w:spacing w:line="360" w:lineRule="auto"/>
              <w:ind w:firstLine="422" w:firstLineChars="200"/>
              <w:jc w:val="left"/>
              <w:rPr>
                <w:b/>
                <w:bCs/>
                <w:color w:val="auto"/>
                <w:kern w:val="0"/>
                <w:szCs w:val="21"/>
              </w:rPr>
            </w:pPr>
            <w:r>
              <w:rPr>
                <w:b/>
                <w:bCs/>
                <w:color w:val="auto"/>
                <w:kern w:val="0"/>
                <w:szCs w:val="21"/>
              </w:rPr>
              <w:t>2、地表水环境</w:t>
            </w:r>
          </w:p>
          <w:p>
            <w:pPr>
              <w:spacing w:line="360" w:lineRule="auto"/>
              <w:ind w:firstLine="420" w:firstLineChars="200"/>
              <w:rPr>
                <w:color w:val="auto"/>
                <w:szCs w:val="21"/>
              </w:rPr>
            </w:pPr>
            <w:r>
              <w:rPr>
                <w:color w:val="auto"/>
                <w:szCs w:val="21"/>
              </w:rPr>
              <w:t>根据《2022 年太仓市环境质量状况公报》，2022 年太仓三水厂饮用水水源地水质达到了相应标准，达标率 100%。2022 年我市共有国省考断面 12 个，浏河（右岸）、荡茜河桥、新泾闸、鹿鸣泾桥、滨江大道桥、新塘河闸、浪港闸、钱泾闸 8 个断面平均水质达到Ⅱ类水标准；浏河闸、仪桥、振东渡口、新丰桥镇 4 个断面平均水质达到Ⅲ类水标准。2022 年我市国省考断面水质优Ⅲ比例为 100%，水质达标率 100%。</w:t>
            </w:r>
          </w:p>
          <w:p>
            <w:pPr>
              <w:overflowPunct w:val="0"/>
              <w:autoSpaceDE w:val="0"/>
              <w:autoSpaceDN w:val="0"/>
              <w:adjustRightInd w:val="0"/>
              <w:spacing w:line="360" w:lineRule="auto"/>
              <w:ind w:firstLine="420" w:firstLineChars="200"/>
              <w:rPr>
                <w:snapToGrid w:val="0"/>
                <w:color w:val="auto"/>
                <w:kern w:val="0"/>
                <w:szCs w:val="21"/>
              </w:rPr>
            </w:pPr>
            <w:r>
              <w:rPr>
                <w:color w:val="auto"/>
                <w:szCs w:val="21"/>
              </w:rPr>
              <w:t>本项目运营期的</w:t>
            </w:r>
            <w:r>
              <w:rPr>
                <w:rFonts w:hint="eastAsia"/>
                <w:color w:val="auto"/>
                <w:szCs w:val="21"/>
              </w:rPr>
              <w:t>废水由市政管网</w:t>
            </w:r>
            <w:r>
              <w:rPr>
                <w:color w:val="auto"/>
              </w:rPr>
              <w:t>接管城东污水处理厂</w:t>
            </w:r>
            <w:r>
              <w:rPr>
                <w:color w:val="auto"/>
                <w:szCs w:val="21"/>
              </w:rPr>
              <w:t>，最终排入新浏河。</w:t>
            </w:r>
            <w:r>
              <w:rPr>
                <w:snapToGrid w:val="0"/>
                <w:color w:val="auto"/>
                <w:kern w:val="0"/>
                <w:szCs w:val="21"/>
              </w:rPr>
              <w:t>地表水环境质量现状引用《太仓德瑞健康产业有限公司新建太仓市娄江新城医院（上海交通大学医院附属瑞金医院太仓分院）项目》中</w:t>
            </w:r>
            <w:r>
              <w:rPr>
                <w:color w:val="auto"/>
                <w:szCs w:val="21"/>
              </w:rPr>
              <w:t>苏州环优检测有限公司</w:t>
            </w:r>
            <w:r>
              <w:rPr>
                <w:snapToGrid w:val="0"/>
                <w:color w:val="auto"/>
                <w:kern w:val="0"/>
                <w:szCs w:val="21"/>
              </w:rPr>
              <w:t>出具的检测报告，监测点位为城东污水处理厂排口上游500m、下游500m和下游1500m，监测时间为</w:t>
            </w:r>
            <w:r>
              <w:rPr>
                <w:color w:val="auto"/>
                <w:szCs w:val="21"/>
              </w:rPr>
              <w:t>2021年11月3日～2021年11月5日</w:t>
            </w:r>
            <w:r>
              <w:rPr>
                <w:snapToGrid w:val="0"/>
                <w:color w:val="auto"/>
                <w:kern w:val="0"/>
                <w:szCs w:val="21"/>
              </w:rPr>
              <w:t>。项目引用的数据时效在三年内，符合《建设项目环境影响评价技术导则 总纲》（HJ2.1-2016）章节5.1.2“充分收集和利用评价范围内各例行监测点、断面或站位的近三年环境监测资料或背景值调查资料”要求，具有时效性，因此本项目引用该项目地表水现状监测数据是有效的。监测结果见表3-4。</w:t>
            </w:r>
          </w:p>
          <w:p>
            <w:pPr>
              <w:jc w:val="center"/>
              <w:rPr>
                <w:b/>
                <w:color w:val="auto"/>
                <w:szCs w:val="21"/>
              </w:rPr>
            </w:pPr>
            <w:r>
              <w:rPr>
                <w:b/>
                <w:color w:val="auto"/>
                <w:szCs w:val="21"/>
              </w:rPr>
              <w:t>表3-4  水质监测数据统计表（单位：mg/L，pH无量纲）</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36" w:type="dxa"/>
                <w:left w:w="132" w:type="dxa"/>
                <w:bottom w:w="0" w:type="dxa"/>
                <w:right w:w="131" w:type="dxa"/>
              </w:tblCellMar>
            </w:tblPr>
            <w:tblGrid>
              <w:gridCol w:w="586"/>
              <w:gridCol w:w="1244"/>
              <w:gridCol w:w="1722"/>
              <w:gridCol w:w="1171"/>
              <w:gridCol w:w="1171"/>
              <w:gridCol w:w="1068"/>
              <w:gridCol w:w="1240"/>
              <w:gridCol w:w="115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32" w:type="dxa"/>
                  <w:bottom w:w="0" w:type="dxa"/>
                  <w:right w:w="131" w:type="dxa"/>
                </w:tblCellMar>
              </w:tblPrEx>
              <w:trPr>
                <w:trHeight w:val="340" w:hRule="atLeast"/>
                <w:jc w:val="center"/>
              </w:trPr>
              <w:tc>
                <w:tcPr>
                  <w:tcW w:w="313" w:type="pct"/>
                  <w:vAlign w:val="center"/>
                </w:tcPr>
                <w:p>
                  <w:pPr>
                    <w:adjustRightInd w:val="0"/>
                    <w:snapToGrid w:val="0"/>
                    <w:jc w:val="center"/>
                    <w:rPr>
                      <w:b/>
                      <w:color w:val="auto"/>
                      <w:sz w:val="18"/>
                      <w:szCs w:val="18"/>
                    </w:rPr>
                  </w:pPr>
                  <w:r>
                    <w:rPr>
                      <w:b/>
                      <w:color w:val="auto"/>
                      <w:sz w:val="18"/>
                      <w:szCs w:val="18"/>
                    </w:rPr>
                    <w:t>河流</w:t>
                  </w:r>
                </w:p>
              </w:tc>
              <w:tc>
                <w:tcPr>
                  <w:tcW w:w="665" w:type="pct"/>
                  <w:vAlign w:val="center"/>
                </w:tcPr>
                <w:p>
                  <w:pPr>
                    <w:adjustRightInd w:val="0"/>
                    <w:snapToGrid w:val="0"/>
                    <w:jc w:val="center"/>
                    <w:rPr>
                      <w:b/>
                      <w:color w:val="auto"/>
                      <w:sz w:val="18"/>
                      <w:szCs w:val="18"/>
                    </w:rPr>
                  </w:pPr>
                  <w:r>
                    <w:rPr>
                      <w:b/>
                      <w:color w:val="auto"/>
                      <w:sz w:val="18"/>
                      <w:szCs w:val="18"/>
                    </w:rPr>
                    <w:t>监测断面</w:t>
                  </w:r>
                </w:p>
              </w:tc>
              <w:tc>
                <w:tcPr>
                  <w:tcW w:w="921" w:type="pct"/>
                  <w:vAlign w:val="center"/>
                </w:tcPr>
                <w:p>
                  <w:pPr>
                    <w:adjustRightInd w:val="0"/>
                    <w:snapToGrid w:val="0"/>
                    <w:jc w:val="center"/>
                    <w:rPr>
                      <w:b/>
                      <w:color w:val="auto"/>
                      <w:sz w:val="18"/>
                      <w:szCs w:val="18"/>
                    </w:rPr>
                  </w:pPr>
                  <w:r>
                    <w:rPr>
                      <w:b/>
                      <w:color w:val="auto"/>
                      <w:sz w:val="18"/>
                      <w:szCs w:val="18"/>
                    </w:rPr>
                    <w:t>断面名称</w:t>
                  </w:r>
                </w:p>
              </w:tc>
              <w:tc>
                <w:tcPr>
                  <w:tcW w:w="626" w:type="pct"/>
                  <w:vAlign w:val="center"/>
                </w:tcPr>
                <w:p>
                  <w:pPr>
                    <w:adjustRightInd w:val="0"/>
                    <w:snapToGrid w:val="0"/>
                    <w:jc w:val="center"/>
                    <w:rPr>
                      <w:b/>
                      <w:color w:val="auto"/>
                      <w:sz w:val="18"/>
                      <w:szCs w:val="18"/>
                    </w:rPr>
                  </w:pPr>
                  <w:r>
                    <w:rPr>
                      <w:b/>
                      <w:color w:val="auto"/>
                      <w:sz w:val="18"/>
                      <w:szCs w:val="18"/>
                    </w:rPr>
                    <w:t>pH</w:t>
                  </w:r>
                </w:p>
              </w:tc>
              <w:tc>
                <w:tcPr>
                  <w:tcW w:w="626" w:type="pct"/>
                  <w:vAlign w:val="center"/>
                </w:tcPr>
                <w:p>
                  <w:pPr>
                    <w:adjustRightInd w:val="0"/>
                    <w:snapToGrid w:val="0"/>
                    <w:jc w:val="center"/>
                    <w:rPr>
                      <w:b/>
                      <w:color w:val="auto"/>
                      <w:sz w:val="18"/>
                      <w:szCs w:val="18"/>
                    </w:rPr>
                  </w:pPr>
                  <w:r>
                    <w:rPr>
                      <w:b/>
                      <w:color w:val="auto"/>
                      <w:sz w:val="18"/>
                      <w:szCs w:val="18"/>
                    </w:rPr>
                    <w:t>COD</w:t>
                  </w:r>
                </w:p>
              </w:tc>
              <w:tc>
                <w:tcPr>
                  <w:tcW w:w="571" w:type="pct"/>
                  <w:vAlign w:val="center"/>
                </w:tcPr>
                <w:p>
                  <w:pPr>
                    <w:adjustRightInd w:val="0"/>
                    <w:snapToGrid w:val="0"/>
                    <w:jc w:val="center"/>
                    <w:rPr>
                      <w:b/>
                      <w:color w:val="auto"/>
                      <w:sz w:val="18"/>
                      <w:szCs w:val="18"/>
                    </w:rPr>
                  </w:pPr>
                  <w:r>
                    <w:rPr>
                      <w:b/>
                      <w:color w:val="auto"/>
                      <w:sz w:val="18"/>
                      <w:szCs w:val="18"/>
                    </w:rPr>
                    <w:t>氨氮</w:t>
                  </w:r>
                </w:p>
              </w:tc>
              <w:tc>
                <w:tcPr>
                  <w:tcW w:w="663" w:type="pct"/>
                  <w:vAlign w:val="center"/>
                </w:tcPr>
                <w:p>
                  <w:pPr>
                    <w:adjustRightInd w:val="0"/>
                    <w:snapToGrid w:val="0"/>
                    <w:jc w:val="center"/>
                    <w:rPr>
                      <w:b/>
                      <w:color w:val="auto"/>
                      <w:sz w:val="18"/>
                      <w:szCs w:val="18"/>
                    </w:rPr>
                  </w:pPr>
                  <w:r>
                    <w:rPr>
                      <w:b/>
                      <w:color w:val="auto"/>
                      <w:sz w:val="18"/>
                      <w:szCs w:val="18"/>
                    </w:rPr>
                    <w:t>总磷</w:t>
                  </w:r>
                </w:p>
              </w:tc>
              <w:tc>
                <w:tcPr>
                  <w:tcW w:w="615" w:type="pct"/>
                  <w:vAlign w:val="center"/>
                </w:tcPr>
                <w:p>
                  <w:pPr>
                    <w:adjustRightInd w:val="0"/>
                    <w:snapToGrid w:val="0"/>
                    <w:jc w:val="center"/>
                    <w:rPr>
                      <w:b/>
                      <w:color w:val="auto"/>
                      <w:sz w:val="18"/>
                      <w:szCs w:val="18"/>
                    </w:rPr>
                  </w:pPr>
                  <w:r>
                    <w:rPr>
                      <w:b/>
                      <w:color w:val="auto"/>
                      <w:sz w:val="18"/>
                      <w:szCs w:val="18"/>
                    </w:rPr>
                    <w:t>总氮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32" w:type="dxa"/>
                  <w:bottom w:w="0" w:type="dxa"/>
                  <w:right w:w="131" w:type="dxa"/>
                </w:tblCellMar>
              </w:tblPrEx>
              <w:trPr>
                <w:trHeight w:val="340" w:hRule="atLeast"/>
                <w:jc w:val="center"/>
              </w:trPr>
              <w:tc>
                <w:tcPr>
                  <w:tcW w:w="313" w:type="pct"/>
                  <w:vMerge w:val="restart"/>
                  <w:vAlign w:val="center"/>
                </w:tcPr>
                <w:p>
                  <w:pPr>
                    <w:adjustRightInd w:val="0"/>
                    <w:snapToGrid w:val="0"/>
                    <w:jc w:val="center"/>
                    <w:rPr>
                      <w:color w:val="auto"/>
                      <w:sz w:val="18"/>
                      <w:szCs w:val="18"/>
                    </w:rPr>
                  </w:pPr>
                  <w:r>
                    <w:rPr>
                      <w:color w:val="auto"/>
                      <w:sz w:val="18"/>
                      <w:szCs w:val="18"/>
                    </w:rPr>
                    <w:t>新浏河</w:t>
                  </w:r>
                </w:p>
              </w:tc>
              <w:tc>
                <w:tcPr>
                  <w:tcW w:w="665" w:type="pct"/>
                  <w:vMerge w:val="restart"/>
                  <w:vAlign w:val="center"/>
                </w:tcPr>
                <w:p>
                  <w:pPr>
                    <w:adjustRightInd w:val="0"/>
                    <w:snapToGrid w:val="0"/>
                    <w:jc w:val="center"/>
                    <w:rPr>
                      <w:color w:val="auto"/>
                      <w:sz w:val="18"/>
                      <w:szCs w:val="18"/>
                    </w:rPr>
                  </w:pPr>
                  <w:r>
                    <w:rPr>
                      <w:color w:val="auto"/>
                      <w:sz w:val="18"/>
                      <w:szCs w:val="18"/>
                    </w:rPr>
                    <w:t>城东污水处理厂排口上游500m</w:t>
                  </w:r>
                </w:p>
              </w:tc>
              <w:tc>
                <w:tcPr>
                  <w:tcW w:w="921" w:type="pct"/>
                  <w:vAlign w:val="center"/>
                </w:tcPr>
                <w:p>
                  <w:pPr>
                    <w:adjustRightInd w:val="0"/>
                    <w:snapToGrid w:val="0"/>
                    <w:jc w:val="center"/>
                    <w:rPr>
                      <w:bCs/>
                      <w:color w:val="auto"/>
                      <w:sz w:val="18"/>
                      <w:szCs w:val="18"/>
                    </w:rPr>
                  </w:pPr>
                  <w:r>
                    <w:rPr>
                      <w:bCs/>
                      <w:color w:val="auto"/>
                      <w:sz w:val="18"/>
                      <w:szCs w:val="18"/>
                    </w:rPr>
                    <w:t>最小值</w:t>
                  </w:r>
                </w:p>
              </w:tc>
              <w:tc>
                <w:tcPr>
                  <w:tcW w:w="626" w:type="pct"/>
                  <w:vAlign w:val="center"/>
                </w:tcPr>
                <w:p>
                  <w:pPr>
                    <w:adjustRightInd w:val="0"/>
                    <w:snapToGrid w:val="0"/>
                    <w:jc w:val="center"/>
                    <w:rPr>
                      <w:bCs/>
                      <w:color w:val="auto"/>
                      <w:sz w:val="18"/>
                      <w:szCs w:val="18"/>
                    </w:rPr>
                  </w:pPr>
                  <w:r>
                    <w:rPr>
                      <w:bCs/>
                      <w:color w:val="auto"/>
                      <w:sz w:val="18"/>
                      <w:szCs w:val="18"/>
                    </w:rPr>
                    <w:t>7.08</w:t>
                  </w:r>
                </w:p>
              </w:tc>
              <w:tc>
                <w:tcPr>
                  <w:tcW w:w="626" w:type="pct"/>
                  <w:vAlign w:val="center"/>
                </w:tcPr>
                <w:p>
                  <w:pPr>
                    <w:adjustRightInd w:val="0"/>
                    <w:snapToGrid w:val="0"/>
                    <w:jc w:val="center"/>
                    <w:rPr>
                      <w:bCs/>
                      <w:color w:val="auto"/>
                      <w:sz w:val="18"/>
                      <w:szCs w:val="18"/>
                    </w:rPr>
                  </w:pPr>
                  <w:r>
                    <w:rPr>
                      <w:bCs/>
                      <w:color w:val="auto"/>
                      <w:sz w:val="18"/>
                      <w:szCs w:val="18"/>
                    </w:rPr>
                    <w:t>11</w:t>
                  </w:r>
                </w:p>
              </w:tc>
              <w:tc>
                <w:tcPr>
                  <w:tcW w:w="571" w:type="pct"/>
                  <w:vAlign w:val="center"/>
                </w:tcPr>
                <w:p>
                  <w:pPr>
                    <w:adjustRightInd w:val="0"/>
                    <w:snapToGrid w:val="0"/>
                    <w:jc w:val="center"/>
                    <w:rPr>
                      <w:bCs/>
                      <w:color w:val="auto"/>
                      <w:sz w:val="18"/>
                      <w:szCs w:val="18"/>
                    </w:rPr>
                  </w:pPr>
                  <w:r>
                    <w:rPr>
                      <w:bCs/>
                      <w:color w:val="auto"/>
                      <w:sz w:val="18"/>
                      <w:szCs w:val="18"/>
                    </w:rPr>
                    <w:t>0.408</w:t>
                  </w:r>
                </w:p>
              </w:tc>
              <w:tc>
                <w:tcPr>
                  <w:tcW w:w="663" w:type="pct"/>
                  <w:vAlign w:val="center"/>
                </w:tcPr>
                <w:p>
                  <w:pPr>
                    <w:adjustRightInd w:val="0"/>
                    <w:snapToGrid w:val="0"/>
                    <w:jc w:val="center"/>
                    <w:rPr>
                      <w:bCs/>
                      <w:color w:val="auto"/>
                      <w:sz w:val="18"/>
                      <w:szCs w:val="18"/>
                    </w:rPr>
                  </w:pPr>
                  <w:r>
                    <w:rPr>
                      <w:bCs/>
                      <w:color w:val="auto"/>
                      <w:sz w:val="18"/>
                      <w:szCs w:val="18"/>
                    </w:rPr>
                    <w:t>0.12</w:t>
                  </w:r>
                </w:p>
              </w:tc>
              <w:tc>
                <w:tcPr>
                  <w:tcW w:w="615" w:type="pct"/>
                  <w:vAlign w:val="center"/>
                </w:tcPr>
                <w:p>
                  <w:pPr>
                    <w:adjustRightInd w:val="0"/>
                    <w:snapToGrid w:val="0"/>
                    <w:jc w:val="center"/>
                    <w:rPr>
                      <w:bCs/>
                      <w:color w:val="auto"/>
                      <w:sz w:val="18"/>
                      <w:szCs w:val="18"/>
                    </w:rPr>
                  </w:pPr>
                  <w:r>
                    <w:rPr>
                      <w:bCs/>
                      <w:color w:val="auto"/>
                      <w:sz w:val="18"/>
                      <w:szCs w:val="18"/>
                    </w:rPr>
                    <w:t>1.28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32" w:type="dxa"/>
                  <w:bottom w:w="0" w:type="dxa"/>
                  <w:right w:w="131" w:type="dxa"/>
                </w:tblCellMar>
              </w:tblPrEx>
              <w:trPr>
                <w:trHeight w:val="340" w:hRule="atLeast"/>
                <w:jc w:val="center"/>
              </w:trPr>
              <w:tc>
                <w:tcPr>
                  <w:tcW w:w="313" w:type="pct"/>
                  <w:vMerge w:val="continue"/>
                  <w:vAlign w:val="center"/>
                </w:tcPr>
                <w:p>
                  <w:pPr>
                    <w:adjustRightInd w:val="0"/>
                    <w:snapToGrid w:val="0"/>
                    <w:jc w:val="center"/>
                    <w:rPr>
                      <w:color w:val="auto"/>
                      <w:sz w:val="18"/>
                      <w:szCs w:val="18"/>
                    </w:rPr>
                  </w:pPr>
                </w:p>
              </w:tc>
              <w:tc>
                <w:tcPr>
                  <w:tcW w:w="665" w:type="pct"/>
                  <w:vMerge w:val="continue"/>
                  <w:vAlign w:val="center"/>
                </w:tcPr>
                <w:p>
                  <w:pPr>
                    <w:adjustRightInd w:val="0"/>
                    <w:snapToGrid w:val="0"/>
                    <w:jc w:val="center"/>
                    <w:rPr>
                      <w:color w:val="auto"/>
                      <w:sz w:val="18"/>
                      <w:szCs w:val="18"/>
                    </w:rPr>
                  </w:pPr>
                </w:p>
              </w:tc>
              <w:tc>
                <w:tcPr>
                  <w:tcW w:w="921" w:type="pct"/>
                  <w:vAlign w:val="center"/>
                </w:tcPr>
                <w:p>
                  <w:pPr>
                    <w:adjustRightInd w:val="0"/>
                    <w:snapToGrid w:val="0"/>
                    <w:jc w:val="center"/>
                    <w:rPr>
                      <w:bCs/>
                      <w:color w:val="auto"/>
                      <w:sz w:val="18"/>
                      <w:szCs w:val="18"/>
                    </w:rPr>
                  </w:pPr>
                  <w:r>
                    <w:rPr>
                      <w:bCs/>
                      <w:color w:val="auto"/>
                      <w:sz w:val="18"/>
                      <w:szCs w:val="18"/>
                    </w:rPr>
                    <w:t>最大值</w:t>
                  </w:r>
                </w:p>
              </w:tc>
              <w:tc>
                <w:tcPr>
                  <w:tcW w:w="626" w:type="pct"/>
                  <w:vAlign w:val="center"/>
                </w:tcPr>
                <w:p>
                  <w:pPr>
                    <w:adjustRightInd w:val="0"/>
                    <w:snapToGrid w:val="0"/>
                    <w:jc w:val="center"/>
                    <w:rPr>
                      <w:bCs/>
                      <w:color w:val="auto"/>
                      <w:sz w:val="18"/>
                      <w:szCs w:val="18"/>
                    </w:rPr>
                  </w:pPr>
                  <w:r>
                    <w:rPr>
                      <w:bCs/>
                      <w:color w:val="auto"/>
                      <w:sz w:val="18"/>
                      <w:szCs w:val="18"/>
                    </w:rPr>
                    <w:t>7.23</w:t>
                  </w:r>
                </w:p>
              </w:tc>
              <w:tc>
                <w:tcPr>
                  <w:tcW w:w="626" w:type="pct"/>
                  <w:vAlign w:val="center"/>
                </w:tcPr>
                <w:p>
                  <w:pPr>
                    <w:adjustRightInd w:val="0"/>
                    <w:snapToGrid w:val="0"/>
                    <w:jc w:val="center"/>
                    <w:rPr>
                      <w:bCs/>
                      <w:color w:val="auto"/>
                      <w:sz w:val="18"/>
                      <w:szCs w:val="18"/>
                    </w:rPr>
                  </w:pPr>
                  <w:r>
                    <w:rPr>
                      <w:bCs/>
                      <w:color w:val="auto"/>
                      <w:sz w:val="18"/>
                      <w:szCs w:val="18"/>
                    </w:rPr>
                    <w:t>14</w:t>
                  </w:r>
                </w:p>
              </w:tc>
              <w:tc>
                <w:tcPr>
                  <w:tcW w:w="571" w:type="pct"/>
                  <w:vAlign w:val="center"/>
                </w:tcPr>
                <w:p>
                  <w:pPr>
                    <w:adjustRightInd w:val="0"/>
                    <w:snapToGrid w:val="0"/>
                    <w:jc w:val="center"/>
                    <w:rPr>
                      <w:bCs/>
                      <w:color w:val="auto"/>
                      <w:sz w:val="18"/>
                      <w:szCs w:val="18"/>
                    </w:rPr>
                  </w:pPr>
                  <w:r>
                    <w:rPr>
                      <w:bCs/>
                      <w:color w:val="auto"/>
                      <w:sz w:val="18"/>
                      <w:szCs w:val="18"/>
                    </w:rPr>
                    <w:t>0.422</w:t>
                  </w:r>
                </w:p>
              </w:tc>
              <w:tc>
                <w:tcPr>
                  <w:tcW w:w="663" w:type="pct"/>
                  <w:vAlign w:val="center"/>
                </w:tcPr>
                <w:p>
                  <w:pPr>
                    <w:adjustRightInd w:val="0"/>
                    <w:snapToGrid w:val="0"/>
                    <w:jc w:val="center"/>
                    <w:rPr>
                      <w:bCs/>
                      <w:color w:val="auto"/>
                      <w:sz w:val="18"/>
                      <w:szCs w:val="18"/>
                    </w:rPr>
                  </w:pPr>
                  <w:r>
                    <w:rPr>
                      <w:bCs/>
                      <w:color w:val="auto"/>
                      <w:sz w:val="18"/>
                      <w:szCs w:val="18"/>
                    </w:rPr>
                    <w:t>0.16</w:t>
                  </w:r>
                </w:p>
              </w:tc>
              <w:tc>
                <w:tcPr>
                  <w:tcW w:w="615" w:type="pct"/>
                  <w:vAlign w:val="center"/>
                </w:tcPr>
                <w:p>
                  <w:pPr>
                    <w:adjustRightInd w:val="0"/>
                    <w:snapToGrid w:val="0"/>
                    <w:jc w:val="center"/>
                    <w:rPr>
                      <w:bCs/>
                      <w:color w:val="auto"/>
                      <w:sz w:val="18"/>
                      <w:szCs w:val="18"/>
                    </w:rPr>
                  </w:pPr>
                  <w:r>
                    <w:rPr>
                      <w:bCs/>
                      <w:color w:val="auto"/>
                      <w:sz w:val="18"/>
                      <w:szCs w:val="18"/>
                    </w:rPr>
                    <w:t>1.36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32" w:type="dxa"/>
                  <w:bottom w:w="0" w:type="dxa"/>
                  <w:right w:w="131" w:type="dxa"/>
                </w:tblCellMar>
              </w:tblPrEx>
              <w:trPr>
                <w:trHeight w:val="340" w:hRule="atLeast"/>
                <w:jc w:val="center"/>
              </w:trPr>
              <w:tc>
                <w:tcPr>
                  <w:tcW w:w="313" w:type="pct"/>
                  <w:vMerge w:val="continue"/>
                  <w:vAlign w:val="center"/>
                </w:tcPr>
                <w:p>
                  <w:pPr>
                    <w:adjustRightInd w:val="0"/>
                    <w:snapToGrid w:val="0"/>
                    <w:jc w:val="center"/>
                    <w:rPr>
                      <w:color w:val="auto"/>
                      <w:sz w:val="18"/>
                      <w:szCs w:val="18"/>
                    </w:rPr>
                  </w:pPr>
                </w:p>
              </w:tc>
              <w:tc>
                <w:tcPr>
                  <w:tcW w:w="665" w:type="pct"/>
                  <w:vMerge w:val="continue"/>
                  <w:vAlign w:val="center"/>
                </w:tcPr>
                <w:p>
                  <w:pPr>
                    <w:adjustRightInd w:val="0"/>
                    <w:snapToGrid w:val="0"/>
                    <w:jc w:val="center"/>
                    <w:rPr>
                      <w:color w:val="auto"/>
                      <w:sz w:val="18"/>
                      <w:szCs w:val="18"/>
                    </w:rPr>
                  </w:pPr>
                </w:p>
              </w:tc>
              <w:tc>
                <w:tcPr>
                  <w:tcW w:w="921" w:type="pct"/>
                  <w:vAlign w:val="center"/>
                </w:tcPr>
                <w:p>
                  <w:pPr>
                    <w:adjustRightInd w:val="0"/>
                    <w:snapToGrid w:val="0"/>
                    <w:jc w:val="center"/>
                    <w:rPr>
                      <w:bCs/>
                      <w:color w:val="auto"/>
                      <w:sz w:val="18"/>
                      <w:szCs w:val="18"/>
                    </w:rPr>
                  </w:pPr>
                  <w:r>
                    <w:rPr>
                      <w:bCs/>
                      <w:color w:val="auto"/>
                      <w:sz w:val="18"/>
                      <w:szCs w:val="18"/>
                    </w:rPr>
                    <w:t>超标率</w:t>
                  </w:r>
                </w:p>
              </w:tc>
              <w:tc>
                <w:tcPr>
                  <w:tcW w:w="626" w:type="pct"/>
                  <w:vAlign w:val="center"/>
                </w:tcPr>
                <w:p>
                  <w:pPr>
                    <w:adjustRightInd w:val="0"/>
                    <w:snapToGrid w:val="0"/>
                    <w:jc w:val="center"/>
                    <w:rPr>
                      <w:bCs/>
                      <w:color w:val="auto"/>
                      <w:sz w:val="18"/>
                      <w:szCs w:val="18"/>
                    </w:rPr>
                  </w:pPr>
                  <w:r>
                    <w:rPr>
                      <w:bCs/>
                      <w:color w:val="auto"/>
                      <w:sz w:val="18"/>
                      <w:szCs w:val="18"/>
                    </w:rPr>
                    <w:t>0</w:t>
                  </w:r>
                </w:p>
              </w:tc>
              <w:tc>
                <w:tcPr>
                  <w:tcW w:w="626" w:type="pct"/>
                  <w:vAlign w:val="center"/>
                </w:tcPr>
                <w:p>
                  <w:pPr>
                    <w:adjustRightInd w:val="0"/>
                    <w:snapToGrid w:val="0"/>
                    <w:jc w:val="center"/>
                    <w:rPr>
                      <w:bCs/>
                      <w:color w:val="auto"/>
                      <w:sz w:val="18"/>
                      <w:szCs w:val="18"/>
                    </w:rPr>
                  </w:pPr>
                  <w:r>
                    <w:rPr>
                      <w:bCs/>
                      <w:color w:val="auto"/>
                      <w:sz w:val="18"/>
                      <w:szCs w:val="18"/>
                    </w:rPr>
                    <w:t>0</w:t>
                  </w:r>
                </w:p>
              </w:tc>
              <w:tc>
                <w:tcPr>
                  <w:tcW w:w="571" w:type="pct"/>
                  <w:vAlign w:val="center"/>
                </w:tcPr>
                <w:p>
                  <w:pPr>
                    <w:adjustRightInd w:val="0"/>
                    <w:snapToGrid w:val="0"/>
                    <w:jc w:val="center"/>
                    <w:rPr>
                      <w:bCs/>
                      <w:color w:val="auto"/>
                      <w:sz w:val="18"/>
                      <w:szCs w:val="18"/>
                    </w:rPr>
                  </w:pPr>
                  <w:r>
                    <w:rPr>
                      <w:bCs/>
                      <w:color w:val="auto"/>
                      <w:sz w:val="18"/>
                      <w:szCs w:val="18"/>
                    </w:rPr>
                    <w:t>0</w:t>
                  </w:r>
                </w:p>
              </w:tc>
              <w:tc>
                <w:tcPr>
                  <w:tcW w:w="663" w:type="pct"/>
                  <w:vAlign w:val="center"/>
                </w:tcPr>
                <w:p>
                  <w:pPr>
                    <w:adjustRightInd w:val="0"/>
                    <w:snapToGrid w:val="0"/>
                    <w:jc w:val="center"/>
                    <w:rPr>
                      <w:bCs/>
                      <w:color w:val="auto"/>
                      <w:sz w:val="18"/>
                      <w:szCs w:val="18"/>
                    </w:rPr>
                  </w:pPr>
                  <w:r>
                    <w:rPr>
                      <w:bCs/>
                      <w:color w:val="auto"/>
                      <w:sz w:val="18"/>
                      <w:szCs w:val="18"/>
                    </w:rPr>
                    <w:t>0</w:t>
                  </w:r>
                </w:p>
              </w:tc>
              <w:tc>
                <w:tcPr>
                  <w:tcW w:w="615" w:type="pct"/>
                  <w:vAlign w:val="center"/>
                </w:tcPr>
                <w:p>
                  <w:pPr>
                    <w:adjustRightInd w:val="0"/>
                    <w:snapToGrid w:val="0"/>
                    <w:jc w:val="center"/>
                    <w:rPr>
                      <w:bCs/>
                      <w:color w:val="auto"/>
                      <w:sz w:val="18"/>
                      <w:szCs w:val="18"/>
                    </w:rPr>
                  </w:pPr>
                  <w:r>
                    <w:rPr>
                      <w:bCs/>
                      <w:color w:val="auto"/>
                      <w:sz w:val="18"/>
                      <w:szCs w:val="18"/>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32" w:type="dxa"/>
                  <w:bottom w:w="0" w:type="dxa"/>
                  <w:right w:w="131" w:type="dxa"/>
                </w:tblCellMar>
              </w:tblPrEx>
              <w:trPr>
                <w:trHeight w:val="340" w:hRule="atLeast"/>
                <w:jc w:val="center"/>
              </w:trPr>
              <w:tc>
                <w:tcPr>
                  <w:tcW w:w="313" w:type="pct"/>
                  <w:vMerge w:val="continue"/>
                  <w:vAlign w:val="center"/>
                </w:tcPr>
                <w:p>
                  <w:pPr>
                    <w:adjustRightInd w:val="0"/>
                    <w:snapToGrid w:val="0"/>
                    <w:jc w:val="center"/>
                    <w:rPr>
                      <w:color w:val="auto"/>
                      <w:sz w:val="18"/>
                      <w:szCs w:val="18"/>
                    </w:rPr>
                  </w:pPr>
                </w:p>
              </w:tc>
              <w:tc>
                <w:tcPr>
                  <w:tcW w:w="665" w:type="pct"/>
                  <w:vMerge w:val="restart"/>
                  <w:vAlign w:val="center"/>
                </w:tcPr>
                <w:p>
                  <w:pPr>
                    <w:adjustRightInd w:val="0"/>
                    <w:snapToGrid w:val="0"/>
                    <w:jc w:val="center"/>
                    <w:rPr>
                      <w:color w:val="auto"/>
                      <w:sz w:val="18"/>
                      <w:szCs w:val="18"/>
                    </w:rPr>
                  </w:pPr>
                  <w:r>
                    <w:rPr>
                      <w:color w:val="auto"/>
                      <w:sz w:val="18"/>
                      <w:szCs w:val="18"/>
                    </w:rPr>
                    <w:t>城东污水处理厂排口下游500m</w:t>
                  </w:r>
                </w:p>
              </w:tc>
              <w:tc>
                <w:tcPr>
                  <w:tcW w:w="921" w:type="pct"/>
                  <w:vAlign w:val="center"/>
                </w:tcPr>
                <w:p>
                  <w:pPr>
                    <w:adjustRightInd w:val="0"/>
                    <w:snapToGrid w:val="0"/>
                    <w:jc w:val="center"/>
                    <w:rPr>
                      <w:bCs/>
                      <w:color w:val="auto"/>
                      <w:sz w:val="18"/>
                      <w:szCs w:val="18"/>
                    </w:rPr>
                  </w:pPr>
                  <w:r>
                    <w:rPr>
                      <w:bCs/>
                      <w:color w:val="auto"/>
                      <w:sz w:val="18"/>
                      <w:szCs w:val="18"/>
                    </w:rPr>
                    <w:t>最小值</w:t>
                  </w:r>
                </w:p>
              </w:tc>
              <w:tc>
                <w:tcPr>
                  <w:tcW w:w="626" w:type="pct"/>
                  <w:vAlign w:val="center"/>
                </w:tcPr>
                <w:p>
                  <w:pPr>
                    <w:adjustRightInd w:val="0"/>
                    <w:snapToGrid w:val="0"/>
                    <w:jc w:val="center"/>
                    <w:rPr>
                      <w:bCs/>
                      <w:color w:val="auto"/>
                      <w:sz w:val="18"/>
                      <w:szCs w:val="18"/>
                    </w:rPr>
                  </w:pPr>
                  <w:r>
                    <w:rPr>
                      <w:bCs/>
                      <w:color w:val="auto"/>
                      <w:sz w:val="18"/>
                      <w:szCs w:val="18"/>
                    </w:rPr>
                    <w:t>7.05</w:t>
                  </w:r>
                </w:p>
              </w:tc>
              <w:tc>
                <w:tcPr>
                  <w:tcW w:w="626" w:type="pct"/>
                  <w:vAlign w:val="center"/>
                </w:tcPr>
                <w:p>
                  <w:pPr>
                    <w:adjustRightInd w:val="0"/>
                    <w:snapToGrid w:val="0"/>
                    <w:jc w:val="center"/>
                    <w:rPr>
                      <w:bCs/>
                      <w:color w:val="auto"/>
                      <w:sz w:val="18"/>
                      <w:szCs w:val="18"/>
                    </w:rPr>
                  </w:pPr>
                  <w:r>
                    <w:rPr>
                      <w:bCs/>
                      <w:color w:val="auto"/>
                      <w:sz w:val="18"/>
                      <w:szCs w:val="18"/>
                    </w:rPr>
                    <w:t>11</w:t>
                  </w:r>
                </w:p>
              </w:tc>
              <w:tc>
                <w:tcPr>
                  <w:tcW w:w="571" w:type="pct"/>
                  <w:vAlign w:val="center"/>
                </w:tcPr>
                <w:p>
                  <w:pPr>
                    <w:adjustRightInd w:val="0"/>
                    <w:snapToGrid w:val="0"/>
                    <w:jc w:val="center"/>
                    <w:rPr>
                      <w:bCs/>
                      <w:color w:val="auto"/>
                      <w:sz w:val="18"/>
                      <w:szCs w:val="18"/>
                    </w:rPr>
                  </w:pPr>
                  <w:r>
                    <w:rPr>
                      <w:bCs/>
                      <w:color w:val="auto"/>
                      <w:sz w:val="18"/>
                      <w:szCs w:val="18"/>
                    </w:rPr>
                    <w:t>0.401</w:t>
                  </w:r>
                </w:p>
              </w:tc>
              <w:tc>
                <w:tcPr>
                  <w:tcW w:w="663" w:type="pct"/>
                  <w:vAlign w:val="center"/>
                </w:tcPr>
                <w:p>
                  <w:pPr>
                    <w:adjustRightInd w:val="0"/>
                    <w:snapToGrid w:val="0"/>
                    <w:jc w:val="center"/>
                    <w:rPr>
                      <w:bCs/>
                      <w:color w:val="auto"/>
                      <w:sz w:val="18"/>
                      <w:szCs w:val="18"/>
                    </w:rPr>
                  </w:pPr>
                  <w:r>
                    <w:rPr>
                      <w:bCs/>
                      <w:color w:val="auto"/>
                      <w:sz w:val="18"/>
                      <w:szCs w:val="18"/>
                    </w:rPr>
                    <w:t>0.11</w:t>
                  </w:r>
                </w:p>
              </w:tc>
              <w:tc>
                <w:tcPr>
                  <w:tcW w:w="615" w:type="pct"/>
                  <w:vAlign w:val="center"/>
                </w:tcPr>
                <w:p>
                  <w:pPr>
                    <w:adjustRightInd w:val="0"/>
                    <w:snapToGrid w:val="0"/>
                    <w:jc w:val="center"/>
                    <w:rPr>
                      <w:bCs/>
                      <w:color w:val="auto"/>
                      <w:sz w:val="18"/>
                      <w:szCs w:val="18"/>
                    </w:rPr>
                  </w:pPr>
                  <w:r>
                    <w:rPr>
                      <w:bCs/>
                      <w:color w:val="auto"/>
                      <w:sz w:val="18"/>
                      <w:szCs w:val="18"/>
                    </w:rPr>
                    <w:t>1.32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32" w:type="dxa"/>
                  <w:bottom w:w="0" w:type="dxa"/>
                  <w:right w:w="131" w:type="dxa"/>
                </w:tblCellMar>
              </w:tblPrEx>
              <w:trPr>
                <w:trHeight w:val="340" w:hRule="atLeast"/>
                <w:jc w:val="center"/>
              </w:trPr>
              <w:tc>
                <w:tcPr>
                  <w:tcW w:w="313" w:type="pct"/>
                  <w:vMerge w:val="continue"/>
                  <w:vAlign w:val="center"/>
                </w:tcPr>
                <w:p>
                  <w:pPr>
                    <w:adjustRightInd w:val="0"/>
                    <w:snapToGrid w:val="0"/>
                    <w:jc w:val="center"/>
                    <w:rPr>
                      <w:color w:val="auto"/>
                      <w:sz w:val="18"/>
                      <w:szCs w:val="18"/>
                    </w:rPr>
                  </w:pPr>
                </w:p>
              </w:tc>
              <w:tc>
                <w:tcPr>
                  <w:tcW w:w="665" w:type="pct"/>
                  <w:vMerge w:val="continue"/>
                  <w:vAlign w:val="center"/>
                </w:tcPr>
                <w:p>
                  <w:pPr>
                    <w:adjustRightInd w:val="0"/>
                    <w:snapToGrid w:val="0"/>
                    <w:jc w:val="center"/>
                    <w:rPr>
                      <w:color w:val="auto"/>
                      <w:sz w:val="18"/>
                      <w:szCs w:val="18"/>
                    </w:rPr>
                  </w:pPr>
                </w:p>
              </w:tc>
              <w:tc>
                <w:tcPr>
                  <w:tcW w:w="921" w:type="pct"/>
                  <w:vAlign w:val="center"/>
                </w:tcPr>
                <w:p>
                  <w:pPr>
                    <w:adjustRightInd w:val="0"/>
                    <w:snapToGrid w:val="0"/>
                    <w:jc w:val="center"/>
                    <w:rPr>
                      <w:bCs/>
                      <w:color w:val="auto"/>
                      <w:sz w:val="18"/>
                      <w:szCs w:val="18"/>
                    </w:rPr>
                  </w:pPr>
                  <w:r>
                    <w:rPr>
                      <w:bCs/>
                      <w:color w:val="auto"/>
                      <w:sz w:val="18"/>
                      <w:szCs w:val="18"/>
                    </w:rPr>
                    <w:t>最大值</w:t>
                  </w:r>
                </w:p>
              </w:tc>
              <w:tc>
                <w:tcPr>
                  <w:tcW w:w="626" w:type="pct"/>
                  <w:vAlign w:val="center"/>
                </w:tcPr>
                <w:p>
                  <w:pPr>
                    <w:adjustRightInd w:val="0"/>
                    <w:snapToGrid w:val="0"/>
                    <w:jc w:val="center"/>
                    <w:rPr>
                      <w:bCs/>
                      <w:color w:val="auto"/>
                      <w:sz w:val="18"/>
                      <w:szCs w:val="18"/>
                    </w:rPr>
                  </w:pPr>
                  <w:r>
                    <w:rPr>
                      <w:bCs/>
                      <w:color w:val="auto"/>
                      <w:sz w:val="18"/>
                      <w:szCs w:val="18"/>
                    </w:rPr>
                    <w:t>7.14</w:t>
                  </w:r>
                </w:p>
              </w:tc>
              <w:tc>
                <w:tcPr>
                  <w:tcW w:w="626" w:type="pct"/>
                  <w:vAlign w:val="center"/>
                </w:tcPr>
                <w:p>
                  <w:pPr>
                    <w:adjustRightInd w:val="0"/>
                    <w:snapToGrid w:val="0"/>
                    <w:jc w:val="center"/>
                    <w:rPr>
                      <w:bCs/>
                      <w:color w:val="auto"/>
                      <w:sz w:val="18"/>
                      <w:szCs w:val="18"/>
                    </w:rPr>
                  </w:pPr>
                  <w:r>
                    <w:rPr>
                      <w:bCs/>
                      <w:color w:val="auto"/>
                      <w:sz w:val="18"/>
                      <w:szCs w:val="18"/>
                    </w:rPr>
                    <w:t>14</w:t>
                  </w:r>
                </w:p>
              </w:tc>
              <w:tc>
                <w:tcPr>
                  <w:tcW w:w="571" w:type="pct"/>
                  <w:vAlign w:val="center"/>
                </w:tcPr>
                <w:p>
                  <w:pPr>
                    <w:adjustRightInd w:val="0"/>
                    <w:snapToGrid w:val="0"/>
                    <w:jc w:val="center"/>
                    <w:rPr>
                      <w:bCs/>
                      <w:color w:val="auto"/>
                      <w:sz w:val="18"/>
                      <w:szCs w:val="18"/>
                    </w:rPr>
                  </w:pPr>
                  <w:r>
                    <w:rPr>
                      <w:bCs/>
                      <w:color w:val="auto"/>
                      <w:sz w:val="18"/>
                      <w:szCs w:val="18"/>
                    </w:rPr>
                    <w:t>0.452</w:t>
                  </w:r>
                </w:p>
              </w:tc>
              <w:tc>
                <w:tcPr>
                  <w:tcW w:w="663" w:type="pct"/>
                  <w:vAlign w:val="center"/>
                </w:tcPr>
                <w:p>
                  <w:pPr>
                    <w:adjustRightInd w:val="0"/>
                    <w:snapToGrid w:val="0"/>
                    <w:jc w:val="center"/>
                    <w:rPr>
                      <w:bCs/>
                      <w:color w:val="auto"/>
                      <w:sz w:val="18"/>
                      <w:szCs w:val="18"/>
                    </w:rPr>
                  </w:pPr>
                  <w:r>
                    <w:rPr>
                      <w:bCs/>
                      <w:color w:val="auto"/>
                      <w:sz w:val="18"/>
                      <w:szCs w:val="18"/>
                    </w:rPr>
                    <w:t>0.16</w:t>
                  </w:r>
                </w:p>
              </w:tc>
              <w:tc>
                <w:tcPr>
                  <w:tcW w:w="615" w:type="pct"/>
                  <w:vAlign w:val="center"/>
                </w:tcPr>
                <w:p>
                  <w:pPr>
                    <w:adjustRightInd w:val="0"/>
                    <w:snapToGrid w:val="0"/>
                    <w:jc w:val="center"/>
                    <w:rPr>
                      <w:bCs/>
                      <w:color w:val="auto"/>
                      <w:sz w:val="18"/>
                      <w:szCs w:val="18"/>
                    </w:rPr>
                  </w:pPr>
                  <w:r>
                    <w:rPr>
                      <w:bCs/>
                      <w:color w:val="auto"/>
                      <w:sz w:val="18"/>
                      <w:szCs w:val="18"/>
                    </w:rPr>
                    <w:t>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32" w:type="dxa"/>
                  <w:bottom w:w="0" w:type="dxa"/>
                  <w:right w:w="131" w:type="dxa"/>
                </w:tblCellMar>
              </w:tblPrEx>
              <w:trPr>
                <w:trHeight w:val="340" w:hRule="atLeast"/>
                <w:jc w:val="center"/>
              </w:trPr>
              <w:tc>
                <w:tcPr>
                  <w:tcW w:w="313" w:type="pct"/>
                  <w:vMerge w:val="continue"/>
                  <w:vAlign w:val="center"/>
                </w:tcPr>
                <w:p>
                  <w:pPr>
                    <w:adjustRightInd w:val="0"/>
                    <w:snapToGrid w:val="0"/>
                    <w:rPr>
                      <w:color w:val="auto"/>
                      <w:sz w:val="18"/>
                      <w:szCs w:val="18"/>
                    </w:rPr>
                  </w:pPr>
                </w:p>
              </w:tc>
              <w:tc>
                <w:tcPr>
                  <w:tcW w:w="665" w:type="pct"/>
                  <w:vMerge w:val="continue"/>
                  <w:vAlign w:val="center"/>
                </w:tcPr>
                <w:p>
                  <w:pPr>
                    <w:adjustRightInd w:val="0"/>
                    <w:snapToGrid w:val="0"/>
                    <w:jc w:val="center"/>
                    <w:rPr>
                      <w:color w:val="auto"/>
                      <w:sz w:val="18"/>
                      <w:szCs w:val="18"/>
                    </w:rPr>
                  </w:pPr>
                </w:p>
              </w:tc>
              <w:tc>
                <w:tcPr>
                  <w:tcW w:w="921" w:type="pct"/>
                  <w:vAlign w:val="center"/>
                </w:tcPr>
                <w:p>
                  <w:pPr>
                    <w:adjustRightInd w:val="0"/>
                    <w:snapToGrid w:val="0"/>
                    <w:jc w:val="center"/>
                    <w:rPr>
                      <w:bCs/>
                      <w:color w:val="auto"/>
                      <w:sz w:val="18"/>
                      <w:szCs w:val="18"/>
                    </w:rPr>
                  </w:pPr>
                  <w:r>
                    <w:rPr>
                      <w:bCs/>
                      <w:color w:val="auto"/>
                      <w:sz w:val="18"/>
                      <w:szCs w:val="18"/>
                    </w:rPr>
                    <w:t>超标率</w:t>
                  </w:r>
                </w:p>
              </w:tc>
              <w:tc>
                <w:tcPr>
                  <w:tcW w:w="626" w:type="pct"/>
                  <w:vAlign w:val="center"/>
                </w:tcPr>
                <w:p>
                  <w:pPr>
                    <w:adjustRightInd w:val="0"/>
                    <w:snapToGrid w:val="0"/>
                    <w:jc w:val="center"/>
                    <w:rPr>
                      <w:bCs/>
                      <w:color w:val="auto"/>
                      <w:sz w:val="18"/>
                      <w:szCs w:val="18"/>
                    </w:rPr>
                  </w:pPr>
                  <w:r>
                    <w:rPr>
                      <w:bCs/>
                      <w:color w:val="auto"/>
                      <w:sz w:val="18"/>
                      <w:szCs w:val="18"/>
                    </w:rPr>
                    <w:t>0</w:t>
                  </w:r>
                </w:p>
              </w:tc>
              <w:tc>
                <w:tcPr>
                  <w:tcW w:w="626" w:type="pct"/>
                  <w:vAlign w:val="center"/>
                </w:tcPr>
                <w:p>
                  <w:pPr>
                    <w:adjustRightInd w:val="0"/>
                    <w:snapToGrid w:val="0"/>
                    <w:jc w:val="center"/>
                    <w:rPr>
                      <w:bCs/>
                      <w:color w:val="auto"/>
                      <w:sz w:val="18"/>
                      <w:szCs w:val="18"/>
                    </w:rPr>
                  </w:pPr>
                  <w:r>
                    <w:rPr>
                      <w:bCs/>
                      <w:color w:val="auto"/>
                      <w:sz w:val="18"/>
                      <w:szCs w:val="18"/>
                    </w:rPr>
                    <w:t>0</w:t>
                  </w:r>
                </w:p>
              </w:tc>
              <w:tc>
                <w:tcPr>
                  <w:tcW w:w="571" w:type="pct"/>
                  <w:vAlign w:val="center"/>
                </w:tcPr>
                <w:p>
                  <w:pPr>
                    <w:adjustRightInd w:val="0"/>
                    <w:snapToGrid w:val="0"/>
                    <w:jc w:val="center"/>
                    <w:rPr>
                      <w:bCs/>
                      <w:color w:val="auto"/>
                      <w:sz w:val="18"/>
                      <w:szCs w:val="18"/>
                    </w:rPr>
                  </w:pPr>
                  <w:r>
                    <w:rPr>
                      <w:bCs/>
                      <w:color w:val="auto"/>
                      <w:sz w:val="18"/>
                      <w:szCs w:val="18"/>
                    </w:rPr>
                    <w:t>0</w:t>
                  </w:r>
                </w:p>
              </w:tc>
              <w:tc>
                <w:tcPr>
                  <w:tcW w:w="663" w:type="pct"/>
                  <w:vAlign w:val="center"/>
                </w:tcPr>
                <w:p>
                  <w:pPr>
                    <w:adjustRightInd w:val="0"/>
                    <w:snapToGrid w:val="0"/>
                    <w:jc w:val="center"/>
                    <w:rPr>
                      <w:bCs/>
                      <w:color w:val="auto"/>
                      <w:sz w:val="18"/>
                      <w:szCs w:val="18"/>
                    </w:rPr>
                  </w:pPr>
                  <w:r>
                    <w:rPr>
                      <w:bCs/>
                      <w:color w:val="auto"/>
                      <w:sz w:val="18"/>
                      <w:szCs w:val="18"/>
                    </w:rPr>
                    <w:t>0</w:t>
                  </w:r>
                </w:p>
              </w:tc>
              <w:tc>
                <w:tcPr>
                  <w:tcW w:w="615" w:type="pct"/>
                  <w:vAlign w:val="center"/>
                </w:tcPr>
                <w:p>
                  <w:pPr>
                    <w:adjustRightInd w:val="0"/>
                    <w:snapToGrid w:val="0"/>
                    <w:jc w:val="center"/>
                    <w:rPr>
                      <w:bCs/>
                      <w:color w:val="auto"/>
                      <w:sz w:val="18"/>
                      <w:szCs w:val="18"/>
                    </w:rPr>
                  </w:pPr>
                  <w:r>
                    <w:rPr>
                      <w:bCs/>
                      <w:color w:val="auto"/>
                      <w:sz w:val="18"/>
                      <w:szCs w:val="18"/>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32" w:type="dxa"/>
                  <w:bottom w:w="0" w:type="dxa"/>
                  <w:right w:w="131" w:type="dxa"/>
                </w:tblCellMar>
              </w:tblPrEx>
              <w:trPr>
                <w:trHeight w:val="340" w:hRule="atLeast"/>
                <w:jc w:val="center"/>
              </w:trPr>
              <w:tc>
                <w:tcPr>
                  <w:tcW w:w="313" w:type="pct"/>
                  <w:vMerge w:val="continue"/>
                  <w:vAlign w:val="center"/>
                </w:tcPr>
                <w:p>
                  <w:pPr>
                    <w:adjustRightInd w:val="0"/>
                    <w:snapToGrid w:val="0"/>
                    <w:rPr>
                      <w:color w:val="auto"/>
                      <w:sz w:val="18"/>
                      <w:szCs w:val="18"/>
                    </w:rPr>
                  </w:pPr>
                </w:p>
              </w:tc>
              <w:tc>
                <w:tcPr>
                  <w:tcW w:w="665" w:type="pct"/>
                  <w:vMerge w:val="restart"/>
                  <w:vAlign w:val="center"/>
                </w:tcPr>
                <w:p>
                  <w:pPr>
                    <w:adjustRightInd w:val="0"/>
                    <w:snapToGrid w:val="0"/>
                    <w:jc w:val="center"/>
                    <w:rPr>
                      <w:color w:val="auto"/>
                      <w:sz w:val="18"/>
                      <w:szCs w:val="18"/>
                    </w:rPr>
                  </w:pPr>
                  <w:r>
                    <w:rPr>
                      <w:color w:val="auto"/>
                      <w:sz w:val="18"/>
                      <w:szCs w:val="18"/>
                    </w:rPr>
                    <w:t>城东污水处理厂排口下游1500m</w:t>
                  </w:r>
                </w:p>
              </w:tc>
              <w:tc>
                <w:tcPr>
                  <w:tcW w:w="921" w:type="pct"/>
                  <w:vAlign w:val="center"/>
                </w:tcPr>
                <w:p>
                  <w:pPr>
                    <w:adjustRightInd w:val="0"/>
                    <w:snapToGrid w:val="0"/>
                    <w:jc w:val="center"/>
                    <w:rPr>
                      <w:bCs/>
                      <w:color w:val="auto"/>
                      <w:sz w:val="18"/>
                      <w:szCs w:val="18"/>
                    </w:rPr>
                  </w:pPr>
                  <w:r>
                    <w:rPr>
                      <w:bCs/>
                      <w:color w:val="auto"/>
                      <w:sz w:val="18"/>
                      <w:szCs w:val="18"/>
                    </w:rPr>
                    <w:t>最小值</w:t>
                  </w:r>
                </w:p>
              </w:tc>
              <w:tc>
                <w:tcPr>
                  <w:tcW w:w="626" w:type="pct"/>
                  <w:vAlign w:val="center"/>
                </w:tcPr>
                <w:p>
                  <w:pPr>
                    <w:adjustRightInd w:val="0"/>
                    <w:snapToGrid w:val="0"/>
                    <w:jc w:val="center"/>
                    <w:rPr>
                      <w:bCs/>
                      <w:color w:val="auto"/>
                      <w:sz w:val="18"/>
                      <w:szCs w:val="18"/>
                    </w:rPr>
                  </w:pPr>
                  <w:r>
                    <w:rPr>
                      <w:bCs/>
                      <w:color w:val="auto"/>
                      <w:sz w:val="18"/>
                      <w:szCs w:val="18"/>
                    </w:rPr>
                    <w:t>6.97</w:t>
                  </w:r>
                </w:p>
              </w:tc>
              <w:tc>
                <w:tcPr>
                  <w:tcW w:w="626" w:type="pct"/>
                  <w:vAlign w:val="center"/>
                </w:tcPr>
                <w:p>
                  <w:pPr>
                    <w:adjustRightInd w:val="0"/>
                    <w:snapToGrid w:val="0"/>
                    <w:jc w:val="center"/>
                    <w:rPr>
                      <w:bCs/>
                      <w:color w:val="auto"/>
                      <w:sz w:val="18"/>
                      <w:szCs w:val="18"/>
                    </w:rPr>
                  </w:pPr>
                  <w:r>
                    <w:rPr>
                      <w:bCs/>
                      <w:color w:val="auto"/>
                      <w:sz w:val="18"/>
                      <w:szCs w:val="18"/>
                    </w:rPr>
                    <w:t>11</w:t>
                  </w:r>
                </w:p>
              </w:tc>
              <w:tc>
                <w:tcPr>
                  <w:tcW w:w="571" w:type="pct"/>
                  <w:vAlign w:val="center"/>
                </w:tcPr>
                <w:p>
                  <w:pPr>
                    <w:adjustRightInd w:val="0"/>
                    <w:snapToGrid w:val="0"/>
                    <w:jc w:val="center"/>
                    <w:rPr>
                      <w:bCs/>
                      <w:color w:val="auto"/>
                      <w:sz w:val="18"/>
                      <w:szCs w:val="18"/>
                    </w:rPr>
                  </w:pPr>
                  <w:r>
                    <w:rPr>
                      <w:bCs/>
                      <w:color w:val="auto"/>
                      <w:sz w:val="18"/>
                      <w:szCs w:val="18"/>
                    </w:rPr>
                    <w:t>0.392</w:t>
                  </w:r>
                </w:p>
              </w:tc>
              <w:tc>
                <w:tcPr>
                  <w:tcW w:w="663" w:type="pct"/>
                  <w:vAlign w:val="center"/>
                </w:tcPr>
                <w:p>
                  <w:pPr>
                    <w:adjustRightInd w:val="0"/>
                    <w:snapToGrid w:val="0"/>
                    <w:jc w:val="center"/>
                    <w:rPr>
                      <w:bCs/>
                      <w:color w:val="auto"/>
                      <w:sz w:val="18"/>
                      <w:szCs w:val="18"/>
                    </w:rPr>
                  </w:pPr>
                  <w:r>
                    <w:rPr>
                      <w:bCs/>
                      <w:color w:val="auto"/>
                      <w:sz w:val="18"/>
                      <w:szCs w:val="18"/>
                    </w:rPr>
                    <w:t>0.11</w:t>
                  </w:r>
                </w:p>
              </w:tc>
              <w:tc>
                <w:tcPr>
                  <w:tcW w:w="615" w:type="pct"/>
                  <w:vAlign w:val="center"/>
                </w:tcPr>
                <w:p>
                  <w:pPr>
                    <w:adjustRightInd w:val="0"/>
                    <w:snapToGrid w:val="0"/>
                    <w:jc w:val="center"/>
                    <w:rPr>
                      <w:bCs/>
                      <w:color w:val="auto"/>
                      <w:sz w:val="18"/>
                      <w:szCs w:val="18"/>
                    </w:rPr>
                  </w:pPr>
                  <w:r>
                    <w:rPr>
                      <w:bCs/>
                      <w:color w:val="auto"/>
                      <w:sz w:val="18"/>
                      <w:szCs w:val="18"/>
                    </w:rPr>
                    <w:t>1.35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32" w:type="dxa"/>
                  <w:bottom w:w="0" w:type="dxa"/>
                  <w:right w:w="131" w:type="dxa"/>
                </w:tblCellMar>
              </w:tblPrEx>
              <w:trPr>
                <w:trHeight w:val="340" w:hRule="atLeast"/>
                <w:jc w:val="center"/>
              </w:trPr>
              <w:tc>
                <w:tcPr>
                  <w:tcW w:w="313" w:type="pct"/>
                  <w:vMerge w:val="continue"/>
                  <w:vAlign w:val="center"/>
                </w:tcPr>
                <w:p>
                  <w:pPr>
                    <w:adjustRightInd w:val="0"/>
                    <w:snapToGrid w:val="0"/>
                    <w:rPr>
                      <w:color w:val="auto"/>
                      <w:sz w:val="18"/>
                      <w:szCs w:val="18"/>
                    </w:rPr>
                  </w:pPr>
                </w:p>
              </w:tc>
              <w:tc>
                <w:tcPr>
                  <w:tcW w:w="665" w:type="pct"/>
                  <w:vMerge w:val="continue"/>
                  <w:vAlign w:val="center"/>
                </w:tcPr>
                <w:p>
                  <w:pPr>
                    <w:adjustRightInd w:val="0"/>
                    <w:snapToGrid w:val="0"/>
                    <w:jc w:val="center"/>
                    <w:rPr>
                      <w:color w:val="auto"/>
                      <w:sz w:val="18"/>
                      <w:szCs w:val="18"/>
                    </w:rPr>
                  </w:pPr>
                </w:p>
              </w:tc>
              <w:tc>
                <w:tcPr>
                  <w:tcW w:w="921" w:type="pct"/>
                  <w:vAlign w:val="center"/>
                </w:tcPr>
                <w:p>
                  <w:pPr>
                    <w:adjustRightInd w:val="0"/>
                    <w:snapToGrid w:val="0"/>
                    <w:jc w:val="center"/>
                    <w:rPr>
                      <w:bCs/>
                      <w:color w:val="auto"/>
                      <w:sz w:val="18"/>
                      <w:szCs w:val="18"/>
                    </w:rPr>
                  </w:pPr>
                  <w:r>
                    <w:rPr>
                      <w:bCs/>
                      <w:color w:val="auto"/>
                      <w:sz w:val="18"/>
                      <w:szCs w:val="18"/>
                    </w:rPr>
                    <w:t>最大值</w:t>
                  </w:r>
                </w:p>
              </w:tc>
              <w:tc>
                <w:tcPr>
                  <w:tcW w:w="626" w:type="pct"/>
                  <w:vAlign w:val="center"/>
                </w:tcPr>
                <w:p>
                  <w:pPr>
                    <w:adjustRightInd w:val="0"/>
                    <w:snapToGrid w:val="0"/>
                    <w:jc w:val="center"/>
                    <w:rPr>
                      <w:bCs/>
                      <w:color w:val="auto"/>
                      <w:sz w:val="18"/>
                      <w:szCs w:val="18"/>
                    </w:rPr>
                  </w:pPr>
                  <w:r>
                    <w:rPr>
                      <w:bCs/>
                      <w:color w:val="auto"/>
                      <w:sz w:val="18"/>
                      <w:szCs w:val="18"/>
                    </w:rPr>
                    <w:t>7.08</w:t>
                  </w:r>
                </w:p>
              </w:tc>
              <w:tc>
                <w:tcPr>
                  <w:tcW w:w="626" w:type="pct"/>
                  <w:vAlign w:val="center"/>
                </w:tcPr>
                <w:p>
                  <w:pPr>
                    <w:adjustRightInd w:val="0"/>
                    <w:snapToGrid w:val="0"/>
                    <w:jc w:val="center"/>
                    <w:rPr>
                      <w:bCs/>
                      <w:color w:val="auto"/>
                      <w:sz w:val="18"/>
                      <w:szCs w:val="18"/>
                    </w:rPr>
                  </w:pPr>
                  <w:r>
                    <w:rPr>
                      <w:bCs/>
                      <w:color w:val="auto"/>
                      <w:sz w:val="18"/>
                      <w:szCs w:val="18"/>
                    </w:rPr>
                    <w:t>13</w:t>
                  </w:r>
                </w:p>
              </w:tc>
              <w:tc>
                <w:tcPr>
                  <w:tcW w:w="571" w:type="pct"/>
                  <w:vAlign w:val="center"/>
                </w:tcPr>
                <w:p>
                  <w:pPr>
                    <w:adjustRightInd w:val="0"/>
                    <w:snapToGrid w:val="0"/>
                    <w:jc w:val="center"/>
                    <w:rPr>
                      <w:bCs/>
                      <w:color w:val="auto"/>
                      <w:sz w:val="18"/>
                      <w:szCs w:val="18"/>
                    </w:rPr>
                  </w:pPr>
                  <w:r>
                    <w:rPr>
                      <w:bCs/>
                      <w:color w:val="auto"/>
                      <w:sz w:val="18"/>
                      <w:szCs w:val="18"/>
                    </w:rPr>
                    <w:t>0.452</w:t>
                  </w:r>
                </w:p>
              </w:tc>
              <w:tc>
                <w:tcPr>
                  <w:tcW w:w="663" w:type="pct"/>
                  <w:vAlign w:val="center"/>
                </w:tcPr>
                <w:p>
                  <w:pPr>
                    <w:adjustRightInd w:val="0"/>
                    <w:snapToGrid w:val="0"/>
                    <w:jc w:val="center"/>
                    <w:rPr>
                      <w:bCs/>
                      <w:color w:val="auto"/>
                      <w:sz w:val="18"/>
                      <w:szCs w:val="18"/>
                    </w:rPr>
                  </w:pPr>
                  <w:r>
                    <w:rPr>
                      <w:bCs/>
                      <w:color w:val="auto"/>
                      <w:sz w:val="18"/>
                      <w:szCs w:val="18"/>
                    </w:rPr>
                    <w:t>0.11</w:t>
                  </w:r>
                </w:p>
              </w:tc>
              <w:tc>
                <w:tcPr>
                  <w:tcW w:w="615" w:type="pct"/>
                  <w:vAlign w:val="center"/>
                </w:tcPr>
                <w:p>
                  <w:pPr>
                    <w:adjustRightInd w:val="0"/>
                    <w:snapToGrid w:val="0"/>
                    <w:jc w:val="center"/>
                    <w:rPr>
                      <w:bCs/>
                      <w:color w:val="auto"/>
                      <w:sz w:val="18"/>
                      <w:szCs w:val="18"/>
                    </w:rPr>
                  </w:pPr>
                  <w:r>
                    <w:rPr>
                      <w:bCs/>
                      <w:color w:val="auto"/>
                      <w:sz w:val="18"/>
                      <w:szCs w:val="18"/>
                    </w:rPr>
                    <w:t>1.41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32" w:type="dxa"/>
                  <w:bottom w:w="0" w:type="dxa"/>
                  <w:right w:w="131" w:type="dxa"/>
                </w:tblCellMar>
              </w:tblPrEx>
              <w:trPr>
                <w:trHeight w:val="340" w:hRule="atLeast"/>
                <w:jc w:val="center"/>
              </w:trPr>
              <w:tc>
                <w:tcPr>
                  <w:tcW w:w="313" w:type="pct"/>
                  <w:vMerge w:val="continue"/>
                  <w:vAlign w:val="center"/>
                </w:tcPr>
                <w:p>
                  <w:pPr>
                    <w:adjustRightInd w:val="0"/>
                    <w:snapToGrid w:val="0"/>
                    <w:rPr>
                      <w:color w:val="auto"/>
                      <w:sz w:val="18"/>
                      <w:szCs w:val="18"/>
                    </w:rPr>
                  </w:pPr>
                </w:p>
              </w:tc>
              <w:tc>
                <w:tcPr>
                  <w:tcW w:w="665" w:type="pct"/>
                  <w:vMerge w:val="continue"/>
                  <w:vAlign w:val="center"/>
                </w:tcPr>
                <w:p>
                  <w:pPr>
                    <w:adjustRightInd w:val="0"/>
                    <w:snapToGrid w:val="0"/>
                    <w:jc w:val="center"/>
                    <w:rPr>
                      <w:color w:val="auto"/>
                      <w:sz w:val="18"/>
                      <w:szCs w:val="18"/>
                    </w:rPr>
                  </w:pPr>
                </w:p>
              </w:tc>
              <w:tc>
                <w:tcPr>
                  <w:tcW w:w="921" w:type="pct"/>
                  <w:vAlign w:val="center"/>
                </w:tcPr>
                <w:p>
                  <w:pPr>
                    <w:adjustRightInd w:val="0"/>
                    <w:snapToGrid w:val="0"/>
                    <w:jc w:val="center"/>
                    <w:rPr>
                      <w:bCs/>
                      <w:color w:val="auto"/>
                      <w:sz w:val="18"/>
                      <w:szCs w:val="18"/>
                    </w:rPr>
                  </w:pPr>
                  <w:r>
                    <w:rPr>
                      <w:bCs/>
                      <w:color w:val="auto"/>
                      <w:sz w:val="18"/>
                      <w:szCs w:val="18"/>
                    </w:rPr>
                    <w:t>超标率</w:t>
                  </w:r>
                </w:p>
              </w:tc>
              <w:tc>
                <w:tcPr>
                  <w:tcW w:w="626" w:type="pct"/>
                  <w:vAlign w:val="center"/>
                </w:tcPr>
                <w:p>
                  <w:pPr>
                    <w:adjustRightInd w:val="0"/>
                    <w:snapToGrid w:val="0"/>
                    <w:jc w:val="center"/>
                    <w:rPr>
                      <w:bCs/>
                      <w:color w:val="auto"/>
                      <w:sz w:val="18"/>
                      <w:szCs w:val="18"/>
                    </w:rPr>
                  </w:pPr>
                  <w:r>
                    <w:rPr>
                      <w:bCs/>
                      <w:color w:val="auto"/>
                      <w:sz w:val="18"/>
                      <w:szCs w:val="18"/>
                    </w:rPr>
                    <w:t>0</w:t>
                  </w:r>
                </w:p>
              </w:tc>
              <w:tc>
                <w:tcPr>
                  <w:tcW w:w="626" w:type="pct"/>
                  <w:vAlign w:val="center"/>
                </w:tcPr>
                <w:p>
                  <w:pPr>
                    <w:adjustRightInd w:val="0"/>
                    <w:snapToGrid w:val="0"/>
                    <w:jc w:val="center"/>
                    <w:rPr>
                      <w:bCs/>
                      <w:color w:val="auto"/>
                      <w:sz w:val="18"/>
                      <w:szCs w:val="18"/>
                    </w:rPr>
                  </w:pPr>
                  <w:r>
                    <w:rPr>
                      <w:bCs/>
                      <w:color w:val="auto"/>
                      <w:sz w:val="18"/>
                      <w:szCs w:val="18"/>
                    </w:rPr>
                    <w:t>0</w:t>
                  </w:r>
                </w:p>
              </w:tc>
              <w:tc>
                <w:tcPr>
                  <w:tcW w:w="571" w:type="pct"/>
                  <w:vAlign w:val="center"/>
                </w:tcPr>
                <w:p>
                  <w:pPr>
                    <w:adjustRightInd w:val="0"/>
                    <w:snapToGrid w:val="0"/>
                    <w:jc w:val="center"/>
                    <w:rPr>
                      <w:bCs/>
                      <w:color w:val="auto"/>
                      <w:sz w:val="18"/>
                      <w:szCs w:val="18"/>
                    </w:rPr>
                  </w:pPr>
                  <w:r>
                    <w:rPr>
                      <w:bCs/>
                      <w:color w:val="auto"/>
                      <w:sz w:val="18"/>
                      <w:szCs w:val="18"/>
                    </w:rPr>
                    <w:t>0</w:t>
                  </w:r>
                </w:p>
              </w:tc>
              <w:tc>
                <w:tcPr>
                  <w:tcW w:w="663" w:type="pct"/>
                  <w:vAlign w:val="center"/>
                </w:tcPr>
                <w:p>
                  <w:pPr>
                    <w:adjustRightInd w:val="0"/>
                    <w:snapToGrid w:val="0"/>
                    <w:jc w:val="center"/>
                    <w:rPr>
                      <w:bCs/>
                      <w:color w:val="auto"/>
                      <w:sz w:val="18"/>
                      <w:szCs w:val="18"/>
                    </w:rPr>
                  </w:pPr>
                  <w:r>
                    <w:rPr>
                      <w:bCs/>
                      <w:color w:val="auto"/>
                      <w:sz w:val="18"/>
                      <w:szCs w:val="18"/>
                    </w:rPr>
                    <w:t>0</w:t>
                  </w:r>
                </w:p>
              </w:tc>
              <w:tc>
                <w:tcPr>
                  <w:tcW w:w="615" w:type="pct"/>
                  <w:vAlign w:val="center"/>
                </w:tcPr>
                <w:p>
                  <w:pPr>
                    <w:adjustRightInd w:val="0"/>
                    <w:snapToGrid w:val="0"/>
                    <w:jc w:val="center"/>
                    <w:rPr>
                      <w:bCs/>
                      <w:color w:val="auto"/>
                      <w:sz w:val="18"/>
                      <w:szCs w:val="18"/>
                    </w:rPr>
                  </w:pPr>
                  <w:r>
                    <w:rPr>
                      <w:bCs/>
                      <w:color w:val="auto"/>
                      <w:sz w:val="18"/>
                      <w:szCs w:val="18"/>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6" w:type="dxa"/>
                  <w:left w:w="132" w:type="dxa"/>
                  <w:bottom w:w="0" w:type="dxa"/>
                  <w:right w:w="131" w:type="dxa"/>
                </w:tblCellMar>
              </w:tblPrEx>
              <w:trPr>
                <w:trHeight w:val="340" w:hRule="atLeast"/>
                <w:jc w:val="center"/>
              </w:trPr>
              <w:tc>
                <w:tcPr>
                  <w:tcW w:w="1899" w:type="pct"/>
                  <w:gridSpan w:val="3"/>
                  <w:vAlign w:val="center"/>
                </w:tcPr>
                <w:p>
                  <w:pPr>
                    <w:adjustRightInd w:val="0"/>
                    <w:snapToGrid w:val="0"/>
                    <w:jc w:val="center"/>
                    <w:rPr>
                      <w:bCs/>
                      <w:color w:val="auto"/>
                      <w:sz w:val="18"/>
                      <w:szCs w:val="18"/>
                    </w:rPr>
                  </w:pPr>
                  <w:r>
                    <w:rPr>
                      <w:bCs/>
                      <w:color w:val="auto"/>
                      <w:sz w:val="18"/>
                      <w:szCs w:val="18"/>
                    </w:rPr>
                    <w:t>Ⅳ类标准值</w:t>
                  </w:r>
                </w:p>
              </w:tc>
              <w:tc>
                <w:tcPr>
                  <w:tcW w:w="626" w:type="pct"/>
                  <w:vAlign w:val="center"/>
                </w:tcPr>
                <w:p>
                  <w:pPr>
                    <w:adjustRightInd w:val="0"/>
                    <w:snapToGrid w:val="0"/>
                    <w:jc w:val="center"/>
                    <w:rPr>
                      <w:bCs/>
                      <w:color w:val="auto"/>
                      <w:sz w:val="18"/>
                      <w:szCs w:val="18"/>
                    </w:rPr>
                  </w:pPr>
                  <w:r>
                    <w:rPr>
                      <w:bCs/>
                      <w:color w:val="auto"/>
                      <w:sz w:val="18"/>
                      <w:szCs w:val="18"/>
                    </w:rPr>
                    <w:t>6-9</w:t>
                  </w:r>
                </w:p>
              </w:tc>
              <w:tc>
                <w:tcPr>
                  <w:tcW w:w="626" w:type="pct"/>
                  <w:vAlign w:val="center"/>
                </w:tcPr>
                <w:p>
                  <w:pPr>
                    <w:adjustRightInd w:val="0"/>
                    <w:snapToGrid w:val="0"/>
                    <w:jc w:val="center"/>
                    <w:rPr>
                      <w:bCs/>
                      <w:color w:val="auto"/>
                      <w:sz w:val="18"/>
                      <w:szCs w:val="18"/>
                    </w:rPr>
                  </w:pPr>
                  <w:r>
                    <w:rPr>
                      <w:bCs/>
                      <w:color w:val="auto"/>
                      <w:sz w:val="18"/>
                      <w:szCs w:val="18"/>
                    </w:rPr>
                    <w:t>≤30</w:t>
                  </w:r>
                </w:p>
              </w:tc>
              <w:tc>
                <w:tcPr>
                  <w:tcW w:w="571" w:type="pct"/>
                  <w:vAlign w:val="center"/>
                </w:tcPr>
                <w:p>
                  <w:pPr>
                    <w:adjustRightInd w:val="0"/>
                    <w:snapToGrid w:val="0"/>
                    <w:jc w:val="center"/>
                    <w:rPr>
                      <w:bCs/>
                      <w:color w:val="auto"/>
                      <w:sz w:val="18"/>
                      <w:szCs w:val="18"/>
                    </w:rPr>
                  </w:pPr>
                  <w:r>
                    <w:rPr>
                      <w:bCs/>
                      <w:color w:val="auto"/>
                      <w:sz w:val="18"/>
                      <w:szCs w:val="18"/>
                    </w:rPr>
                    <w:t>≤1.5</w:t>
                  </w:r>
                </w:p>
              </w:tc>
              <w:tc>
                <w:tcPr>
                  <w:tcW w:w="663" w:type="pct"/>
                  <w:vAlign w:val="center"/>
                </w:tcPr>
                <w:p>
                  <w:pPr>
                    <w:adjustRightInd w:val="0"/>
                    <w:snapToGrid w:val="0"/>
                    <w:jc w:val="center"/>
                    <w:rPr>
                      <w:bCs/>
                      <w:color w:val="auto"/>
                      <w:sz w:val="18"/>
                      <w:szCs w:val="18"/>
                    </w:rPr>
                  </w:pPr>
                  <w:r>
                    <w:rPr>
                      <w:bCs/>
                      <w:color w:val="auto"/>
                      <w:sz w:val="18"/>
                      <w:szCs w:val="18"/>
                    </w:rPr>
                    <w:t>≤0.3</w:t>
                  </w:r>
                </w:p>
              </w:tc>
              <w:tc>
                <w:tcPr>
                  <w:tcW w:w="615" w:type="pct"/>
                  <w:vAlign w:val="center"/>
                </w:tcPr>
                <w:p>
                  <w:pPr>
                    <w:adjustRightInd w:val="0"/>
                    <w:snapToGrid w:val="0"/>
                    <w:jc w:val="center"/>
                    <w:rPr>
                      <w:bCs/>
                      <w:color w:val="auto"/>
                      <w:sz w:val="18"/>
                      <w:szCs w:val="18"/>
                    </w:rPr>
                  </w:pPr>
                  <w:r>
                    <w:rPr>
                      <w:bCs/>
                      <w:color w:val="auto"/>
                      <w:sz w:val="18"/>
                      <w:szCs w:val="18"/>
                    </w:rPr>
                    <w:t>≤1.5</w:t>
                  </w:r>
                </w:p>
              </w:tc>
            </w:tr>
          </w:tbl>
          <w:p>
            <w:pPr>
              <w:adjustRightInd w:val="0"/>
              <w:snapToGrid w:val="0"/>
              <w:spacing w:before="120" w:beforeLines="50" w:line="360" w:lineRule="auto"/>
              <w:ind w:firstLine="420" w:firstLineChars="200"/>
              <w:rPr>
                <w:color w:val="auto"/>
                <w:szCs w:val="21"/>
              </w:rPr>
            </w:pPr>
            <w:r>
              <w:rPr>
                <w:color w:val="auto"/>
                <w:szCs w:val="21"/>
              </w:rPr>
              <w:t>由上表可知，监测时段内，新浏河水质均满足《地表水环境质量标准》（GB3838-2002）</w:t>
            </w:r>
            <w:r>
              <w:rPr>
                <w:bCs/>
                <w:color w:val="auto"/>
                <w:sz w:val="18"/>
                <w:szCs w:val="18"/>
              </w:rPr>
              <w:t>Ⅳ</w:t>
            </w:r>
            <w:r>
              <w:rPr>
                <w:color w:val="auto"/>
                <w:szCs w:val="21"/>
              </w:rPr>
              <w:t>类标准要求，水环境质量现状较好。</w:t>
            </w:r>
          </w:p>
          <w:p>
            <w:pPr>
              <w:adjustRightInd w:val="0"/>
              <w:snapToGrid w:val="0"/>
              <w:spacing w:line="360" w:lineRule="auto"/>
              <w:ind w:firstLine="422" w:firstLineChars="200"/>
              <w:jc w:val="left"/>
              <w:rPr>
                <w:color w:val="auto"/>
                <w:kern w:val="0"/>
                <w:szCs w:val="21"/>
              </w:rPr>
            </w:pPr>
            <w:r>
              <w:rPr>
                <w:b/>
                <w:bCs/>
                <w:color w:val="auto"/>
                <w:kern w:val="0"/>
                <w:szCs w:val="21"/>
              </w:rPr>
              <w:t>3、声环境</w:t>
            </w:r>
          </w:p>
          <w:p>
            <w:pPr>
              <w:adjustRightInd w:val="0"/>
              <w:snapToGrid w:val="0"/>
              <w:spacing w:line="360" w:lineRule="auto"/>
              <w:ind w:firstLine="420" w:firstLineChars="200"/>
              <w:rPr>
                <w:color w:val="auto"/>
                <w:szCs w:val="21"/>
              </w:rPr>
            </w:pPr>
            <w:r>
              <w:rPr>
                <w:color w:val="auto"/>
                <w:szCs w:val="21"/>
              </w:rPr>
              <w:t>本项目50m范围内没有声环境敏感目标。</w:t>
            </w:r>
          </w:p>
          <w:p>
            <w:pPr>
              <w:adjustRightInd w:val="0"/>
              <w:snapToGrid w:val="0"/>
              <w:spacing w:line="360" w:lineRule="auto"/>
              <w:ind w:firstLine="420" w:firstLineChars="200"/>
              <w:rPr>
                <w:color w:val="auto"/>
              </w:rPr>
            </w:pPr>
            <w:r>
              <w:rPr>
                <w:rFonts w:hint="eastAsia"/>
                <w:color w:val="auto"/>
              </w:rPr>
              <w:t>根据《2022 年太仓市环境质量状况公报》，2022 太仓市共有区域环境噪声点位 112个，昼间平均等效声级为 54.0 分贝，等级划分为二级“较好”。道路交通噪声点位共 41个，昼间平均等效声级为 63.4 分贝，评价等级为一级“好”。功能区噪声点位共 8 个，1-4 类功能区昼、夜间等效声级均达到相应标准</w:t>
            </w:r>
            <w:r>
              <w:rPr>
                <w:color w:val="auto"/>
              </w:rPr>
              <w:t>。</w:t>
            </w:r>
          </w:p>
          <w:p>
            <w:pPr>
              <w:adjustRightInd w:val="0"/>
              <w:snapToGrid w:val="0"/>
              <w:spacing w:line="360" w:lineRule="auto"/>
              <w:ind w:firstLine="422" w:firstLineChars="200"/>
              <w:rPr>
                <w:b/>
                <w:bCs/>
                <w:color w:val="auto"/>
                <w:szCs w:val="21"/>
              </w:rPr>
            </w:pPr>
            <w:r>
              <w:rPr>
                <w:b/>
                <w:bCs/>
                <w:color w:val="auto"/>
                <w:szCs w:val="21"/>
              </w:rPr>
              <w:t>4、生态环境</w:t>
            </w:r>
          </w:p>
          <w:p>
            <w:pPr>
              <w:adjustRightInd w:val="0"/>
              <w:snapToGrid w:val="0"/>
              <w:spacing w:line="360" w:lineRule="auto"/>
              <w:ind w:firstLine="420" w:firstLineChars="200"/>
              <w:rPr>
                <w:color w:val="auto"/>
                <w:szCs w:val="21"/>
              </w:rPr>
            </w:pPr>
            <w:r>
              <w:rPr>
                <w:snapToGrid w:val="0"/>
                <w:color w:val="auto"/>
                <w:szCs w:val="21"/>
              </w:rPr>
              <w:t>本项目用地范围内无生态环境保护目标</w:t>
            </w:r>
            <w:r>
              <w:rPr>
                <w:color w:val="auto"/>
                <w:szCs w:val="21"/>
              </w:rPr>
              <w:t>。</w:t>
            </w:r>
          </w:p>
          <w:p>
            <w:pPr>
              <w:adjustRightInd w:val="0"/>
              <w:snapToGrid w:val="0"/>
              <w:spacing w:line="360" w:lineRule="auto"/>
              <w:ind w:firstLine="422" w:firstLineChars="200"/>
              <w:rPr>
                <w:color w:val="auto"/>
                <w:szCs w:val="21"/>
              </w:rPr>
            </w:pPr>
            <w:r>
              <w:rPr>
                <w:b/>
                <w:color w:val="auto"/>
                <w:szCs w:val="21"/>
              </w:rPr>
              <w:t>5、</w:t>
            </w:r>
            <w:r>
              <w:rPr>
                <w:b/>
                <w:bCs/>
                <w:color w:val="auto"/>
                <w:szCs w:val="21"/>
              </w:rPr>
              <w:t>土壤、地下水环境</w:t>
            </w:r>
          </w:p>
          <w:p>
            <w:pPr>
              <w:adjustRightInd w:val="0"/>
              <w:snapToGrid w:val="0"/>
              <w:spacing w:line="360" w:lineRule="auto"/>
              <w:ind w:firstLine="420" w:firstLineChars="200"/>
              <w:rPr>
                <w:color w:val="auto"/>
                <w:szCs w:val="21"/>
              </w:rPr>
            </w:pPr>
            <w:r>
              <w:rPr>
                <w:color w:val="auto"/>
                <w:szCs w:val="21"/>
              </w:rPr>
              <w:t>本项目对</w:t>
            </w:r>
            <w:r>
              <w:rPr>
                <w:rFonts w:hint="eastAsia"/>
                <w:color w:val="auto"/>
                <w:szCs w:val="21"/>
              </w:rPr>
              <w:t>车间</w:t>
            </w:r>
            <w:r>
              <w:rPr>
                <w:color w:val="auto"/>
                <w:szCs w:val="21"/>
              </w:rPr>
              <w:t>进行了分区防渗，不属于存在土壤、地下水环境污染途径的项目，原则上不开展环境质量现状调查。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100" w:hRule="atLeast"/>
          <w:jc w:val="center"/>
        </w:trPr>
        <w:tc>
          <w:tcPr>
            <w:tcW w:w="357" w:type="dxa"/>
            <w:tcBorders>
              <w:top w:val="single" w:color="auto" w:sz="4" w:space="0"/>
              <w:left w:val="single" w:color="auto" w:sz="4" w:space="0"/>
              <w:bottom w:val="single" w:color="auto" w:sz="4" w:space="0"/>
            </w:tcBorders>
            <w:vAlign w:val="center"/>
          </w:tcPr>
          <w:p>
            <w:pPr>
              <w:adjustRightInd w:val="0"/>
              <w:snapToGrid w:val="0"/>
              <w:rPr>
                <w:color w:val="auto"/>
                <w:kern w:val="0"/>
                <w:szCs w:val="21"/>
              </w:rPr>
            </w:pPr>
            <w:r>
              <w:rPr>
                <w:color w:val="auto"/>
                <w:kern w:val="0"/>
                <w:szCs w:val="21"/>
              </w:rPr>
              <w:t>环境保护目标</w:t>
            </w:r>
          </w:p>
        </w:tc>
        <w:tc>
          <w:tcPr>
            <w:tcW w:w="8633" w:type="dxa"/>
            <w:tcBorders>
              <w:top w:val="single" w:color="auto" w:sz="4" w:space="0"/>
              <w:bottom w:val="single" w:color="auto" w:sz="4" w:space="0"/>
              <w:right w:val="single" w:color="auto" w:sz="4" w:space="0"/>
            </w:tcBorders>
          </w:tcPr>
          <w:p>
            <w:pPr>
              <w:adjustRightInd w:val="0"/>
              <w:snapToGrid w:val="0"/>
              <w:spacing w:line="360" w:lineRule="auto"/>
              <w:ind w:firstLine="422" w:firstLineChars="200"/>
              <w:rPr>
                <w:b/>
                <w:bCs/>
                <w:color w:val="auto"/>
                <w:szCs w:val="21"/>
              </w:rPr>
            </w:pPr>
            <w:r>
              <w:rPr>
                <w:b/>
                <w:bCs/>
                <w:color w:val="auto"/>
                <w:szCs w:val="21"/>
              </w:rPr>
              <w:t>1、大气环境</w:t>
            </w:r>
          </w:p>
          <w:p>
            <w:pPr>
              <w:adjustRightInd w:val="0"/>
              <w:snapToGrid w:val="0"/>
              <w:spacing w:line="360" w:lineRule="auto"/>
              <w:ind w:firstLine="420" w:firstLineChars="200"/>
              <w:rPr>
                <w:rFonts w:ascii="宋体" w:hAnsi="宋体"/>
                <w:snapToGrid w:val="0"/>
                <w:color w:val="auto"/>
                <w:kern w:val="0"/>
                <w:szCs w:val="21"/>
              </w:rPr>
            </w:pPr>
            <w:r>
              <w:rPr>
                <w:color w:val="auto"/>
              </w:rPr>
              <w:t>本项目位于</w:t>
            </w:r>
            <w:r>
              <w:rPr>
                <w:rFonts w:hint="eastAsia"/>
                <w:color w:val="auto"/>
                <w:szCs w:val="21"/>
              </w:rPr>
              <w:t>太仓城厢镇东亭北路128号9幢</w:t>
            </w:r>
            <w:r>
              <w:rPr>
                <w:color w:val="auto"/>
              </w:rPr>
              <w:t>，</w:t>
            </w:r>
            <w:r>
              <w:rPr>
                <w:snapToGrid w:val="0"/>
                <w:color w:val="auto"/>
                <w:kern w:val="0"/>
                <w:szCs w:val="21"/>
              </w:rPr>
              <w:t>根据现场勘查，</w:t>
            </w:r>
            <w:r>
              <w:rPr>
                <w:rFonts w:ascii="宋体" w:hAnsi="宋体"/>
                <w:snapToGrid w:val="0"/>
                <w:color w:val="auto"/>
                <w:kern w:val="0"/>
                <w:szCs w:val="21"/>
              </w:rPr>
              <w:t>项目周边</w:t>
            </w:r>
            <w:r>
              <w:rPr>
                <w:snapToGrid w:val="0"/>
                <w:color w:val="auto"/>
                <w:kern w:val="0"/>
                <w:szCs w:val="21"/>
              </w:rPr>
              <w:t>500m</w:t>
            </w:r>
            <w:r>
              <w:rPr>
                <w:rFonts w:ascii="宋体" w:hAnsi="宋体"/>
                <w:snapToGrid w:val="0"/>
                <w:color w:val="auto"/>
                <w:kern w:val="0"/>
                <w:szCs w:val="21"/>
              </w:rPr>
              <w:t>范围内</w:t>
            </w:r>
            <w:r>
              <w:rPr>
                <w:rFonts w:hint="eastAsia" w:ascii="宋体" w:hAnsi="宋体"/>
                <w:snapToGrid w:val="0"/>
                <w:color w:val="auto"/>
                <w:kern w:val="0"/>
                <w:szCs w:val="21"/>
              </w:rPr>
              <w:t>无</w:t>
            </w:r>
            <w:r>
              <w:rPr>
                <w:rFonts w:ascii="宋体" w:hAnsi="宋体"/>
                <w:snapToGrid w:val="0"/>
                <w:color w:val="auto"/>
                <w:kern w:val="0"/>
                <w:szCs w:val="21"/>
              </w:rPr>
              <w:t>大气环境保护目标。</w:t>
            </w:r>
          </w:p>
          <w:p>
            <w:pPr>
              <w:adjustRightInd w:val="0"/>
              <w:snapToGrid w:val="0"/>
              <w:spacing w:before="120" w:beforeLines="50" w:line="360" w:lineRule="auto"/>
              <w:ind w:firstLine="422" w:firstLineChars="200"/>
              <w:rPr>
                <w:b/>
                <w:bCs/>
                <w:color w:val="auto"/>
              </w:rPr>
            </w:pPr>
            <w:r>
              <w:rPr>
                <w:b/>
                <w:bCs/>
                <w:color w:val="auto"/>
              </w:rPr>
              <w:t>2、声环境</w:t>
            </w:r>
          </w:p>
          <w:p>
            <w:pPr>
              <w:adjustRightInd w:val="0"/>
              <w:snapToGrid w:val="0"/>
              <w:spacing w:line="360" w:lineRule="auto"/>
              <w:ind w:firstLine="420" w:firstLineChars="200"/>
              <w:rPr>
                <w:color w:val="auto"/>
                <w:kern w:val="0"/>
                <w:szCs w:val="21"/>
              </w:rPr>
            </w:pPr>
            <w:r>
              <w:rPr>
                <w:color w:val="auto"/>
              </w:rPr>
              <w:t>本项目位于</w:t>
            </w:r>
            <w:r>
              <w:rPr>
                <w:rFonts w:hint="eastAsia"/>
                <w:color w:val="auto"/>
              </w:rPr>
              <w:t>太仓城厢镇东亭北路128号9幢</w:t>
            </w:r>
            <w:r>
              <w:rPr>
                <w:color w:val="auto"/>
              </w:rPr>
              <w:t>，项目周边50米范围内没有声环境敏感目标。</w:t>
            </w:r>
          </w:p>
          <w:p>
            <w:pPr>
              <w:adjustRightInd w:val="0"/>
              <w:snapToGrid w:val="0"/>
              <w:spacing w:line="360" w:lineRule="auto"/>
              <w:ind w:firstLine="422" w:firstLineChars="200"/>
              <w:rPr>
                <w:b/>
                <w:bCs/>
                <w:color w:val="auto"/>
                <w:kern w:val="0"/>
                <w:szCs w:val="21"/>
              </w:rPr>
            </w:pPr>
            <w:r>
              <w:rPr>
                <w:b/>
                <w:bCs/>
                <w:color w:val="auto"/>
                <w:kern w:val="0"/>
                <w:szCs w:val="21"/>
              </w:rPr>
              <w:t>3、地下水环境</w:t>
            </w:r>
          </w:p>
          <w:p>
            <w:pPr>
              <w:adjustRightInd w:val="0"/>
              <w:snapToGrid w:val="0"/>
              <w:spacing w:line="360" w:lineRule="auto"/>
              <w:ind w:firstLine="420" w:firstLineChars="200"/>
              <w:rPr>
                <w:snapToGrid w:val="0"/>
                <w:color w:val="auto"/>
                <w:kern w:val="0"/>
                <w:szCs w:val="21"/>
              </w:rPr>
            </w:pPr>
            <w:r>
              <w:rPr>
                <w:snapToGrid w:val="0"/>
                <w:color w:val="auto"/>
                <w:kern w:val="0"/>
                <w:szCs w:val="21"/>
              </w:rPr>
              <w:t>厂界外500米范围内无地下水集中式饮用水水源、热水、矿泉水、温泉等特殊地下水资源。</w:t>
            </w:r>
          </w:p>
          <w:p>
            <w:pPr>
              <w:pStyle w:val="2"/>
              <w:adjustRightInd w:val="0"/>
              <w:snapToGrid w:val="0"/>
              <w:spacing w:before="0" w:after="0" w:line="360" w:lineRule="auto"/>
              <w:ind w:firstLine="422" w:firstLineChars="200"/>
              <w:rPr>
                <w:color w:val="auto"/>
                <w:sz w:val="21"/>
                <w:szCs w:val="21"/>
              </w:rPr>
            </w:pPr>
            <w:r>
              <w:rPr>
                <w:color w:val="auto"/>
                <w:sz w:val="21"/>
                <w:szCs w:val="21"/>
              </w:rPr>
              <w:t>4、生态环境</w:t>
            </w:r>
          </w:p>
          <w:p>
            <w:pPr>
              <w:adjustRightInd w:val="0"/>
              <w:snapToGrid w:val="0"/>
              <w:spacing w:line="360" w:lineRule="auto"/>
              <w:ind w:firstLine="420" w:firstLineChars="200"/>
              <w:rPr>
                <w:color w:val="auto"/>
                <w:szCs w:val="21"/>
              </w:rPr>
            </w:pPr>
            <w:r>
              <w:rPr>
                <w:color w:val="auto"/>
                <w:szCs w:val="21"/>
              </w:rPr>
              <w:t>本项目位于</w:t>
            </w:r>
            <w:r>
              <w:rPr>
                <w:snapToGrid w:val="0"/>
                <w:color w:val="auto"/>
                <w:kern w:val="0"/>
              </w:rPr>
              <w:t>太仓市高新技术产业开发区，</w:t>
            </w:r>
            <w:r>
              <w:rPr>
                <w:color w:val="auto"/>
                <w:szCs w:val="21"/>
              </w:rPr>
              <w:t>用地范围内无生态环境保护目标。</w:t>
            </w:r>
          </w:p>
          <w:p>
            <w:pPr>
              <w:adjustRightInd w:val="0"/>
              <w:snapToGrid w:val="0"/>
              <w:spacing w:line="360" w:lineRule="auto"/>
              <w:ind w:firstLine="420" w:firstLineChars="200"/>
              <w:rPr>
                <w:color w:val="auto"/>
                <w:szCs w:val="21"/>
              </w:rPr>
            </w:pPr>
          </w:p>
          <w:p>
            <w:pPr>
              <w:adjustRightInd w:val="0"/>
              <w:snapToGrid w:val="0"/>
              <w:spacing w:line="360" w:lineRule="auto"/>
              <w:ind w:firstLine="420" w:firstLineChars="200"/>
              <w:rPr>
                <w:color w:val="auto"/>
                <w:szCs w:val="21"/>
              </w:rPr>
            </w:pPr>
          </w:p>
          <w:p>
            <w:pPr>
              <w:adjustRightInd w:val="0"/>
              <w:snapToGrid w:val="0"/>
              <w:spacing w:line="360" w:lineRule="auto"/>
              <w:ind w:firstLine="420" w:firstLineChars="200"/>
              <w:rPr>
                <w:color w:val="auto"/>
                <w:szCs w:val="21"/>
              </w:rPr>
            </w:pPr>
          </w:p>
          <w:p>
            <w:pPr>
              <w:adjustRightInd w:val="0"/>
              <w:snapToGrid w:val="0"/>
              <w:spacing w:line="360" w:lineRule="auto"/>
              <w:ind w:firstLine="420" w:firstLineChars="200"/>
              <w:rPr>
                <w:color w:val="auto"/>
                <w:szCs w:val="21"/>
              </w:rPr>
            </w:pPr>
          </w:p>
          <w:p>
            <w:pPr>
              <w:adjustRightInd w:val="0"/>
              <w:snapToGrid w:val="0"/>
              <w:spacing w:line="360" w:lineRule="auto"/>
              <w:ind w:firstLine="420" w:firstLineChars="200"/>
              <w:rPr>
                <w:color w:val="auto"/>
                <w:szCs w:val="21"/>
              </w:rPr>
            </w:pPr>
          </w:p>
          <w:p>
            <w:pPr>
              <w:adjustRightInd w:val="0"/>
              <w:snapToGrid w:val="0"/>
              <w:spacing w:line="360" w:lineRule="auto"/>
              <w:ind w:firstLine="420" w:firstLineChars="200"/>
              <w:rPr>
                <w:color w:val="auto"/>
                <w:szCs w:val="21"/>
              </w:rPr>
            </w:pPr>
          </w:p>
          <w:p>
            <w:pPr>
              <w:adjustRightInd w:val="0"/>
              <w:snapToGrid w:val="0"/>
              <w:spacing w:line="360" w:lineRule="auto"/>
              <w:ind w:firstLine="420" w:firstLineChars="200"/>
              <w:rPr>
                <w:color w:val="auto"/>
                <w:szCs w:val="21"/>
              </w:rPr>
            </w:pPr>
          </w:p>
          <w:p>
            <w:pPr>
              <w:adjustRightInd w:val="0"/>
              <w:snapToGrid w:val="0"/>
              <w:spacing w:line="360" w:lineRule="auto"/>
              <w:rPr>
                <w:snapToGrid w:val="0"/>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458" w:hRule="atLeast"/>
          <w:jc w:val="center"/>
        </w:trPr>
        <w:tc>
          <w:tcPr>
            <w:tcW w:w="357" w:type="dxa"/>
            <w:tcBorders>
              <w:top w:val="single" w:color="auto" w:sz="4" w:space="0"/>
              <w:left w:val="single" w:color="auto" w:sz="4" w:space="0"/>
              <w:bottom w:val="single" w:color="auto" w:sz="4" w:space="0"/>
            </w:tcBorders>
            <w:vAlign w:val="center"/>
          </w:tcPr>
          <w:p>
            <w:pPr>
              <w:adjustRightInd w:val="0"/>
              <w:snapToGrid w:val="0"/>
              <w:rPr>
                <w:color w:val="auto"/>
                <w:kern w:val="0"/>
                <w:szCs w:val="21"/>
              </w:rPr>
            </w:pPr>
            <w:r>
              <w:rPr>
                <w:color w:val="auto"/>
                <w:kern w:val="0"/>
                <w:szCs w:val="21"/>
              </w:rPr>
              <w:t>污染物排放控制标准</w:t>
            </w:r>
          </w:p>
        </w:tc>
        <w:tc>
          <w:tcPr>
            <w:tcW w:w="8633" w:type="dxa"/>
            <w:tcBorders>
              <w:top w:val="single" w:color="auto" w:sz="4" w:space="0"/>
              <w:bottom w:val="single" w:color="auto" w:sz="4" w:space="0"/>
              <w:right w:val="single" w:color="auto" w:sz="4" w:space="0"/>
            </w:tcBorders>
          </w:tcPr>
          <w:p>
            <w:pPr>
              <w:tabs>
                <w:tab w:val="left" w:pos="5142"/>
              </w:tabs>
              <w:spacing w:line="360" w:lineRule="auto"/>
              <w:ind w:firstLine="422" w:firstLineChars="200"/>
              <w:rPr>
                <w:b/>
                <w:snapToGrid w:val="0"/>
                <w:color w:val="auto"/>
                <w:kern w:val="0"/>
                <w:szCs w:val="21"/>
              </w:rPr>
            </w:pPr>
            <w:r>
              <w:rPr>
                <w:b/>
                <w:snapToGrid w:val="0"/>
                <w:color w:val="auto"/>
                <w:kern w:val="0"/>
                <w:szCs w:val="21"/>
              </w:rPr>
              <w:t>1、大气污染物排放标准</w:t>
            </w:r>
          </w:p>
          <w:p>
            <w:pPr>
              <w:spacing w:line="360" w:lineRule="auto"/>
              <w:ind w:firstLine="482"/>
              <w:rPr>
                <w:color w:val="auto"/>
                <w:szCs w:val="21"/>
              </w:rPr>
            </w:pPr>
            <w:r>
              <w:rPr>
                <w:color w:val="auto"/>
                <w:szCs w:val="21"/>
              </w:rPr>
              <w:t>本项目运营期</w:t>
            </w:r>
            <w:r>
              <w:rPr>
                <w:rFonts w:hint="eastAsia"/>
                <w:color w:val="auto"/>
                <w:szCs w:val="21"/>
              </w:rPr>
              <w:t>橡胶件生产过程中产生的颗粒物、</w:t>
            </w:r>
            <w:r>
              <w:rPr>
                <w:color w:val="auto"/>
                <w:szCs w:val="21"/>
              </w:rPr>
              <w:t>非甲烷总烃排放执行</w:t>
            </w:r>
            <w:r>
              <w:rPr>
                <w:rFonts w:hint="eastAsia"/>
                <w:color w:val="auto"/>
                <w:szCs w:val="21"/>
              </w:rPr>
              <w:t>《橡胶制品工业污染物排放标准》(GB27632-2011)中表5、6的</w:t>
            </w:r>
            <w:r>
              <w:rPr>
                <w:color w:val="auto"/>
                <w:szCs w:val="21"/>
              </w:rPr>
              <w:t>标准；</w:t>
            </w:r>
            <w:r>
              <w:rPr>
                <w:rFonts w:hint="eastAsia"/>
                <w:color w:val="auto"/>
                <w:szCs w:val="21"/>
              </w:rPr>
              <w:t>硫化氢、二硫化碳排放执行《恶臭污染物排放标准》（GB14554-93）表1、表2标准；</w:t>
            </w:r>
          </w:p>
          <w:p>
            <w:pPr>
              <w:spacing w:line="360" w:lineRule="auto"/>
              <w:ind w:firstLine="482"/>
              <w:rPr>
                <w:color w:val="auto"/>
                <w:szCs w:val="21"/>
              </w:rPr>
            </w:pPr>
            <w:r>
              <w:rPr>
                <w:rFonts w:hint="eastAsia"/>
                <w:color w:val="auto"/>
                <w:szCs w:val="21"/>
              </w:rPr>
              <w:t>塑料件生产过程中产生的非甲烷总烃执行《合成树脂工业污染物排放标准》（GB31572-2015）中的排放限值。</w:t>
            </w:r>
          </w:p>
          <w:p>
            <w:pPr>
              <w:spacing w:line="360" w:lineRule="auto"/>
              <w:ind w:firstLine="482"/>
              <w:rPr>
                <w:color w:val="auto"/>
                <w:szCs w:val="21"/>
              </w:rPr>
            </w:pPr>
            <w:r>
              <w:rPr>
                <w:rFonts w:hint="eastAsia"/>
                <w:color w:val="auto"/>
                <w:szCs w:val="21"/>
              </w:rPr>
              <w:t>又因橡胶生产线的废气和塑料生产线的废气一起收集进入同一套处理装置处理后排放，</w:t>
            </w:r>
            <w:r>
              <w:rPr>
                <w:rFonts w:hint="eastAsia"/>
                <w:color w:val="auto"/>
                <w:szCs w:val="21"/>
              </w:rPr>
              <w:t>排放标准从严执行，故而本项目有组织废气执行《橡胶制品工业污染物排放标准》(GB27632-2011)。</w:t>
            </w:r>
          </w:p>
          <w:p>
            <w:pPr>
              <w:spacing w:line="360" w:lineRule="auto"/>
              <w:ind w:firstLine="482"/>
              <w:rPr>
                <w:color w:val="auto"/>
                <w:szCs w:val="21"/>
              </w:rPr>
            </w:pPr>
            <w:r>
              <w:rPr>
                <w:color w:val="auto"/>
                <w:szCs w:val="21"/>
              </w:rPr>
              <w:t>本项目大气污染物排放标准见下表所示。</w:t>
            </w:r>
          </w:p>
          <w:p>
            <w:pPr>
              <w:keepNext/>
              <w:jc w:val="center"/>
              <w:rPr>
                <w:b/>
                <w:color w:val="auto"/>
                <w:szCs w:val="21"/>
              </w:rPr>
            </w:pPr>
            <w:r>
              <w:rPr>
                <w:b/>
                <w:color w:val="auto"/>
                <w:szCs w:val="21"/>
              </w:rPr>
              <w:t>表3-</w:t>
            </w:r>
            <w:r>
              <w:rPr>
                <w:rFonts w:hint="eastAsia"/>
                <w:b/>
                <w:color w:val="auto"/>
                <w:szCs w:val="21"/>
              </w:rPr>
              <w:t>5</w:t>
            </w:r>
            <w:r>
              <w:rPr>
                <w:b/>
                <w:color w:val="auto"/>
                <w:szCs w:val="21"/>
              </w:rPr>
              <w:t xml:space="preserve">  本项目大气污染物排放标准</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52"/>
              <w:gridCol w:w="888"/>
              <w:gridCol w:w="1151"/>
              <w:gridCol w:w="1040"/>
              <w:gridCol w:w="1042"/>
              <w:gridCol w:w="1950"/>
              <w:gridCol w:w="22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2" w:type="pct"/>
                  <w:vMerge w:val="restart"/>
                  <w:vAlign w:val="center"/>
                </w:tcPr>
                <w:p>
                  <w:pPr>
                    <w:tabs>
                      <w:tab w:val="left" w:pos="5142"/>
                    </w:tabs>
                    <w:jc w:val="center"/>
                    <w:rPr>
                      <w:b/>
                      <w:color w:val="auto"/>
                      <w:sz w:val="18"/>
                      <w:szCs w:val="18"/>
                    </w:rPr>
                  </w:pPr>
                  <w:r>
                    <w:rPr>
                      <w:b/>
                      <w:color w:val="auto"/>
                      <w:sz w:val="18"/>
                      <w:szCs w:val="18"/>
                    </w:rPr>
                    <w:t>适用工序</w:t>
                  </w:r>
                </w:p>
              </w:tc>
              <w:tc>
                <w:tcPr>
                  <w:tcW w:w="474" w:type="pct"/>
                  <w:vMerge w:val="restart"/>
                  <w:vAlign w:val="center"/>
                </w:tcPr>
                <w:p>
                  <w:pPr>
                    <w:tabs>
                      <w:tab w:val="left" w:pos="5142"/>
                    </w:tabs>
                    <w:jc w:val="center"/>
                    <w:rPr>
                      <w:b/>
                      <w:color w:val="auto"/>
                      <w:sz w:val="18"/>
                      <w:szCs w:val="18"/>
                    </w:rPr>
                  </w:pPr>
                  <w:r>
                    <w:rPr>
                      <w:b/>
                      <w:color w:val="auto"/>
                      <w:sz w:val="18"/>
                      <w:szCs w:val="18"/>
                    </w:rPr>
                    <w:t>污染物</w:t>
                  </w:r>
                </w:p>
              </w:tc>
              <w:tc>
                <w:tcPr>
                  <w:tcW w:w="615" w:type="pct"/>
                  <w:vMerge w:val="restart"/>
                  <w:vAlign w:val="center"/>
                </w:tcPr>
                <w:p>
                  <w:pPr>
                    <w:tabs>
                      <w:tab w:val="left" w:pos="5142"/>
                    </w:tabs>
                    <w:jc w:val="center"/>
                    <w:rPr>
                      <w:b/>
                      <w:color w:val="auto"/>
                      <w:sz w:val="18"/>
                      <w:szCs w:val="18"/>
                    </w:rPr>
                  </w:pPr>
                  <w:r>
                    <w:rPr>
                      <w:rFonts w:hint="eastAsia"/>
                      <w:b/>
                      <w:color w:val="auto"/>
                      <w:sz w:val="18"/>
                      <w:szCs w:val="18"/>
                    </w:rPr>
                    <w:t>排放限值</w:t>
                  </w:r>
                  <w:r>
                    <w:rPr>
                      <w:b/>
                      <w:color w:val="auto"/>
                      <w:sz w:val="18"/>
                      <w:szCs w:val="18"/>
                    </w:rPr>
                    <w:t>（mg/m</w:t>
                  </w:r>
                  <w:r>
                    <w:rPr>
                      <w:b/>
                      <w:color w:val="auto"/>
                      <w:sz w:val="18"/>
                      <w:szCs w:val="18"/>
                      <w:vertAlign w:val="superscript"/>
                    </w:rPr>
                    <w:t>3</w:t>
                  </w:r>
                  <w:r>
                    <w:rPr>
                      <w:b/>
                      <w:color w:val="auto"/>
                      <w:sz w:val="18"/>
                      <w:szCs w:val="18"/>
                    </w:rPr>
                    <w:t>）</w:t>
                  </w:r>
                </w:p>
              </w:tc>
              <w:tc>
                <w:tcPr>
                  <w:tcW w:w="1113" w:type="pct"/>
                  <w:gridSpan w:val="2"/>
                  <w:vMerge w:val="restart"/>
                  <w:tcMar>
                    <w:top w:w="0" w:type="dxa"/>
                    <w:left w:w="0" w:type="dxa"/>
                    <w:bottom w:w="0" w:type="dxa"/>
                    <w:right w:w="0" w:type="dxa"/>
                  </w:tcMar>
                  <w:vAlign w:val="center"/>
                </w:tcPr>
                <w:p>
                  <w:pPr>
                    <w:widowControl/>
                    <w:jc w:val="center"/>
                    <w:rPr>
                      <w:b/>
                      <w:color w:val="auto"/>
                      <w:sz w:val="18"/>
                      <w:szCs w:val="18"/>
                    </w:rPr>
                  </w:pPr>
                  <w:r>
                    <w:rPr>
                      <w:rFonts w:hint="eastAsia"/>
                      <w:b/>
                      <w:color w:val="auto"/>
                      <w:sz w:val="18"/>
                      <w:szCs w:val="18"/>
                    </w:rPr>
                    <w:t>基准排气量（m</w:t>
                  </w:r>
                  <w:r>
                    <w:rPr>
                      <w:rFonts w:hint="eastAsia"/>
                      <w:b/>
                      <w:color w:val="auto"/>
                      <w:sz w:val="18"/>
                      <w:szCs w:val="18"/>
                      <w:vertAlign w:val="superscript"/>
                    </w:rPr>
                    <w:t>3</w:t>
                  </w:r>
                  <w:r>
                    <w:rPr>
                      <w:rFonts w:hint="eastAsia"/>
                      <w:b/>
                      <w:color w:val="auto"/>
                      <w:sz w:val="18"/>
                      <w:szCs w:val="18"/>
                    </w:rPr>
                    <w:t>/t胶）</w:t>
                  </w:r>
                </w:p>
              </w:tc>
              <w:tc>
                <w:tcPr>
                  <w:tcW w:w="1042" w:type="pct"/>
                  <w:vAlign w:val="center"/>
                </w:tcPr>
                <w:p>
                  <w:pPr>
                    <w:tabs>
                      <w:tab w:val="left" w:pos="5142"/>
                    </w:tabs>
                    <w:jc w:val="center"/>
                    <w:rPr>
                      <w:b/>
                      <w:color w:val="auto"/>
                      <w:sz w:val="18"/>
                      <w:szCs w:val="18"/>
                    </w:rPr>
                  </w:pPr>
                  <w:r>
                    <w:rPr>
                      <w:rFonts w:hint="eastAsia"/>
                      <w:b/>
                      <w:color w:val="auto"/>
                      <w:sz w:val="18"/>
                      <w:szCs w:val="18"/>
                    </w:rPr>
                    <w:t>厂界</w:t>
                  </w:r>
                  <w:r>
                    <w:rPr>
                      <w:b/>
                      <w:color w:val="auto"/>
                      <w:sz w:val="18"/>
                      <w:szCs w:val="18"/>
                    </w:rPr>
                    <w:t>无组织排放</w:t>
                  </w:r>
                  <w:r>
                    <w:rPr>
                      <w:rFonts w:hint="eastAsia"/>
                      <w:b/>
                      <w:color w:val="auto"/>
                      <w:sz w:val="18"/>
                      <w:szCs w:val="18"/>
                    </w:rPr>
                    <w:t>限值</w:t>
                  </w:r>
                </w:p>
              </w:tc>
              <w:tc>
                <w:tcPr>
                  <w:tcW w:w="1190" w:type="pct"/>
                  <w:vMerge w:val="restart"/>
                  <w:tcMar>
                    <w:top w:w="0" w:type="dxa"/>
                    <w:left w:w="0" w:type="dxa"/>
                    <w:bottom w:w="0" w:type="dxa"/>
                    <w:right w:w="0" w:type="dxa"/>
                  </w:tcMar>
                  <w:vAlign w:val="center"/>
                </w:tcPr>
                <w:p>
                  <w:pPr>
                    <w:tabs>
                      <w:tab w:val="left" w:pos="5142"/>
                    </w:tabs>
                    <w:jc w:val="center"/>
                    <w:rPr>
                      <w:b/>
                      <w:color w:val="auto"/>
                      <w:sz w:val="18"/>
                      <w:szCs w:val="18"/>
                    </w:rPr>
                  </w:pPr>
                  <w:r>
                    <w:rPr>
                      <w:b/>
                      <w:color w:val="auto"/>
                      <w:sz w:val="18"/>
                      <w:szCs w:val="18"/>
                    </w:rPr>
                    <w:t>标准来源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2" w:type="pct"/>
                  <w:vMerge w:val="continue"/>
                  <w:vAlign w:val="center"/>
                </w:tcPr>
                <w:p>
                  <w:pPr>
                    <w:widowControl/>
                    <w:jc w:val="center"/>
                    <w:rPr>
                      <w:b/>
                      <w:color w:val="auto"/>
                      <w:sz w:val="18"/>
                      <w:szCs w:val="18"/>
                    </w:rPr>
                  </w:pPr>
                </w:p>
              </w:tc>
              <w:tc>
                <w:tcPr>
                  <w:tcW w:w="474" w:type="pct"/>
                  <w:vMerge w:val="continue"/>
                  <w:vAlign w:val="center"/>
                </w:tcPr>
                <w:p>
                  <w:pPr>
                    <w:widowControl/>
                    <w:jc w:val="center"/>
                    <w:rPr>
                      <w:b/>
                      <w:color w:val="auto"/>
                      <w:sz w:val="18"/>
                      <w:szCs w:val="18"/>
                    </w:rPr>
                  </w:pPr>
                </w:p>
              </w:tc>
              <w:tc>
                <w:tcPr>
                  <w:tcW w:w="615" w:type="pct"/>
                  <w:vMerge w:val="continue"/>
                  <w:vAlign w:val="center"/>
                </w:tcPr>
                <w:p>
                  <w:pPr>
                    <w:widowControl/>
                    <w:jc w:val="center"/>
                    <w:rPr>
                      <w:b/>
                      <w:color w:val="auto"/>
                      <w:sz w:val="18"/>
                      <w:szCs w:val="18"/>
                    </w:rPr>
                  </w:pPr>
                </w:p>
              </w:tc>
              <w:tc>
                <w:tcPr>
                  <w:tcW w:w="1113" w:type="pct"/>
                  <w:gridSpan w:val="2"/>
                  <w:vMerge w:val="continue"/>
                  <w:vAlign w:val="center"/>
                </w:tcPr>
                <w:p>
                  <w:pPr>
                    <w:widowControl/>
                    <w:jc w:val="center"/>
                    <w:rPr>
                      <w:b/>
                      <w:color w:val="auto"/>
                      <w:sz w:val="18"/>
                      <w:szCs w:val="18"/>
                    </w:rPr>
                  </w:pPr>
                </w:p>
              </w:tc>
              <w:tc>
                <w:tcPr>
                  <w:tcW w:w="1042" w:type="pct"/>
                  <w:vAlign w:val="center"/>
                </w:tcPr>
                <w:p>
                  <w:pPr>
                    <w:widowControl/>
                    <w:jc w:val="center"/>
                    <w:rPr>
                      <w:b/>
                      <w:color w:val="auto"/>
                      <w:sz w:val="18"/>
                      <w:szCs w:val="18"/>
                    </w:rPr>
                  </w:pPr>
                  <w:r>
                    <w:rPr>
                      <w:b/>
                      <w:color w:val="auto"/>
                      <w:sz w:val="18"/>
                      <w:szCs w:val="18"/>
                    </w:rPr>
                    <w:t>浓度限值</w:t>
                  </w:r>
                </w:p>
                <w:p>
                  <w:pPr>
                    <w:widowControl/>
                    <w:jc w:val="center"/>
                    <w:rPr>
                      <w:b/>
                      <w:color w:val="auto"/>
                      <w:sz w:val="18"/>
                      <w:szCs w:val="18"/>
                    </w:rPr>
                  </w:pPr>
                  <w:r>
                    <w:rPr>
                      <w:b/>
                      <w:color w:val="auto"/>
                      <w:sz w:val="18"/>
                      <w:szCs w:val="18"/>
                    </w:rPr>
                    <w:t>（mg/m</w:t>
                  </w:r>
                  <w:r>
                    <w:rPr>
                      <w:b/>
                      <w:color w:val="auto"/>
                      <w:sz w:val="18"/>
                      <w:szCs w:val="18"/>
                      <w:vertAlign w:val="superscript"/>
                    </w:rPr>
                    <w:t>3</w:t>
                  </w:r>
                  <w:r>
                    <w:rPr>
                      <w:b/>
                      <w:color w:val="auto"/>
                      <w:sz w:val="18"/>
                      <w:szCs w:val="18"/>
                    </w:rPr>
                    <w:t>）</w:t>
                  </w:r>
                </w:p>
              </w:tc>
              <w:tc>
                <w:tcPr>
                  <w:tcW w:w="1190" w:type="pct"/>
                  <w:vMerge w:val="continue"/>
                  <w:vAlign w:val="center"/>
                </w:tcPr>
                <w:p>
                  <w:pPr>
                    <w:widowControl/>
                    <w:jc w:val="center"/>
                    <w:rPr>
                      <w:b/>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2" w:type="pct"/>
                  <w:vMerge w:val="restart"/>
                  <w:vAlign w:val="center"/>
                </w:tcPr>
                <w:p>
                  <w:pPr>
                    <w:tabs>
                      <w:tab w:val="left" w:pos="5142"/>
                    </w:tabs>
                    <w:jc w:val="center"/>
                    <w:rPr>
                      <w:color w:val="auto"/>
                      <w:sz w:val="18"/>
                      <w:szCs w:val="18"/>
                    </w:rPr>
                  </w:pPr>
                  <w:r>
                    <w:rPr>
                      <w:rFonts w:hint="eastAsia"/>
                      <w:color w:val="auto"/>
                      <w:sz w:val="18"/>
                      <w:szCs w:val="18"/>
                    </w:rPr>
                    <w:t>混炼、开炼、成型、注塑</w:t>
                  </w:r>
                </w:p>
              </w:tc>
              <w:tc>
                <w:tcPr>
                  <w:tcW w:w="474" w:type="pct"/>
                  <w:vAlign w:val="center"/>
                </w:tcPr>
                <w:p>
                  <w:pPr>
                    <w:tabs>
                      <w:tab w:val="left" w:pos="5142"/>
                    </w:tabs>
                    <w:jc w:val="center"/>
                    <w:rPr>
                      <w:color w:val="auto"/>
                      <w:sz w:val="18"/>
                      <w:szCs w:val="18"/>
                    </w:rPr>
                  </w:pPr>
                  <w:r>
                    <w:rPr>
                      <w:color w:val="auto"/>
                      <w:sz w:val="18"/>
                      <w:szCs w:val="18"/>
                    </w:rPr>
                    <w:t>非甲烷总烃</w:t>
                  </w:r>
                </w:p>
              </w:tc>
              <w:tc>
                <w:tcPr>
                  <w:tcW w:w="615" w:type="pct"/>
                  <w:vAlign w:val="center"/>
                </w:tcPr>
                <w:p>
                  <w:pPr>
                    <w:tabs>
                      <w:tab w:val="left" w:pos="5142"/>
                    </w:tabs>
                    <w:jc w:val="center"/>
                    <w:rPr>
                      <w:color w:val="auto"/>
                      <w:sz w:val="18"/>
                      <w:szCs w:val="18"/>
                    </w:rPr>
                  </w:pPr>
                  <w:r>
                    <w:rPr>
                      <w:rFonts w:hint="eastAsia"/>
                      <w:color w:val="auto"/>
                      <w:sz w:val="18"/>
                      <w:szCs w:val="18"/>
                    </w:rPr>
                    <w:t>10</w:t>
                  </w:r>
                </w:p>
              </w:tc>
              <w:tc>
                <w:tcPr>
                  <w:tcW w:w="1113" w:type="pct"/>
                  <w:gridSpan w:val="2"/>
                  <w:tcMar>
                    <w:top w:w="0" w:type="dxa"/>
                    <w:left w:w="0" w:type="dxa"/>
                    <w:bottom w:w="0" w:type="dxa"/>
                    <w:right w:w="0" w:type="dxa"/>
                  </w:tcMar>
                  <w:vAlign w:val="center"/>
                </w:tcPr>
                <w:p>
                  <w:pPr>
                    <w:tabs>
                      <w:tab w:val="left" w:pos="5142"/>
                    </w:tabs>
                    <w:jc w:val="center"/>
                    <w:rPr>
                      <w:color w:val="auto"/>
                      <w:sz w:val="18"/>
                      <w:szCs w:val="18"/>
                    </w:rPr>
                  </w:pPr>
                  <w:r>
                    <w:rPr>
                      <w:rFonts w:hint="eastAsia"/>
                      <w:color w:val="auto"/>
                      <w:sz w:val="18"/>
                      <w:szCs w:val="18"/>
                    </w:rPr>
                    <w:t>2000</w:t>
                  </w:r>
                </w:p>
              </w:tc>
              <w:tc>
                <w:tcPr>
                  <w:tcW w:w="1042" w:type="pct"/>
                  <w:vAlign w:val="center"/>
                </w:tcPr>
                <w:p>
                  <w:pPr>
                    <w:tabs>
                      <w:tab w:val="left" w:pos="5142"/>
                    </w:tabs>
                    <w:jc w:val="center"/>
                    <w:rPr>
                      <w:color w:val="auto"/>
                      <w:sz w:val="18"/>
                      <w:szCs w:val="18"/>
                    </w:rPr>
                  </w:pPr>
                  <w:r>
                    <w:rPr>
                      <w:color w:val="auto"/>
                      <w:sz w:val="18"/>
                      <w:szCs w:val="18"/>
                    </w:rPr>
                    <w:t>4</w:t>
                  </w:r>
                  <w:r>
                    <w:rPr>
                      <w:rFonts w:hint="eastAsia"/>
                      <w:color w:val="auto"/>
                      <w:sz w:val="18"/>
                      <w:szCs w:val="18"/>
                    </w:rPr>
                    <w:t>.0</w:t>
                  </w:r>
                </w:p>
              </w:tc>
              <w:tc>
                <w:tcPr>
                  <w:tcW w:w="1190" w:type="pct"/>
                  <w:vMerge w:val="restart"/>
                  <w:tcMar>
                    <w:top w:w="0" w:type="dxa"/>
                    <w:left w:w="0" w:type="dxa"/>
                    <w:bottom w:w="0" w:type="dxa"/>
                    <w:right w:w="0" w:type="dxa"/>
                  </w:tcMar>
                  <w:vAlign w:val="center"/>
                </w:tcPr>
                <w:p>
                  <w:pPr>
                    <w:tabs>
                      <w:tab w:val="left" w:pos="5142"/>
                    </w:tabs>
                    <w:jc w:val="center"/>
                    <w:rPr>
                      <w:color w:val="auto"/>
                      <w:sz w:val="18"/>
                      <w:szCs w:val="18"/>
                    </w:rPr>
                  </w:pPr>
                  <w:r>
                    <w:rPr>
                      <w:rFonts w:hint="eastAsia"/>
                      <w:color w:val="auto"/>
                      <w:sz w:val="18"/>
                      <w:szCs w:val="18"/>
                    </w:rPr>
                    <w:t>《橡胶制品工业污染物排放标准》(GB27632-2011)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2" w:type="pct"/>
                  <w:vMerge w:val="continue"/>
                  <w:vAlign w:val="center"/>
                </w:tcPr>
                <w:p>
                  <w:pPr>
                    <w:tabs>
                      <w:tab w:val="left" w:pos="5142"/>
                    </w:tabs>
                    <w:jc w:val="center"/>
                    <w:rPr>
                      <w:color w:val="auto"/>
                      <w:sz w:val="18"/>
                      <w:szCs w:val="18"/>
                    </w:rPr>
                  </w:pPr>
                </w:p>
              </w:tc>
              <w:tc>
                <w:tcPr>
                  <w:tcW w:w="474" w:type="pct"/>
                  <w:vAlign w:val="center"/>
                </w:tcPr>
                <w:p>
                  <w:pPr>
                    <w:tabs>
                      <w:tab w:val="left" w:pos="5142"/>
                    </w:tabs>
                    <w:jc w:val="center"/>
                    <w:rPr>
                      <w:color w:val="auto"/>
                      <w:sz w:val="18"/>
                      <w:szCs w:val="18"/>
                    </w:rPr>
                  </w:pPr>
                  <w:r>
                    <w:rPr>
                      <w:rFonts w:hint="eastAsia"/>
                      <w:color w:val="auto"/>
                      <w:sz w:val="18"/>
                      <w:szCs w:val="18"/>
                    </w:rPr>
                    <w:t>颗粒物</w:t>
                  </w:r>
                </w:p>
              </w:tc>
              <w:tc>
                <w:tcPr>
                  <w:tcW w:w="615" w:type="pct"/>
                  <w:vAlign w:val="center"/>
                </w:tcPr>
                <w:p>
                  <w:pPr>
                    <w:tabs>
                      <w:tab w:val="left" w:pos="5142"/>
                    </w:tabs>
                    <w:jc w:val="center"/>
                    <w:rPr>
                      <w:color w:val="auto"/>
                      <w:sz w:val="18"/>
                      <w:szCs w:val="18"/>
                    </w:rPr>
                  </w:pPr>
                  <w:r>
                    <w:rPr>
                      <w:rFonts w:hint="eastAsia"/>
                      <w:color w:val="auto"/>
                      <w:sz w:val="18"/>
                      <w:szCs w:val="18"/>
                    </w:rPr>
                    <w:t>12</w:t>
                  </w:r>
                </w:p>
              </w:tc>
              <w:tc>
                <w:tcPr>
                  <w:tcW w:w="1113" w:type="pct"/>
                  <w:gridSpan w:val="2"/>
                  <w:tcMar>
                    <w:top w:w="0" w:type="dxa"/>
                    <w:left w:w="0" w:type="dxa"/>
                    <w:bottom w:w="0" w:type="dxa"/>
                    <w:right w:w="0" w:type="dxa"/>
                  </w:tcMar>
                  <w:vAlign w:val="center"/>
                </w:tcPr>
                <w:p>
                  <w:pPr>
                    <w:tabs>
                      <w:tab w:val="left" w:pos="5142"/>
                    </w:tabs>
                    <w:jc w:val="center"/>
                    <w:rPr>
                      <w:color w:val="auto"/>
                      <w:sz w:val="18"/>
                      <w:szCs w:val="18"/>
                    </w:rPr>
                  </w:pPr>
                  <w:r>
                    <w:rPr>
                      <w:rFonts w:hint="eastAsia"/>
                      <w:color w:val="auto"/>
                      <w:sz w:val="18"/>
                      <w:szCs w:val="18"/>
                    </w:rPr>
                    <w:t>2000</w:t>
                  </w:r>
                </w:p>
              </w:tc>
              <w:tc>
                <w:tcPr>
                  <w:tcW w:w="1042" w:type="pct"/>
                  <w:vAlign w:val="center"/>
                </w:tcPr>
                <w:p>
                  <w:pPr>
                    <w:tabs>
                      <w:tab w:val="left" w:pos="5142"/>
                    </w:tabs>
                    <w:jc w:val="center"/>
                    <w:rPr>
                      <w:color w:val="auto"/>
                      <w:sz w:val="18"/>
                      <w:szCs w:val="18"/>
                    </w:rPr>
                  </w:pPr>
                  <w:r>
                    <w:rPr>
                      <w:rFonts w:hint="eastAsia"/>
                      <w:color w:val="auto"/>
                      <w:sz w:val="18"/>
                      <w:szCs w:val="18"/>
                    </w:rPr>
                    <w:t>1.0</w:t>
                  </w:r>
                </w:p>
              </w:tc>
              <w:tc>
                <w:tcPr>
                  <w:tcW w:w="1190" w:type="pct"/>
                  <w:vMerge w:val="continue"/>
                  <w:tcMar>
                    <w:top w:w="0" w:type="dxa"/>
                    <w:left w:w="0" w:type="dxa"/>
                    <w:bottom w:w="0" w:type="dxa"/>
                    <w:right w:w="0" w:type="dxa"/>
                  </w:tcMar>
                  <w:vAlign w:val="center"/>
                </w:tcPr>
                <w:p>
                  <w:pPr>
                    <w:tabs>
                      <w:tab w:val="left" w:pos="5142"/>
                    </w:tabs>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562" w:type="pct"/>
                  <w:vMerge w:val="restart"/>
                  <w:vAlign w:val="center"/>
                </w:tcPr>
                <w:p>
                  <w:pPr>
                    <w:tabs>
                      <w:tab w:val="left" w:pos="5142"/>
                    </w:tabs>
                    <w:jc w:val="center"/>
                    <w:rPr>
                      <w:color w:val="auto"/>
                      <w:sz w:val="18"/>
                      <w:szCs w:val="18"/>
                    </w:rPr>
                  </w:pPr>
                  <w:r>
                    <w:rPr>
                      <w:b/>
                      <w:color w:val="auto"/>
                      <w:sz w:val="18"/>
                      <w:szCs w:val="18"/>
                    </w:rPr>
                    <w:t>适用工序</w:t>
                  </w:r>
                </w:p>
              </w:tc>
              <w:tc>
                <w:tcPr>
                  <w:tcW w:w="474" w:type="pct"/>
                  <w:vMerge w:val="restart"/>
                  <w:vAlign w:val="center"/>
                </w:tcPr>
                <w:p>
                  <w:pPr>
                    <w:tabs>
                      <w:tab w:val="left" w:pos="5142"/>
                    </w:tabs>
                    <w:jc w:val="center"/>
                    <w:rPr>
                      <w:color w:val="auto"/>
                      <w:sz w:val="18"/>
                      <w:szCs w:val="18"/>
                    </w:rPr>
                  </w:pPr>
                  <w:r>
                    <w:rPr>
                      <w:b/>
                      <w:color w:val="auto"/>
                      <w:sz w:val="18"/>
                      <w:szCs w:val="18"/>
                    </w:rPr>
                    <w:t>污染物</w:t>
                  </w:r>
                </w:p>
              </w:tc>
              <w:tc>
                <w:tcPr>
                  <w:tcW w:w="615" w:type="pct"/>
                  <w:vMerge w:val="restart"/>
                  <w:vAlign w:val="center"/>
                </w:tcPr>
                <w:p>
                  <w:pPr>
                    <w:tabs>
                      <w:tab w:val="left" w:pos="5142"/>
                    </w:tabs>
                    <w:jc w:val="center"/>
                    <w:rPr>
                      <w:color w:val="auto"/>
                      <w:sz w:val="18"/>
                      <w:szCs w:val="18"/>
                    </w:rPr>
                  </w:pPr>
                  <w:r>
                    <w:rPr>
                      <w:rFonts w:hint="eastAsia"/>
                      <w:b/>
                      <w:color w:val="auto"/>
                      <w:sz w:val="18"/>
                      <w:szCs w:val="18"/>
                    </w:rPr>
                    <w:t>最高允许排放浓度</w:t>
                  </w:r>
                  <w:r>
                    <w:rPr>
                      <w:b/>
                      <w:color w:val="auto"/>
                      <w:sz w:val="18"/>
                      <w:szCs w:val="18"/>
                    </w:rPr>
                    <w:t>（mg/m</w:t>
                  </w:r>
                  <w:r>
                    <w:rPr>
                      <w:b/>
                      <w:color w:val="auto"/>
                      <w:sz w:val="18"/>
                      <w:szCs w:val="18"/>
                      <w:vertAlign w:val="superscript"/>
                    </w:rPr>
                    <w:t>3</w:t>
                  </w:r>
                  <w:r>
                    <w:rPr>
                      <w:b/>
                      <w:color w:val="auto"/>
                      <w:sz w:val="18"/>
                      <w:szCs w:val="18"/>
                    </w:rPr>
                    <w:t>）</w:t>
                  </w:r>
                </w:p>
              </w:tc>
              <w:tc>
                <w:tcPr>
                  <w:tcW w:w="1113" w:type="pct"/>
                  <w:gridSpan w:val="2"/>
                  <w:tcMar>
                    <w:top w:w="0" w:type="dxa"/>
                    <w:left w:w="0" w:type="dxa"/>
                    <w:bottom w:w="0" w:type="dxa"/>
                    <w:right w:w="0" w:type="dxa"/>
                  </w:tcMar>
                  <w:vAlign w:val="center"/>
                </w:tcPr>
                <w:p>
                  <w:pPr>
                    <w:tabs>
                      <w:tab w:val="left" w:pos="5142"/>
                    </w:tabs>
                    <w:jc w:val="center"/>
                    <w:rPr>
                      <w:color w:val="auto"/>
                      <w:sz w:val="18"/>
                      <w:szCs w:val="18"/>
                    </w:rPr>
                  </w:pPr>
                  <w:r>
                    <w:rPr>
                      <w:rFonts w:hint="eastAsia"/>
                      <w:b/>
                      <w:color w:val="auto"/>
                      <w:sz w:val="18"/>
                      <w:szCs w:val="18"/>
                    </w:rPr>
                    <w:t>最高允许排放速率kg/h</w:t>
                  </w:r>
                </w:p>
              </w:tc>
              <w:tc>
                <w:tcPr>
                  <w:tcW w:w="1042" w:type="pct"/>
                  <w:vAlign w:val="center"/>
                </w:tcPr>
                <w:p>
                  <w:pPr>
                    <w:tabs>
                      <w:tab w:val="left" w:pos="5142"/>
                    </w:tabs>
                    <w:jc w:val="center"/>
                    <w:rPr>
                      <w:color w:val="auto"/>
                      <w:sz w:val="18"/>
                      <w:szCs w:val="18"/>
                    </w:rPr>
                  </w:pPr>
                  <w:r>
                    <w:rPr>
                      <w:rFonts w:hint="eastAsia"/>
                      <w:b/>
                      <w:color w:val="auto"/>
                      <w:sz w:val="18"/>
                      <w:szCs w:val="18"/>
                    </w:rPr>
                    <w:t>厂界</w:t>
                  </w:r>
                  <w:r>
                    <w:rPr>
                      <w:b/>
                      <w:color w:val="auto"/>
                      <w:sz w:val="18"/>
                      <w:szCs w:val="18"/>
                    </w:rPr>
                    <w:t>无组织</w:t>
                  </w:r>
                  <w:r>
                    <w:rPr>
                      <w:rFonts w:hint="eastAsia"/>
                      <w:b/>
                      <w:color w:val="auto"/>
                      <w:sz w:val="18"/>
                      <w:szCs w:val="18"/>
                    </w:rPr>
                    <w:t>监控浓度</w:t>
                  </w:r>
                </w:p>
              </w:tc>
              <w:tc>
                <w:tcPr>
                  <w:tcW w:w="1190" w:type="pct"/>
                  <w:vMerge w:val="restart"/>
                  <w:tcMar>
                    <w:top w:w="0" w:type="dxa"/>
                    <w:left w:w="0" w:type="dxa"/>
                    <w:bottom w:w="0" w:type="dxa"/>
                    <w:right w:w="0" w:type="dxa"/>
                  </w:tcMar>
                  <w:vAlign w:val="center"/>
                </w:tcPr>
                <w:p>
                  <w:pPr>
                    <w:tabs>
                      <w:tab w:val="left" w:pos="5142"/>
                    </w:tabs>
                    <w:jc w:val="center"/>
                    <w:rPr>
                      <w:color w:val="auto"/>
                      <w:sz w:val="18"/>
                      <w:szCs w:val="18"/>
                    </w:rPr>
                  </w:pPr>
                  <w:r>
                    <w:rPr>
                      <w:b/>
                      <w:color w:val="auto"/>
                      <w:sz w:val="18"/>
                      <w:szCs w:val="18"/>
                    </w:rPr>
                    <w:t>标准来源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562" w:type="pct"/>
                  <w:vMerge w:val="continue"/>
                  <w:vAlign w:val="center"/>
                </w:tcPr>
                <w:p>
                  <w:pPr>
                    <w:tabs>
                      <w:tab w:val="left" w:pos="5142"/>
                    </w:tabs>
                    <w:jc w:val="center"/>
                    <w:rPr>
                      <w:color w:val="auto"/>
                    </w:rPr>
                  </w:pPr>
                </w:p>
              </w:tc>
              <w:tc>
                <w:tcPr>
                  <w:tcW w:w="474" w:type="pct"/>
                  <w:vMerge w:val="continue"/>
                  <w:vAlign w:val="center"/>
                </w:tcPr>
                <w:p>
                  <w:pPr>
                    <w:tabs>
                      <w:tab w:val="left" w:pos="5142"/>
                    </w:tabs>
                    <w:jc w:val="center"/>
                    <w:rPr>
                      <w:color w:val="auto"/>
                    </w:rPr>
                  </w:pPr>
                </w:p>
              </w:tc>
              <w:tc>
                <w:tcPr>
                  <w:tcW w:w="615" w:type="pct"/>
                  <w:vMerge w:val="continue"/>
                  <w:vAlign w:val="center"/>
                </w:tcPr>
                <w:p>
                  <w:pPr>
                    <w:tabs>
                      <w:tab w:val="left" w:pos="5142"/>
                    </w:tabs>
                    <w:jc w:val="center"/>
                    <w:rPr>
                      <w:color w:val="auto"/>
                    </w:rPr>
                  </w:pPr>
                </w:p>
              </w:tc>
              <w:tc>
                <w:tcPr>
                  <w:tcW w:w="556" w:type="pct"/>
                  <w:tcMar>
                    <w:top w:w="0" w:type="dxa"/>
                    <w:left w:w="0" w:type="dxa"/>
                    <w:bottom w:w="0" w:type="dxa"/>
                    <w:right w:w="0" w:type="dxa"/>
                  </w:tcMar>
                  <w:vAlign w:val="center"/>
                </w:tcPr>
                <w:p>
                  <w:pPr>
                    <w:widowControl/>
                    <w:jc w:val="center"/>
                    <w:rPr>
                      <w:b/>
                      <w:bCs/>
                      <w:color w:val="auto"/>
                      <w:sz w:val="18"/>
                      <w:szCs w:val="18"/>
                    </w:rPr>
                  </w:pPr>
                  <w:r>
                    <w:rPr>
                      <w:rFonts w:hint="eastAsia"/>
                      <w:b/>
                      <w:bCs/>
                      <w:color w:val="auto"/>
                      <w:sz w:val="18"/>
                      <w:szCs w:val="18"/>
                    </w:rPr>
                    <w:t>排气筒高度m</w:t>
                  </w:r>
                </w:p>
              </w:tc>
              <w:tc>
                <w:tcPr>
                  <w:tcW w:w="557" w:type="pct"/>
                  <w:vAlign w:val="center"/>
                </w:tcPr>
                <w:p>
                  <w:pPr>
                    <w:widowControl/>
                    <w:jc w:val="center"/>
                    <w:rPr>
                      <w:b/>
                      <w:bCs/>
                      <w:color w:val="auto"/>
                      <w:sz w:val="18"/>
                      <w:szCs w:val="18"/>
                    </w:rPr>
                  </w:pPr>
                  <w:r>
                    <w:rPr>
                      <w:rFonts w:hint="eastAsia"/>
                      <w:b/>
                      <w:bCs/>
                      <w:color w:val="auto"/>
                      <w:sz w:val="18"/>
                      <w:szCs w:val="18"/>
                    </w:rPr>
                    <w:t>二级</w:t>
                  </w:r>
                </w:p>
              </w:tc>
              <w:tc>
                <w:tcPr>
                  <w:tcW w:w="1042" w:type="pct"/>
                  <w:vAlign w:val="center"/>
                </w:tcPr>
                <w:p>
                  <w:pPr>
                    <w:widowControl/>
                    <w:jc w:val="center"/>
                    <w:rPr>
                      <w:b/>
                      <w:color w:val="auto"/>
                      <w:sz w:val="18"/>
                      <w:szCs w:val="18"/>
                    </w:rPr>
                  </w:pPr>
                  <w:r>
                    <w:rPr>
                      <w:b/>
                      <w:color w:val="auto"/>
                      <w:sz w:val="18"/>
                      <w:szCs w:val="18"/>
                    </w:rPr>
                    <w:t>浓度限值</w:t>
                  </w:r>
                </w:p>
                <w:p>
                  <w:pPr>
                    <w:widowControl/>
                    <w:jc w:val="center"/>
                    <w:rPr>
                      <w:color w:val="auto"/>
                      <w:sz w:val="18"/>
                      <w:szCs w:val="18"/>
                    </w:rPr>
                  </w:pPr>
                  <w:r>
                    <w:rPr>
                      <w:b/>
                      <w:color w:val="auto"/>
                      <w:sz w:val="18"/>
                      <w:szCs w:val="18"/>
                    </w:rPr>
                    <w:t>（mg/m</w:t>
                  </w:r>
                  <w:r>
                    <w:rPr>
                      <w:b/>
                      <w:color w:val="auto"/>
                      <w:sz w:val="18"/>
                      <w:szCs w:val="18"/>
                      <w:vertAlign w:val="superscript"/>
                    </w:rPr>
                    <w:t>3</w:t>
                  </w:r>
                  <w:r>
                    <w:rPr>
                      <w:b/>
                      <w:color w:val="auto"/>
                      <w:sz w:val="18"/>
                      <w:szCs w:val="18"/>
                    </w:rPr>
                    <w:t>）</w:t>
                  </w:r>
                </w:p>
              </w:tc>
              <w:tc>
                <w:tcPr>
                  <w:tcW w:w="1190" w:type="pct"/>
                  <w:vMerge w:val="continue"/>
                  <w:tcMar>
                    <w:top w:w="0" w:type="dxa"/>
                    <w:left w:w="0" w:type="dxa"/>
                    <w:bottom w:w="0" w:type="dxa"/>
                    <w:right w:w="0" w:type="dxa"/>
                  </w:tcMar>
                  <w:vAlign w:val="center"/>
                </w:tcPr>
                <w:p>
                  <w:pPr>
                    <w:tabs>
                      <w:tab w:val="left" w:pos="5142"/>
                    </w:tabs>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2" w:type="pct"/>
                  <w:vMerge w:val="restart"/>
                  <w:vAlign w:val="center"/>
                </w:tcPr>
                <w:p>
                  <w:pPr>
                    <w:tabs>
                      <w:tab w:val="left" w:pos="5142"/>
                    </w:tabs>
                    <w:jc w:val="center"/>
                    <w:rPr>
                      <w:color w:val="auto"/>
                      <w:sz w:val="18"/>
                      <w:szCs w:val="18"/>
                    </w:rPr>
                  </w:pPr>
                  <w:r>
                    <w:rPr>
                      <w:rFonts w:hint="eastAsia"/>
                      <w:color w:val="auto"/>
                      <w:sz w:val="18"/>
                      <w:szCs w:val="18"/>
                    </w:rPr>
                    <w:t>混炼、开炼、成型</w:t>
                  </w:r>
                </w:p>
              </w:tc>
              <w:tc>
                <w:tcPr>
                  <w:tcW w:w="474" w:type="pct"/>
                  <w:vAlign w:val="center"/>
                </w:tcPr>
                <w:p>
                  <w:pPr>
                    <w:tabs>
                      <w:tab w:val="left" w:pos="5142"/>
                    </w:tabs>
                    <w:jc w:val="center"/>
                    <w:rPr>
                      <w:color w:val="auto"/>
                      <w:sz w:val="18"/>
                      <w:szCs w:val="18"/>
                    </w:rPr>
                  </w:pPr>
                  <w:r>
                    <w:rPr>
                      <w:rFonts w:hint="eastAsia"/>
                      <w:color w:val="auto"/>
                      <w:sz w:val="18"/>
                      <w:szCs w:val="18"/>
                    </w:rPr>
                    <w:t>硫化氢</w:t>
                  </w:r>
                </w:p>
              </w:tc>
              <w:tc>
                <w:tcPr>
                  <w:tcW w:w="615" w:type="pct"/>
                  <w:vAlign w:val="center"/>
                </w:tcPr>
                <w:p>
                  <w:pPr>
                    <w:tabs>
                      <w:tab w:val="left" w:pos="5142"/>
                    </w:tabs>
                    <w:jc w:val="center"/>
                    <w:rPr>
                      <w:color w:val="auto"/>
                      <w:sz w:val="18"/>
                      <w:szCs w:val="18"/>
                    </w:rPr>
                  </w:pPr>
                  <w:r>
                    <w:rPr>
                      <w:rFonts w:hint="eastAsia"/>
                      <w:color w:val="auto"/>
                      <w:sz w:val="18"/>
                      <w:szCs w:val="18"/>
                    </w:rPr>
                    <w:t>/</w:t>
                  </w:r>
                </w:p>
              </w:tc>
              <w:tc>
                <w:tcPr>
                  <w:tcW w:w="556" w:type="pct"/>
                  <w:tcMar>
                    <w:top w:w="0" w:type="dxa"/>
                    <w:left w:w="0" w:type="dxa"/>
                    <w:bottom w:w="0" w:type="dxa"/>
                    <w:right w:w="0" w:type="dxa"/>
                  </w:tcMar>
                  <w:vAlign w:val="center"/>
                </w:tcPr>
                <w:p>
                  <w:pPr>
                    <w:tabs>
                      <w:tab w:val="left" w:pos="5142"/>
                    </w:tabs>
                    <w:jc w:val="center"/>
                    <w:rPr>
                      <w:rFonts w:hint="default" w:eastAsia="宋体"/>
                      <w:color w:val="auto"/>
                      <w:sz w:val="18"/>
                      <w:szCs w:val="18"/>
                      <w:highlight w:val="none"/>
                      <w:lang w:val="en-US" w:eastAsia="zh-CN"/>
                    </w:rPr>
                  </w:pPr>
                  <w:r>
                    <w:rPr>
                      <w:rFonts w:hint="eastAsia"/>
                      <w:color w:val="auto"/>
                      <w:sz w:val="18"/>
                      <w:szCs w:val="18"/>
                      <w:highlight w:val="none"/>
                      <w:lang w:val="en-US" w:eastAsia="zh-CN"/>
                    </w:rPr>
                    <w:t>25</w:t>
                  </w:r>
                </w:p>
              </w:tc>
              <w:tc>
                <w:tcPr>
                  <w:tcW w:w="557" w:type="pct"/>
                  <w:vAlign w:val="center"/>
                </w:tcPr>
                <w:p>
                  <w:pPr>
                    <w:tabs>
                      <w:tab w:val="left" w:pos="5142"/>
                    </w:tabs>
                    <w:jc w:val="center"/>
                    <w:rPr>
                      <w:rFonts w:hint="eastAsia" w:eastAsia="宋体"/>
                      <w:color w:val="auto"/>
                      <w:sz w:val="18"/>
                      <w:szCs w:val="18"/>
                      <w:highlight w:val="none"/>
                      <w:lang w:eastAsia="zh-CN"/>
                    </w:rPr>
                  </w:pPr>
                  <w:r>
                    <w:rPr>
                      <w:rFonts w:hint="eastAsia"/>
                      <w:color w:val="auto"/>
                      <w:sz w:val="18"/>
                      <w:szCs w:val="18"/>
                      <w:highlight w:val="none"/>
                    </w:rPr>
                    <w:t>0.</w:t>
                  </w:r>
                  <w:r>
                    <w:rPr>
                      <w:rFonts w:hint="eastAsia"/>
                      <w:color w:val="auto"/>
                      <w:sz w:val="18"/>
                      <w:szCs w:val="18"/>
                      <w:highlight w:val="none"/>
                      <w:lang w:val="en-US" w:eastAsia="zh-CN"/>
                    </w:rPr>
                    <w:t>9</w:t>
                  </w:r>
                </w:p>
              </w:tc>
              <w:tc>
                <w:tcPr>
                  <w:tcW w:w="1042" w:type="pct"/>
                  <w:vAlign w:val="center"/>
                </w:tcPr>
                <w:p>
                  <w:pPr>
                    <w:tabs>
                      <w:tab w:val="left" w:pos="5142"/>
                    </w:tabs>
                    <w:jc w:val="center"/>
                    <w:rPr>
                      <w:color w:val="auto"/>
                      <w:sz w:val="18"/>
                      <w:szCs w:val="18"/>
                    </w:rPr>
                  </w:pPr>
                  <w:r>
                    <w:rPr>
                      <w:rFonts w:hint="eastAsia"/>
                      <w:color w:val="auto"/>
                      <w:sz w:val="18"/>
                      <w:szCs w:val="18"/>
                    </w:rPr>
                    <w:t>0.06</w:t>
                  </w:r>
                </w:p>
              </w:tc>
              <w:tc>
                <w:tcPr>
                  <w:tcW w:w="1190" w:type="pct"/>
                  <w:vMerge w:val="restart"/>
                  <w:tcMar>
                    <w:top w:w="0" w:type="dxa"/>
                    <w:left w:w="0" w:type="dxa"/>
                    <w:bottom w:w="0" w:type="dxa"/>
                    <w:right w:w="0" w:type="dxa"/>
                  </w:tcMar>
                  <w:vAlign w:val="center"/>
                </w:tcPr>
                <w:p>
                  <w:pPr>
                    <w:tabs>
                      <w:tab w:val="left" w:pos="5142"/>
                    </w:tabs>
                    <w:jc w:val="center"/>
                    <w:rPr>
                      <w:color w:val="auto"/>
                      <w:sz w:val="18"/>
                      <w:szCs w:val="18"/>
                    </w:rPr>
                  </w:pPr>
                  <w:r>
                    <w:rPr>
                      <w:rFonts w:hint="eastAsia"/>
                      <w:color w:val="auto"/>
                      <w:sz w:val="18"/>
                      <w:szCs w:val="18"/>
                    </w:rPr>
                    <w:t>《恶臭污染物排放标准》（GB14554-93）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2" w:type="pct"/>
                  <w:vMerge w:val="continue"/>
                  <w:vAlign w:val="center"/>
                </w:tcPr>
                <w:p>
                  <w:pPr>
                    <w:tabs>
                      <w:tab w:val="left" w:pos="5142"/>
                    </w:tabs>
                    <w:jc w:val="center"/>
                    <w:rPr>
                      <w:color w:val="auto"/>
                      <w:sz w:val="18"/>
                      <w:szCs w:val="18"/>
                    </w:rPr>
                  </w:pPr>
                </w:p>
              </w:tc>
              <w:tc>
                <w:tcPr>
                  <w:tcW w:w="474" w:type="pct"/>
                  <w:vAlign w:val="center"/>
                </w:tcPr>
                <w:p>
                  <w:pPr>
                    <w:tabs>
                      <w:tab w:val="left" w:pos="5142"/>
                    </w:tabs>
                    <w:jc w:val="center"/>
                    <w:rPr>
                      <w:color w:val="auto"/>
                      <w:sz w:val="18"/>
                      <w:szCs w:val="18"/>
                    </w:rPr>
                  </w:pPr>
                  <w:r>
                    <w:rPr>
                      <w:rFonts w:hint="eastAsia"/>
                      <w:color w:val="auto"/>
                      <w:sz w:val="18"/>
                      <w:szCs w:val="18"/>
                    </w:rPr>
                    <w:t>CS</w:t>
                  </w:r>
                  <w:r>
                    <w:rPr>
                      <w:rFonts w:hint="eastAsia"/>
                      <w:color w:val="auto"/>
                      <w:sz w:val="18"/>
                      <w:szCs w:val="18"/>
                      <w:vertAlign w:val="subscript"/>
                    </w:rPr>
                    <w:t>2</w:t>
                  </w:r>
                </w:p>
              </w:tc>
              <w:tc>
                <w:tcPr>
                  <w:tcW w:w="615" w:type="pct"/>
                  <w:vAlign w:val="center"/>
                </w:tcPr>
                <w:p>
                  <w:pPr>
                    <w:tabs>
                      <w:tab w:val="left" w:pos="5142"/>
                    </w:tabs>
                    <w:jc w:val="center"/>
                    <w:rPr>
                      <w:color w:val="auto"/>
                      <w:sz w:val="18"/>
                      <w:szCs w:val="18"/>
                    </w:rPr>
                  </w:pPr>
                  <w:r>
                    <w:rPr>
                      <w:rFonts w:hint="eastAsia"/>
                      <w:color w:val="auto"/>
                      <w:sz w:val="18"/>
                      <w:szCs w:val="18"/>
                    </w:rPr>
                    <w:t>/</w:t>
                  </w:r>
                </w:p>
              </w:tc>
              <w:tc>
                <w:tcPr>
                  <w:tcW w:w="556" w:type="pct"/>
                  <w:tcMar>
                    <w:top w:w="0" w:type="dxa"/>
                    <w:left w:w="0" w:type="dxa"/>
                    <w:bottom w:w="0" w:type="dxa"/>
                    <w:right w:w="0" w:type="dxa"/>
                  </w:tcMar>
                  <w:vAlign w:val="center"/>
                </w:tcPr>
                <w:p>
                  <w:pPr>
                    <w:tabs>
                      <w:tab w:val="left" w:pos="5142"/>
                    </w:tabs>
                    <w:jc w:val="center"/>
                    <w:rPr>
                      <w:rFonts w:hint="default" w:eastAsia="宋体"/>
                      <w:color w:val="auto"/>
                      <w:sz w:val="18"/>
                      <w:szCs w:val="18"/>
                      <w:highlight w:val="none"/>
                      <w:lang w:val="en-US" w:eastAsia="zh-CN"/>
                    </w:rPr>
                  </w:pPr>
                  <w:r>
                    <w:rPr>
                      <w:rFonts w:hint="eastAsia"/>
                      <w:color w:val="auto"/>
                      <w:sz w:val="18"/>
                      <w:szCs w:val="18"/>
                      <w:highlight w:val="none"/>
                      <w:lang w:val="en-US" w:eastAsia="zh-CN"/>
                    </w:rPr>
                    <w:t>25</w:t>
                  </w:r>
                </w:p>
              </w:tc>
              <w:tc>
                <w:tcPr>
                  <w:tcW w:w="557" w:type="pct"/>
                  <w:vAlign w:val="center"/>
                </w:tcPr>
                <w:p>
                  <w:pPr>
                    <w:tabs>
                      <w:tab w:val="left" w:pos="5142"/>
                    </w:tabs>
                    <w:jc w:val="center"/>
                    <w:rPr>
                      <w:rFonts w:hint="default" w:eastAsia="宋体"/>
                      <w:color w:val="auto"/>
                      <w:sz w:val="18"/>
                      <w:szCs w:val="18"/>
                      <w:highlight w:val="none"/>
                      <w:lang w:val="en-US" w:eastAsia="zh-CN"/>
                    </w:rPr>
                  </w:pPr>
                  <w:r>
                    <w:rPr>
                      <w:rFonts w:hint="eastAsia"/>
                      <w:color w:val="auto"/>
                      <w:sz w:val="18"/>
                      <w:szCs w:val="18"/>
                      <w:highlight w:val="none"/>
                      <w:lang w:val="en-US" w:eastAsia="zh-CN"/>
                    </w:rPr>
                    <w:t>4.2</w:t>
                  </w:r>
                </w:p>
              </w:tc>
              <w:tc>
                <w:tcPr>
                  <w:tcW w:w="1042" w:type="pct"/>
                  <w:vAlign w:val="center"/>
                </w:tcPr>
                <w:p>
                  <w:pPr>
                    <w:tabs>
                      <w:tab w:val="left" w:pos="5142"/>
                    </w:tabs>
                    <w:jc w:val="center"/>
                    <w:rPr>
                      <w:color w:val="auto"/>
                      <w:sz w:val="18"/>
                      <w:szCs w:val="18"/>
                    </w:rPr>
                  </w:pPr>
                  <w:r>
                    <w:rPr>
                      <w:rFonts w:hint="eastAsia"/>
                      <w:color w:val="auto"/>
                      <w:sz w:val="18"/>
                      <w:szCs w:val="18"/>
                    </w:rPr>
                    <w:t>3</w:t>
                  </w:r>
                </w:p>
              </w:tc>
              <w:tc>
                <w:tcPr>
                  <w:tcW w:w="1190" w:type="pct"/>
                  <w:vMerge w:val="continue"/>
                  <w:tcMar>
                    <w:top w:w="0" w:type="dxa"/>
                    <w:left w:w="0" w:type="dxa"/>
                    <w:bottom w:w="0" w:type="dxa"/>
                    <w:right w:w="0" w:type="dxa"/>
                  </w:tcMar>
                  <w:vAlign w:val="center"/>
                </w:tcPr>
                <w:p>
                  <w:pPr>
                    <w:tabs>
                      <w:tab w:val="left" w:pos="5142"/>
                    </w:tabs>
                    <w:jc w:val="center"/>
                    <w:rPr>
                      <w:color w:val="auto"/>
                      <w:sz w:val="18"/>
                      <w:szCs w:val="18"/>
                    </w:rPr>
                  </w:pPr>
                </w:p>
              </w:tc>
            </w:tr>
          </w:tbl>
          <w:p>
            <w:pPr>
              <w:adjustRightInd w:val="0"/>
              <w:snapToGrid w:val="0"/>
              <w:spacing w:line="360" w:lineRule="auto"/>
              <w:rPr>
                <w:rFonts w:hint="eastAsia"/>
                <w:b/>
                <w:bCs/>
                <w:color w:val="auto"/>
                <w:sz w:val="18"/>
                <w:szCs w:val="18"/>
                <w:lang w:val="en-US" w:eastAsia="zh-CN"/>
              </w:rPr>
            </w:pPr>
            <w:r>
              <w:rPr>
                <w:rFonts w:hint="eastAsia"/>
                <w:b/>
                <w:bCs/>
                <w:color w:val="auto"/>
                <w:sz w:val="18"/>
                <w:szCs w:val="18"/>
                <w:lang w:val="en-US" w:eastAsia="zh-CN"/>
              </w:rPr>
              <w:t>注*：排气筒高度应不低于15m，排气筒周围半径200m范围内有建筑物时，排气筒高度还应高出最高建筑物3m以上。</w:t>
            </w:r>
          </w:p>
          <w:p>
            <w:pPr>
              <w:adjustRightInd w:val="0"/>
              <w:snapToGrid w:val="0"/>
              <w:spacing w:line="360" w:lineRule="auto"/>
              <w:ind w:firstLine="420" w:firstLineChars="200"/>
              <w:rPr>
                <w:color w:val="auto"/>
                <w:szCs w:val="21"/>
              </w:rPr>
            </w:pPr>
          </w:p>
          <w:p>
            <w:pPr>
              <w:adjustRightInd w:val="0"/>
              <w:snapToGrid w:val="0"/>
              <w:spacing w:line="360" w:lineRule="auto"/>
              <w:ind w:firstLine="420" w:firstLineChars="200"/>
              <w:rPr>
                <w:color w:val="auto"/>
                <w:szCs w:val="21"/>
              </w:rPr>
            </w:pPr>
            <w:r>
              <w:rPr>
                <w:color w:val="auto"/>
                <w:szCs w:val="21"/>
              </w:rPr>
              <w:t>厂区内非甲烷总烃无组织排放执行《大气污染物综合排放标准》（DB32/4041-2021</w:t>
            </w:r>
            <w:r>
              <w:rPr>
                <w:bCs/>
                <w:snapToGrid w:val="0"/>
                <w:color w:val="auto"/>
                <w:kern w:val="0"/>
                <w:szCs w:val="21"/>
              </w:rPr>
              <w:t>）</w:t>
            </w:r>
            <w:r>
              <w:rPr>
                <w:color w:val="auto"/>
                <w:szCs w:val="21"/>
              </w:rPr>
              <w:t>表2标准，具体限值见表3-</w:t>
            </w:r>
            <w:r>
              <w:rPr>
                <w:rFonts w:hint="eastAsia"/>
                <w:color w:val="auto"/>
                <w:szCs w:val="21"/>
              </w:rPr>
              <w:t>6</w:t>
            </w:r>
            <w:r>
              <w:rPr>
                <w:color w:val="auto"/>
                <w:szCs w:val="21"/>
              </w:rPr>
              <w:t>。</w:t>
            </w:r>
          </w:p>
          <w:p>
            <w:pPr>
              <w:jc w:val="center"/>
              <w:rPr>
                <w:color w:val="auto"/>
                <w:szCs w:val="21"/>
              </w:rPr>
            </w:pPr>
            <w:r>
              <w:rPr>
                <w:b/>
                <w:color w:val="auto"/>
                <w:szCs w:val="21"/>
              </w:rPr>
              <w:t>表3-</w:t>
            </w:r>
            <w:r>
              <w:rPr>
                <w:rFonts w:hint="eastAsia"/>
                <w:b/>
                <w:color w:val="auto"/>
                <w:szCs w:val="21"/>
              </w:rPr>
              <w:t>6</w:t>
            </w:r>
            <w:r>
              <w:rPr>
                <w:b/>
                <w:color w:val="auto"/>
                <w:szCs w:val="21"/>
              </w:rPr>
              <w:t xml:space="preserve"> 厂区内非甲烷总烃无组织排放限值（单位：mg/m</w:t>
            </w:r>
            <w:r>
              <w:rPr>
                <w:b/>
                <w:color w:val="auto"/>
                <w:szCs w:val="21"/>
                <w:vertAlign w:val="superscript"/>
              </w:rPr>
              <w:t>3</w:t>
            </w:r>
            <w:r>
              <w:rPr>
                <w:b/>
                <w:color w:val="auto"/>
                <w:szCs w:val="21"/>
              </w:rPr>
              <w:t>）</w:t>
            </w:r>
          </w:p>
          <w:tbl>
            <w:tblPr>
              <w:tblStyle w:val="3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17"/>
              <w:gridCol w:w="1876"/>
              <w:gridCol w:w="2814"/>
              <w:gridCol w:w="324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7" w:type="pct"/>
                  <w:tcMar>
                    <w:top w:w="0" w:type="dxa"/>
                    <w:left w:w="0" w:type="dxa"/>
                    <w:bottom w:w="0" w:type="dxa"/>
                    <w:right w:w="0" w:type="dxa"/>
                  </w:tcMar>
                  <w:vAlign w:val="center"/>
                </w:tcPr>
                <w:p>
                  <w:pPr>
                    <w:spacing w:line="240" w:lineRule="atLeast"/>
                    <w:jc w:val="center"/>
                    <w:rPr>
                      <w:b/>
                      <w:color w:val="auto"/>
                      <w:sz w:val="18"/>
                      <w:szCs w:val="18"/>
                    </w:rPr>
                  </w:pPr>
                  <w:r>
                    <w:rPr>
                      <w:b/>
                      <w:color w:val="auto"/>
                      <w:sz w:val="18"/>
                      <w:szCs w:val="18"/>
                    </w:rPr>
                    <w:t>污染物项目</w:t>
                  </w:r>
                </w:p>
              </w:tc>
              <w:tc>
                <w:tcPr>
                  <w:tcW w:w="1003" w:type="pct"/>
                  <w:tcMar>
                    <w:top w:w="0" w:type="dxa"/>
                    <w:left w:w="0" w:type="dxa"/>
                    <w:bottom w:w="0" w:type="dxa"/>
                    <w:right w:w="0" w:type="dxa"/>
                  </w:tcMar>
                  <w:vAlign w:val="center"/>
                </w:tcPr>
                <w:p>
                  <w:pPr>
                    <w:spacing w:line="240" w:lineRule="atLeast"/>
                    <w:jc w:val="center"/>
                    <w:rPr>
                      <w:b/>
                      <w:color w:val="auto"/>
                      <w:sz w:val="18"/>
                      <w:szCs w:val="18"/>
                    </w:rPr>
                  </w:pPr>
                  <w:r>
                    <w:rPr>
                      <w:b/>
                      <w:color w:val="auto"/>
                      <w:sz w:val="18"/>
                      <w:szCs w:val="18"/>
                    </w:rPr>
                    <w:t>特别排放限值</w:t>
                  </w:r>
                </w:p>
              </w:tc>
              <w:tc>
                <w:tcPr>
                  <w:tcW w:w="1505" w:type="pct"/>
                  <w:tcMar>
                    <w:top w:w="0" w:type="dxa"/>
                    <w:left w:w="0" w:type="dxa"/>
                    <w:bottom w:w="0" w:type="dxa"/>
                    <w:right w:w="0" w:type="dxa"/>
                  </w:tcMar>
                  <w:vAlign w:val="center"/>
                </w:tcPr>
                <w:p>
                  <w:pPr>
                    <w:spacing w:line="240" w:lineRule="atLeast"/>
                    <w:jc w:val="center"/>
                    <w:rPr>
                      <w:b/>
                      <w:color w:val="auto"/>
                      <w:sz w:val="18"/>
                      <w:szCs w:val="18"/>
                    </w:rPr>
                  </w:pPr>
                  <w:r>
                    <w:rPr>
                      <w:b/>
                      <w:color w:val="auto"/>
                      <w:sz w:val="18"/>
                      <w:szCs w:val="18"/>
                    </w:rPr>
                    <w:t>限值含义</w:t>
                  </w:r>
                </w:p>
              </w:tc>
              <w:tc>
                <w:tcPr>
                  <w:tcW w:w="1735" w:type="pct"/>
                  <w:tcMar>
                    <w:top w:w="0" w:type="dxa"/>
                    <w:left w:w="0" w:type="dxa"/>
                    <w:bottom w:w="0" w:type="dxa"/>
                    <w:right w:w="0" w:type="dxa"/>
                  </w:tcMar>
                  <w:vAlign w:val="center"/>
                </w:tcPr>
                <w:p>
                  <w:pPr>
                    <w:spacing w:line="240" w:lineRule="atLeast"/>
                    <w:jc w:val="center"/>
                    <w:rPr>
                      <w:b/>
                      <w:color w:val="auto"/>
                      <w:sz w:val="18"/>
                      <w:szCs w:val="18"/>
                    </w:rPr>
                  </w:pPr>
                  <w:r>
                    <w:rPr>
                      <w:b/>
                      <w:color w:val="auto"/>
                      <w:sz w:val="18"/>
                      <w:szCs w:val="18"/>
                    </w:rPr>
                    <w:t>无组织排放监控位置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7" w:type="pct"/>
                  <w:vMerge w:val="restart"/>
                  <w:tcMar>
                    <w:top w:w="0" w:type="dxa"/>
                    <w:left w:w="0" w:type="dxa"/>
                    <w:bottom w:w="0" w:type="dxa"/>
                    <w:right w:w="0" w:type="dxa"/>
                  </w:tcMar>
                  <w:vAlign w:val="center"/>
                </w:tcPr>
                <w:p>
                  <w:pPr>
                    <w:spacing w:line="240" w:lineRule="atLeast"/>
                    <w:jc w:val="center"/>
                    <w:rPr>
                      <w:bCs/>
                      <w:color w:val="auto"/>
                      <w:sz w:val="18"/>
                      <w:szCs w:val="18"/>
                    </w:rPr>
                  </w:pPr>
                  <w:r>
                    <w:rPr>
                      <w:bCs/>
                      <w:color w:val="auto"/>
                      <w:sz w:val="18"/>
                      <w:szCs w:val="18"/>
                    </w:rPr>
                    <w:t>非甲烷总烃</w:t>
                  </w:r>
                </w:p>
              </w:tc>
              <w:tc>
                <w:tcPr>
                  <w:tcW w:w="1003" w:type="pct"/>
                  <w:tcMar>
                    <w:top w:w="0" w:type="dxa"/>
                    <w:left w:w="0" w:type="dxa"/>
                    <w:bottom w:w="0" w:type="dxa"/>
                    <w:right w:w="0" w:type="dxa"/>
                  </w:tcMar>
                  <w:vAlign w:val="center"/>
                </w:tcPr>
                <w:p>
                  <w:pPr>
                    <w:spacing w:line="240" w:lineRule="atLeast"/>
                    <w:jc w:val="center"/>
                    <w:rPr>
                      <w:bCs/>
                      <w:color w:val="auto"/>
                      <w:sz w:val="18"/>
                      <w:szCs w:val="18"/>
                    </w:rPr>
                  </w:pPr>
                  <w:r>
                    <w:rPr>
                      <w:bCs/>
                      <w:color w:val="auto"/>
                      <w:sz w:val="18"/>
                      <w:szCs w:val="18"/>
                    </w:rPr>
                    <w:t>6</w:t>
                  </w:r>
                </w:p>
              </w:tc>
              <w:tc>
                <w:tcPr>
                  <w:tcW w:w="1505" w:type="pct"/>
                  <w:tcMar>
                    <w:top w:w="0" w:type="dxa"/>
                    <w:left w:w="0" w:type="dxa"/>
                    <w:bottom w:w="0" w:type="dxa"/>
                    <w:right w:w="0" w:type="dxa"/>
                  </w:tcMar>
                  <w:vAlign w:val="center"/>
                </w:tcPr>
                <w:p>
                  <w:pPr>
                    <w:spacing w:line="240" w:lineRule="atLeast"/>
                    <w:jc w:val="center"/>
                    <w:rPr>
                      <w:bCs/>
                      <w:color w:val="auto"/>
                      <w:sz w:val="18"/>
                      <w:szCs w:val="18"/>
                    </w:rPr>
                  </w:pPr>
                  <w:r>
                    <w:rPr>
                      <w:bCs/>
                      <w:color w:val="auto"/>
                      <w:sz w:val="18"/>
                      <w:szCs w:val="18"/>
                    </w:rPr>
                    <w:t>监控点处1h平均浓度值</w:t>
                  </w:r>
                </w:p>
              </w:tc>
              <w:tc>
                <w:tcPr>
                  <w:tcW w:w="1735" w:type="pct"/>
                  <w:vMerge w:val="restart"/>
                  <w:tcMar>
                    <w:top w:w="0" w:type="dxa"/>
                    <w:left w:w="0" w:type="dxa"/>
                    <w:bottom w:w="0" w:type="dxa"/>
                    <w:right w:w="0" w:type="dxa"/>
                  </w:tcMar>
                  <w:vAlign w:val="center"/>
                </w:tcPr>
                <w:p>
                  <w:pPr>
                    <w:spacing w:line="240" w:lineRule="atLeast"/>
                    <w:jc w:val="center"/>
                    <w:rPr>
                      <w:bCs/>
                      <w:color w:val="auto"/>
                      <w:sz w:val="18"/>
                      <w:szCs w:val="18"/>
                    </w:rPr>
                  </w:pPr>
                  <w:r>
                    <w:rPr>
                      <w:bCs/>
                      <w:color w:val="auto"/>
                      <w:sz w:val="18"/>
                      <w:szCs w:val="18"/>
                    </w:rPr>
                    <w:t>在厂房外设置监控点</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7" w:type="pct"/>
                  <w:vMerge w:val="continue"/>
                  <w:tcMar>
                    <w:top w:w="0" w:type="dxa"/>
                    <w:left w:w="0" w:type="dxa"/>
                    <w:bottom w:w="0" w:type="dxa"/>
                    <w:right w:w="0" w:type="dxa"/>
                  </w:tcMar>
                  <w:vAlign w:val="center"/>
                </w:tcPr>
                <w:p>
                  <w:pPr>
                    <w:spacing w:line="240" w:lineRule="atLeast"/>
                    <w:jc w:val="center"/>
                    <w:rPr>
                      <w:bCs/>
                      <w:color w:val="auto"/>
                      <w:sz w:val="18"/>
                      <w:szCs w:val="18"/>
                    </w:rPr>
                  </w:pPr>
                </w:p>
              </w:tc>
              <w:tc>
                <w:tcPr>
                  <w:tcW w:w="1003" w:type="pct"/>
                  <w:tcMar>
                    <w:top w:w="0" w:type="dxa"/>
                    <w:left w:w="0" w:type="dxa"/>
                    <w:bottom w:w="0" w:type="dxa"/>
                    <w:right w:w="0" w:type="dxa"/>
                  </w:tcMar>
                  <w:vAlign w:val="center"/>
                </w:tcPr>
                <w:p>
                  <w:pPr>
                    <w:spacing w:line="240" w:lineRule="atLeast"/>
                    <w:jc w:val="center"/>
                    <w:rPr>
                      <w:bCs/>
                      <w:color w:val="auto"/>
                      <w:sz w:val="18"/>
                      <w:szCs w:val="18"/>
                    </w:rPr>
                  </w:pPr>
                  <w:r>
                    <w:rPr>
                      <w:bCs/>
                      <w:color w:val="auto"/>
                      <w:sz w:val="18"/>
                      <w:szCs w:val="18"/>
                    </w:rPr>
                    <w:t>20</w:t>
                  </w:r>
                </w:p>
              </w:tc>
              <w:tc>
                <w:tcPr>
                  <w:tcW w:w="1505" w:type="pct"/>
                  <w:tcMar>
                    <w:top w:w="0" w:type="dxa"/>
                    <w:left w:w="0" w:type="dxa"/>
                    <w:bottom w:w="0" w:type="dxa"/>
                    <w:right w:w="0" w:type="dxa"/>
                  </w:tcMar>
                  <w:vAlign w:val="center"/>
                </w:tcPr>
                <w:p>
                  <w:pPr>
                    <w:spacing w:line="240" w:lineRule="atLeast"/>
                    <w:jc w:val="center"/>
                    <w:rPr>
                      <w:bCs/>
                      <w:color w:val="auto"/>
                      <w:sz w:val="18"/>
                      <w:szCs w:val="18"/>
                    </w:rPr>
                  </w:pPr>
                  <w:r>
                    <w:rPr>
                      <w:bCs/>
                      <w:color w:val="auto"/>
                      <w:sz w:val="18"/>
                      <w:szCs w:val="18"/>
                    </w:rPr>
                    <w:t>监控点处任意一次浓度值</w:t>
                  </w:r>
                </w:p>
              </w:tc>
              <w:tc>
                <w:tcPr>
                  <w:tcW w:w="1735" w:type="pct"/>
                  <w:vMerge w:val="continue"/>
                  <w:tcMar>
                    <w:top w:w="0" w:type="dxa"/>
                    <w:left w:w="0" w:type="dxa"/>
                    <w:bottom w:w="0" w:type="dxa"/>
                    <w:right w:w="0" w:type="dxa"/>
                  </w:tcMar>
                  <w:vAlign w:val="center"/>
                </w:tcPr>
                <w:p>
                  <w:pPr>
                    <w:spacing w:line="240" w:lineRule="atLeast"/>
                    <w:jc w:val="center"/>
                    <w:rPr>
                      <w:bCs/>
                      <w:color w:val="auto"/>
                      <w:sz w:val="18"/>
                      <w:szCs w:val="18"/>
                    </w:rPr>
                  </w:pPr>
                </w:p>
              </w:tc>
            </w:tr>
          </w:tbl>
          <w:p>
            <w:pPr>
              <w:tabs>
                <w:tab w:val="left" w:pos="5142"/>
              </w:tabs>
              <w:adjustRightInd w:val="0"/>
              <w:snapToGrid w:val="0"/>
              <w:spacing w:before="120" w:beforeLines="50" w:line="360" w:lineRule="auto"/>
              <w:ind w:firstLine="422" w:firstLineChars="200"/>
              <w:rPr>
                <w:b/>
                <w:bCs/>
                <w:snapToGrid w:val="0"/>
                <w:color w:val="auto"/>
                <w:kern w:val="0"/>
                <w:szCs w:val="21"/>
              </w:rPr>
            </w:pPr>
            <w:r>
              <w:rPr>
                <w:b/>
                <w:bCs/>
                <w:snapToGrid w:val="0"/>
                <w:color w:val="auto"/>
                <w:kern w:val="0"/>
                <w:szCs w:val="21"/>
              </w:rPr>
              <w:t>2、废水排放标准</w:t>
            </w:r>
          </w:p>
          <w:p>
            <w:pPr>
              <w:spacing w:line="360" w:lineRule="auto"/>
              <w:ind w:firstLine="420" w:firstLineChars="200"/>
              <w:rPr>
                <w:rFonts w:hint="default" w:eastAsia="宋体"/>
                <w:color w:val="auto"/>
                <w:szCs w:val="21"/>
                <w:lang w:val="en-US" w:eastAsia="zh-CN"/>
              </w:rPr>
            </w:pPr>
            <w:r>
              <w:rPr>
                <w:color w:val="auto"/>
                <w:szCs w:val="21"/>
              </w:rPr>
              <w:t>本项目生活污水（DW001排口）接管至城东污水处理厂集中处理</w:t>
            </w:r>
            <w:r>
              <w:rPr>
                <w:rFonts w:hint="eastAsia"/>
                <w:color w:val="auto"/>
                <w:szCs w:val="21"/>
                <w:lang w:eastAsia="zh-CN"/>
              </w:rPr>
              <w:t>；</w:t>
            </w:r>
            <w:r>
              <w:rPr>
                <w:rFonts w:hint="eastAsia"/>
                <w:color w:val="auto"/>
                <w:szCs w:val="21"/>
                <w:lang w:val="en-US" w:eastAsia="zh-CN"/>
              </w:rPr>
              <w:t>与循环冷却水各为独立系统，生活污水无污染途径，故而生活污水按照一般生活污水管理。</w:t>
            </w:r>
          </w:p>
          <w:p>
            <w:pPr>
              <w:spacing w:line="360" w:lineRule="auto"/>
              <w:ind w:firstLine="420" w:firstLineChars="200"/>
              <w:rPr>
                <w:color w:val="auto"/>
                <w:szCs w:val="21"/>
              </w:rPr>
            </w:pPr>
            <w:r>
              <w:rPr>
                <w:rFonts w:hint="eastAsia"/>
                <w:color w:val="auto"/>
                <w:szCs w:val="21"/>
                <w:lang w:val="en-US" w:eastAsia="zh-CN"/>
              </w:rPr>
              <w:t>生活污水</w:t>
            </w:r>
            <w:r>
              <w:rPr>
                <w:color w:val="auto"/>
                <w:szCs w:val="21"/>
              </w:rPr>
              <w:t>接管</w:t>
            </w:r>
            <w:r>
              <w:rPr>
                <w:rFonts w:hint="eastAsia"/>
                <w:color w:val="auto"/>
                <w:szCs w:val="21"/>
                <w:lang w:val="en-US" w:eastAsia="zh-CN"/>
              </w:rPr>
              <w:t>标准</w:t>
            </w:r>
            <w:r>
              <w:rPr>
                <w:color w:val="auto"/>
                <w:szCs w:val="21"/>
              </w:rPr>
              <w:t>执行《污水综合排放标准》（GB8978-1996）表4中三级标准，其中氨氮、总磷、总氮执行《污水排入城镇下水道水质标准》（GB/T31962-2015）表1中B等级标准；具体见表3-</w:t>
            </w:r>
            <w:r>
              <w:rPr>
                <w:rFonts w:hint="eastAsia"/>
                <w:color w:val="auto"/>
                <w:szCs w:val="21"/>
              </w:rPr>
              <w:t>7</w:t>
            </w:r>
            <w:r>
              <w:rPr>
                <w:color w:val="auto"/>
                <w:szCs w:val="21"/>
              </w:rPr>
              <w:t>。</w:t>
            </w:r>
          </w:p>
          <w:p>
            <w:pPr>
              <w:jc w:val="center"/>
              <w:rPr>
                <w:b/>
                <w:color w:val="auto"/>
                <w:szCs w:val="21"/>
              </w:rPr>
            </w:pPr>
          </w:p>
          <w:p>
            <w:pPr>
              <w:jc w:val="center"/>
              <w:rPr>
                <w:b/>
                <w:color w:val="auto"/>
                <w:szCs w:val="21"/>
              </w:rPr>
            </w:pPr>
          </w:p>
          <w:p>
            <w:pPr>
              <w:jc w:val="center"/>
              <w:rPr>
                <w:b/>
                <w:color w:val="auto"/>
                <w:szCs w:val="21"/>
              </w:rPr>
            </w:pPr>
          </w:p>
          <w:p>
            <w:pPr>
              <w:jc w:val="center"/>
              <w:rPr>
                <w:b/>
                <w:color w:val="auto"/>
                <w:szCs w:val="21"/>
              </w:rPr>
            </w:pPr>
          </w:p>
          <w:p>
            <w:pPr>
              <w:jc w:val="center"/>
              <w:rPr>
                <w:b/>
                <w:color w:val="auto"/>
                <w:szCs w:val="21"/>
              </w:rPr>
            </w:pPr>
            <w:r>
              <w:rPr>
                <w:b/>
                <w:color w:val="auto"/>
                <w:szCs w:val="21"/>
              </w:rPr>
              <w:t>表3-</w:t>
            </w:r>
            <w:r>
              <w:rPr>
                <w:rFonts w:hint="eastAsia"/>
                <w:b/>
                <w:color w:val="auto"/>
                <w:szCs w:val="21"/>
              </w:rPr>
              <w:t>7</w:t>
            </w:r>
            <w:r>
              <w:rPr>
                <w:b/>
                <w:color w:val="auto"/>
                <w:szCs w:val="21"/>
              </w:rPr>
              <w:t xml:space="preserve">  水污染物排放接管标准（单位：mg/L，pH无量纲）</w:t>
            </w:r>
          </w:p>
          <w:tbl>
            <w:tblPr>
              <w:tblStyle w:val="3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06"/>
              <w:gridCol w:w="2803"/>
              <w:gridCol w:w="2803"/>
              <w:gridCol w:w="233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2" w:type="pct"/>
                  <w:vAlign w:val="center"/>
                </w:tcPr>
                <w:p>
                  <w:pPr>
                    <w:spacing w:line="240" w:lineRule="atLeast"/>
                    <w:jc w:val="center"/>
                    <w:rPr>
                      <w:b/>
                      <w:color w:val="auto"/>
                      <w:sz w:val="18"/>
                      <w:szCs w:val="18"/>
                    </w:rPr>
                  </w:pPr>
                  <w:r>
                    <w:rPr>
                      <w:b/>
                      <w:color w:val="auto"/>
                      <w:sz w:val="18"/>
                      <w:szCs w:val="18"/>
                    </w:rPr>
                    <w:t>序号</w:t>
                  </w:r>
                </w:p>
              </w:tc>
              <w:tc>
                <w:tcPr>
                  <w:tcW w:w="1498" w:type="pct"/>
                  <w:vAlign w:val="center"/>
                </w:tcPr>
                <w:p>
                  <w:pPr>
                    <w:spacing w:line="240" w:lineRule="atLeast"/>
                    <w:jc w:val="center"/>
                    <w:rPr>
                      <w:b/>
                      <w:color w:val="auto"/>
                      <w:sz w:val="18"/>
                      <w:szCs w:val="18"/>
                    </w:rPr>
                  </w:pPr>
                  <w:r>
                    <w:rPr>
                      <w:b/>
                      <w:color w:val="auto"/>
                      <w:sz w:val="18"/>
                      <w:szCs w:val="18"/>
                    </w:rPr>
                    <w:t>排放口编号</w:t>
                  </w:r>
                </w:p>
              </w:tc>
              <w:tc>
                <w:tcPr>
                  <w:tcW w:w="1498" w:type="pct"/>
                  <w:vAlign w:val="center"/>
                </w:tcPr>
                <w:p>
                  <w:pPr>
                    <w:spacing w:line="240" w:lineRule="atLeast"/>
                    <w:jc w:val="center"/>
                    <w:rPr>
                      <w:b/>
                      <w:color w:val="auto"/>
                      <w:sz w:val="18"/>
                      <w:szCs w:val="18"/>
                    </w:rPr>
                  </w:pPr>
                  <w:r>
                    <w:rPr>
                      <w:b/>
                      <w:color w:val="auto"/>
                      <w:sz w:val="18"/>
                      <w:szCs w:val="18"/>
                    </w:rPr>
                    <w:t>污染物种类</w:t>
                  </w:r>
                </w:p>
              </w:tc>
              <w:tc>
                <w:tcPr>
                  <w:tcW w:w="1250" w:type="pct"/>
                  <w:vAlign w:val="center"/>
                </w:tcPr>
                <w:p>
                  <w:pPr>
                    <w:spacing w:line="240" w:lineRule="atLeast"/>
                    <w:jc w:val="center"/>
                    <w:rPr>
                      <w:b/>
                      <w:color w:val="auto"/>
                      <w:sz w:val="18"/>
                      <w:szCs w:val="18"/>
                    </w:rPr>
                  </w:pPr>
                  <w:r>
                    <w:rPr>
                      <w:b/>
                      <w:color w:val="auto"/>
                      <w:sz w:val="18"/>
                      <w:szCs w:val="18"/>
                    </w:rPr>
                    <w:t>浓度限值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2" w:type="pct"/>
                  <w:vMerge w:val="restart"/>
                  <w:vAlign w:val="center"/>
                </w:tcPr>
                <w:p>
                  <w:pPr>
                    <w:spacing w:line="240" w:lineRule="atLeast"/>
                    <w:jc w:val="center"/>
                    <w:rPr>
                      <w:bCs/>
                      <w:color w:val="auto"/>
                      <w:sz w:val="18"/>
                      <w:szCs w:val="18"/>
                    </w:rPr>
                  </w:pPr>
                  <w:r>
                    <w:rPr>
                      <w:bCs/>
                      <w:color w:val="auto"/>
                      <w:sz w:val="18"/>
                      <w:szCs w:val="18"/>
                    </w:rPr>
                    <w:t>1</w:t>
                  </w:r>
                </w:p>
              </w:tc>
              <w:tc>
                <w:tcPr>
                  <w:tcW w:w="1498" w:type="pct"/>
                  <w:vMerge w:val="restart"/>
                  <w:vAlign w:val="center"/>
                </w:tcPr>
                <w:p>
                  <w:pPr>
                    <w:spacing w:line="240" w:lineRule="atLeast"/>
                    <w:jc w:val="center"/>
                    <w:rPr>
                      <w:bCs/>
                      <w:color w:val="auto"/>
                      <w:sz w:val="18"/>
                      <w:szCs w:val="18"/>
                    </w:rPr>
                  </w:pPr>
                  <w:r>
                    <w:rPr>
                      <w:bCs/>
                      <w:color w:val="auto"/>
                      <w:sz w:val="18"/>
                      <w:szCs w:val="18"/>
                    </w:rPr>
                    <w:t>DW001</w:t>
                  </w:r>
                </w:p>
              </w:tc>
              <w:tc>
                <w:tcPr>
                  <w:tcW w:w="1498" w:type="pct"/>
                  <w:vAlign w:val="center"/>
                </w:tcPr>
                <w:p>
                  <w:pPr>
                    <w:spacing w:line="240" w:lineRule="atLeast"/>
                    <w:jc w:val="center"/>
                    <w:rPr>
                      <w:bCs/>
                      <w:color w:val="auto"/>
                      <w:sz w:val="18"/>
                      <w:szCs w:val="18"/>
                    </w:rPr>
                  </w:pPr>
                  <w:r>
                    <w:rPr>
                      <w:bCs/>
                      <w:color w:val="auto"/>
                      <w:sz w:val="18"/>
                      <w:szCs w:val="18"/>
                    </w:rPr>
                    <w:t>pH</w:t>
                  </w:r>
                </w:p>
              </w:tc>
              <w:tc>
                <w:tcPr>
                  <w:tcW w:w="1250" w:type="pct"/>
                  <w:vAlign w:val="center"/>
                </w:tcPr>
                <w:p>
                  <w:pPr>
                    <w:spacing w:line="240" w:lineRule="atLeast"/>
                    <w:jc w:val="center"/>
                    <w:rPr>
                      <w:bCs/>
                      <w:color w:val="auto"/>
                      <w:sz w:val="18"/>
                      <w:szCs w:val="18"/>
                    </w:rPr>
                  </w:pPr>
                  <w:r>
                    <w:rPr>
                      <w:bCs/>
                      <w:color w:val="auto"/>
                      <w:sz w:val="18"/>
                      <w:szCs w:val="18"/>
                    </w:rPr>
                    <w:t>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2" w:type="pct"/>
                  <w:vMerge w:val="continue"/>
                  <w:vAlign w:val="center"/>
                </w:tcPr>
                <w:p>
                  <w:pPr>
                    <w:spacing w:line="240" w:lineRule="atLeast"/>
                    <w:jc w:val="center"/>
                    <w:rPr>
                      <w:bCs/>
                      <w:color w:val="auto"/>
                      <w:sz w:val="18"/>
                      <w:szCs w:val="18"/>
                    </w:rPr>
                  </w:pPr>
                </w:p>
              </w:tc>
              <w:tc>
                <w:tcPr>
                  <w:tcW w:w="1498" w:type="pct"/>
                  <w:vMerge w:val="continue"/>
                  <w:vAlign w:val="center"/>
                </w:tcPr>
                <w:p>
                  <w:pPr>
                    <w:spacing w:line="240" w:lineRule="atLeast"/>
                    <w:jc w:val="center"/>
                    <w:rPr>
                      <w:bCs/>
                      <w:color w:val="auto"/>
                      <w:sz w:val="18"/>
                      <w:szCs w:val="18"/>
                    </w:rPr>
                  </w:pPr>
                </w:p>
              </w:tc>
              <w:tc>
                <w:tcPr>
                  <w:tcW w:w="1498" w:type="pct"/>
                  <w:vAlign w:val="center"/>
                </w:tcPr>
                <w:p>
                  <w:pPr>
                    <w:spacing w:line="240" w:lineRule="atLeast"/>
                    <w:jc w:val="center"/>
                    <w:rPr>
                      <w:bCs/>
                      <w:color w:val="auto"/>
                      <w:sz w:val="18"/>
                      <w:szCs w:val="18"/>
                    </w:rPr>
                  </w:pPr>
                  <w:r>
                    <w:rPr>
                      <w:bCs/>
                      <w:color w:val="auto"/>
                      <w:sz w:val="18"/>
                      <w:szCs w:val="18"/>
                    </w:rPr>
                    <w:t>COD</w:t>
                  </w:r>
                </w:p>
              </w:tc>
              <w:tc>
                <w:tcPr>
                  <w:tcW w:w="1250" w:type="pct"/>
                  <w:vAlign w:val="center"/>
                </w:tcPr>
                <w:p>
                  <w:pPr>
                    <w:spacing w:line="240" w:lineRule="atLeast"/>
                    <w:jc w:val="center"/>
                    <w:rPr>
                      <w:bCs/>
                      <w:color w:val="auto"/>
                      <w:sz w:val="18"/>
                      <w:szCs w:val="18"/>
                    </w:rPr>
                  </w:pPr>
                  <w:r>
                    <w:rPr>
                      <w:bCs/>
                      <w:color w:val="auto"/>
                      <w:sz w:val="18"/>
                      <w:szCs w:val="18"/>
                    </w:rPr>
                    <w:t>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2" w:type="pct"/>
                  <w:vMerge w:val="continue"/>
                  <w:vAlign w:val="center"/>
                </w:tcPr>
                <w:p>
                  <w:pPr>
                    <w:spacing w:line="240" w:lineRule="atLeast"/>
                    <w:jc w:val="center"/>
                    <w:rPr>
                      <w:bCs/>
                      <w:color w:val="auto"/>
                      <w:sz w:val="18"/>
                      <w:szCs w:val="18"/>
                    </w:rPr>
                  </w:pPr>
                </w:p>
              </w:tc>
              <w:tc>
                <w:tcPr>
                  <w:tcW w:w="1498" w:type="pct"/>
                  <w:vMerge w:val="continue"/>
                  <w:vAlign w:val="center"/>
                </w:tcPr>
                <w:p>
                  <w:pPr>
                    <w:spacing w:line="240" w:lineRule="atLeast"/>
                    <w:jc w:val="center"/>
                    <w:rPr>
                      <w:bCs/>
                      <w:color w:val="auto"/>
                      <w:sz w:val="18"/>
                      <w:szCs w:val="18"/>
                    </w:rPr>
                  </w:pPr>
                </w:p>
              </w:tc>
              <w:tc>
                <w:tcPr>
                  <w:tcW w:w="1498" w:type="pct"/>
                  <w:vAlign w:val="center"/>
                </w:tcPr>
                <w:p>
                  <w:pPr>
                    <w:spacing w:line="240" w:lineRule="atLeast"/>
                    <w:jc w:val="center"/>
                    <w:rPr>
                      <w:bCs/>
                      <w:color w:val="auto"/>
                      <w:sz w:val="18"/>
                      <w:szCs w:val="18"/>
                    </w:rPr>
                  </w:pPr>
                  <w:r>
                    <w:rPr>
                      <w:bCs/>
                      <w:color w:val="auto"/>
                      <w:sz w:val="18"/>
                      <w:szCs w:val="18"/>
                    </w:rPr>
                    <w:t>SS</w:t>
                  </w:r>
                </w:p>
              </w:tc>
              <w:tc>
                <w:tcPr>
                  <w:tcW w:w="1250" w:type="pct"/>
                  <w:vAlign w:val="center"/>
                </w:tcPr>
                <w:p>
                  <w:pPr>
                    <w:spacing w:line="240" w:lineRule="atLeast"/>
                    <w:jc w:val="center"/>
                    <w:rPr>
                      <w:bCs/>
                      <w:color w:val="auto"/>
                      <w:sz w:val="18"/>
                      <w:szCs w:val="18"/>
                    </w:rPr>
                  </w:pPr>
                  <w:r>
                    <w:rPr>
                      <w:bCs/>
                      <w:color w:val="auto"/>
                      <w:sz w:val="18"/>
                      <w:szCs w:val="18"/>
                    </w:rPr>
                    <w:t>400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2" w:type="pct"/>
                  <w:vMerge w:val="continue"/>
                  <w:vAlign w:val="center"/>
                </w:tcPr>
                <w:p>
                  <w:pPr>
                    <w:spacing w:line="240" w:lineRule="atLeast"/>
                    <w:jc w:val="center"/>
                    <w:rPr>
                      <w:bCs/>
                      <w:color w:val="auto"/>
                      <w:sz w:val="18"/>
                      <w:szCs w:val="18"/>
                    </w:rPr>
                  </w:pPr>
                </w:p>
              </w:tc>
              <w:tc>
                <w:tcPr>
                  <w:tcW w:w="1498" w:type="pct"/>
                  <w:vMerge w:val="continue"/>
                  <w:vAlign w:val="center"/>
                </w:tcPr>
                <w:p>
                  <w:pPr>
                    <w:spacing w:line="240" w:lineRule="atLeast"/>
                    <w:jc w:val="center"/>
                    <w:rPr>
                      <w:bCs/>
                      <w:color w:val="auto"/>
                      <w:sz w:val="18"/>
                      <w:szCs w:val="18"/>
                    </w:rPr>
                  </w:pPr>
                </w:p>
              </w:tc>
              <w:tc>
                <w:tcPr>
                  <w:tcW w:w="1498" w:type="pct"/>
                  <w:vAlign w:val="center"/>
                </w:tcPr>
                <w:p>
                  <w:pPr>
                    <w:spacing w:line="240" w:lineRule="atLeast"/>
                    <w:jc w:val="center"/>
                    <w:rPr>
                      <w:bCs/>
                      <w:color w:val="auto"/>
                      <w:sz w:val="18"/>
                      <w:szCs w:val="18"/>
                    </w:rPr>
                  </w:pPr>
                  <w:r>
                    <w:rPr>
                      <w:bCs/>
                      <w:color w:val="auto"/>
                      <w:sz w:val="18"/>
                      <w:szCs w:val="18"/>
                    </w:rPr>
                    <w:t>NH</w:t>
                  </w:r>
                  <w:r>
                    <w:rPr>
                      <w:bCs/>
                      <w:color w:val="auto"/>
                      <w:sz w:val="18"/>
                      <w:szCs w:val="18"/>
                      <w:vertAlign w:val="subscript"/>
                    </w:rPr>
                    <w:t>3</w:t>
                  </w:r>
                  <w:r>
                    <w:rPr>
                      <w:bCs/>
                      <w:color w:val="auto"/>
                      <w:sz w:val="18"/>
                      <w:szCs w:val="18"/>
                    </w:rPr>
                    <w:t>-N</w:t>
                  </w:r>
                </w:p>
              </w:tc>
              <w:tc>
                <w:tcPr>
                  <w:tcW w:w="1250" w:type="pct"/>
                  <w:vAlign w:val="center"/>
                </w:tcPr>
                <w:p>
                  <w:pPr>
                    <w:spacing w:line="240" w:lineRule="atLeast"/>
                    <w:jc w:val="center"/>
                    <w:rPr>
                      <w:bCs/>
                      <w:color w:val="auto"/>
                      <w:sz w:val="18"/>
                      <w:szCs w:val="18"/>
                    </w:rPr>
                  </w:pPr>
                  <w:r>
                    <w:rPr>
                      <w:bCs/>
                      <w:color w:val="auto"/>
                      <w:sz w:val="18"/>
                      <w:szCs w:val="18"/>
                    </w:rPr>
                    <w:t>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2" w:type="pct"/>
                  <w:vMerge w:val="continue"/>
                  <w:vAlign w:val="center"/>
                </w:tcPr>
                <w:p>
                  <w:pPr>
                    <w:spacing w:line="240" w:lineRule="atLeast"/>
                    <w:jc w:val="center"/>
                    <w:rPr>
                      <w:bCs/>
                      <w:color w:val="auto"/>
                      <w:sz w:val="18"/>
                      <w:szCs w:val="18"/>
                    </w:rPr>
                  </w:pPr>
                </w:p>
              </w:tc>
              <w:tc>
                <w:tcPr>
                  <w:tcW w:w="1498" w:type="pct"/>
                  <w:vMerge w:val="continue"/>
                  <w:vAlign w:val="center"/>
                </w:tcPr>
                <w:p>
                  <w:pPr>
                    <w:spacing w:line="240" w:lineRule="atLeast"/>
                    <w:jc w:val="center"/>
                    <w:rPr>
                      <w:bCs/>
                      <w:color w:val="auto"/>
                      <w:sz w:val="18"/>
                      <w:szCs w:val="18"/>
                    </w:rPr>
                  </w:pPr>
                </w:p>
              </w:tc>
              <w:tc>
                <w:tcPr>
                  <w:tcW w:w="1498" w:type="pct"/>
                  <w:vAlign w:val="center"/>
                </w:tcPr>
                <w:p>
                  <w:pPr>
                    <w:spacing w:line="240" w:lineRule="atLeast"/>
                    <w:jc w:val="center"/>
                    <w:rPr>
                      <w:bCs/>
                      <w:color w:val="auto"/>
                      <w:sz w:val="18"/>
                      <w:szCs w:val="18"/>
                    </w:rPr>
                  </w:pPr>
                  <w:r>
                    <w:rPr>
                      <w:bCs/>
                      <w:color w:val="auto"/>
                      <w:sz w:val="18"/>
                      <w:szCs w:val="18"/>
                    </w:rPr>
                    <w:t>TN</w:t>
                  </w:r>
                </w:p>
              </w:tc>
              <w:tc>
                <w:tcPr>
                  <w:tcW w:w="1250" w:type="pct"/>
                  <w:vAlign w:val="center"/>
                </w:tcPr>
                <w:p>
                  <w:pPr>
                    <w:spacing w:line="240" w:lineRule="atLeast"/>
                    <w:jc w:val="center"/>
                    <w:rPr>
                      <w:bCs/>
                      <w:color w:val="auto"/>
                      <w:sz w:val="18"/>
                      <w:szCs w:val="18"/>
                    </w:rPr>
                  </w:pPr>
                  <w:r>
                    <w:rPr>
                      <w:bCs/>
                      <w:color w:val="auto"/>
                      <w:sz w:val="18"/>
                      <w:szCs w:val="18"/>
                    </w:rPr>
                    <w:t>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2" w:type="pct"/>
                  <w:vMerge w:val="continue"/>
                  <w:vAlign w:val="center"/>
                </w:tcPr>
                <w:p>
                  <w:pPr>
                    <w:spacing w:line="240" w:lineRule="atLeast"/>
                    <w:jc w:val="center"/>
                    <w:rPr>
                      <w:bCs/>
                      <w:color w:val="auto"/>
                      <w:sz w:val="18"/>
                      <w:szCs w:val="18"/>
                    </w:rPr>
                  </w:pPr>
                </w:p>
              </w:tc>
              <w:tc>
                <w:tcPr>
                  <w:tcW w:w="1498" w:type="pct"/>
                  <w:vMerge w:val="continue"/>
                  <w:vAlign w:val="center"/>
                </w:tcPr>
                <w:p>
                  <w:pPr>
                    <w:spacing w:line="240" w:lineRule="atLeast"/>
                    <w:jc w:val="center"/>
                    <w:rPr>
                      <w:bCs/>
                      <w:color w:val="auto"/>
                      <w:sz w:val="18"/>
                      <w:szCs w:val="18"/>
                    </w:rPr>
                  </w:pPr>
                </w:p>
              </w:tc>
              <w:tc>
                <w:tcPr>
                  <w:tcW w:w="1498" w:type="pct"/>
                  <w:vAlign w:val="center"/>
                </w:tcPr>
                <w:p>
                  <w:pPr>
                    <w:spacing w:line="240" w:lineRule="atLeast"/>
                    <w:jc w:val="center"/>
                    <w:rPr>
                      <w:bCs/>
                      <w:color w:val="auto"/>
                      <w:sz w:val="18"/>
                      <w:szCs w:val="18"/>
                    </w:rPr>
                  </w:pPr>
                  <w:r>
                    <w:rPr>
                      <w:bCs/>
                      <w:color w:val="auto"/>
                      <w:sz w:val="18"/>
                      <w:szCs w:val="18"/>
                    </w:rPr>
                    <w:t>TP</w:t>
                  </w:r>
                </w:p>
              </w:tc>
              <w:tc>
                <w:tcPr>
                  <w:tcW w:w="1250" w:type="pct"/>
                  <w:vAlign w:val="center"/>
                </w:tcPr>
                <w:p>
                  <w:pPr>
                    <w:spacing w:line="240" w:lineRule="atLeast"/>
                    <w:jc w:val="center"/>
                    <w:rPr>
                      <w:bCs/>
                      <w:color w:val="auto"/>
                      <w:sz w:val="18"/>
                      <w:szCs w:val="18"/>
                    </w:rPr>
                  </w:pPr>
                  <w:r>
                    <w:rPr>
                      <w:bCs/>
                      <w:color w:val="auto"/>
                      <w:sz w:val="18"/>
                      <w:szCs w:val="18"/>
                    </w:rPr>
                    <w:t>8</w:t>
                  </w:r>
                </w:p>
              </w:tc>
            </w:tr>
          </w:tbl>
          <w:p>
            <w:pPr>
              <w:widowControl/>
              <w:spacing w:before="120" w:beforeLines="50" w:line="360" w:lineRule="auto"/>
              <w:ind w:firstLine="420" w:firstLineChars="200"/>
              <w:rPr>
                <w:color w:val="auto"/>
                <w:szCs w:val="21"/>
              </w:rPr>
            </w:pPr>
            <w:r>
              <w:rPr>
                <w:color w:val="auto"/>
                <w:szCs w:val="21"/>
              </w:rPr>
              <w:t>为保护太湖水体水环境质量，城东污水处理厂尾水排放执行《关于高质量推进城乡生活污水治理三年行动计划的实施意见》（苏委办发[2018]77号）苏州特别排放限值标准要求，未列入项目（pH、SS）执行《城镇污水处理厂污染物排放标准》（</w:t>
            </w:r>
            <w:r>
              <w:rPr>
                <w:rFonts w:hint="eastAsia"/>
                <w:color w:val="auto"/>
                <w:szCs w:val="21"/>
              </w:rPr>
              <w:t>DB32/ 4440—2022</w:t>
            </w:r>
            <w:r>
              <w:rPr>
                <w:color w:val="auto"/>
                <w:szCs w:val="21"/>
              </w:rPr>
              <w:t>）</w:t>
            </w:r>
            <w:r>
              <w:rPr>
                <w:rStyle w:val="45"/>
                <w:rFonts w:hint="eastAsia"/>
                <w:color w:val="auto"/>
                <w:kern w:val="0"/>
                <w:szCs w:val="20"/>
              </w:rPr>
              <w:t>表1中</w:t>
            </w:r>
            <w:r>
              <w:rPr>
                <w:rFonts w:hint="eastAsia"/>
                <w:color w:val="auto"/>
                <w:szCs w:val="21"/>
              </w:rPr>
              <w:t>C</w:t>
            </w:r>
            <w:r>
              <w:rPr>
                <w:color w:val="auto"/>
                <w:szCs w:val="21"/>
              </w:rPr>
              <w:t>标准。具体标准限值见表3-</w:t>
            </w:r>
            <w:r>
              <w:rPr>
                <w:rFonts w:hint="eastAsia"/>
                <w:color w:val="auto"/>
                <w:szCs w:val="21"/>
              </w:rPr>
              <w:t>8</w:t>
            </w:r>
            <w:r>
              <w:rPr>
                <w:color w:val="auto"/>
                <w:szCs w:val="21"/>
              </w:rPr>
              <w:t>。</w:t>
            </w:r>
          </w:p>
          <w:p>
            <w:pPr>
              <w:jc w:val="center"/>
              <w:rPr>
                <w:b/>
                <w:color w:val="auto"/>
                <w:szCs w:val="21"/>
              </w:rPr>
            </w:pPr>
            <w:r>
              <w:rPr>
                <w:b/>
                <w:color w:val="auto"/>
                <w:szCs w:val="21"/>
              </w:rPr>
              <w:t>表3-</w:t>
            </w:r>
            <w:r>
              <w:rPr>
                <w:rFonts w:hint="eastAsia"/>
                <w:b/>
                <w:color w:val="auto"/>
                <w:szCs w:val="21"/>
              </w:rPr>
              <w:t>8</w:t>
            </w:r>
            <w:r>
              <w:rPr>
                <w:b/>
                <w:color w:val="auto"/>
                <w:szCs w:val="21"/>
              </w:rPr>
              <w:t xml:space="preserve">  </w:t>
            </w:r>
            <w:r>
              <w:rPr>
                <w:b/>
                <w:bCs/>
                <w:color w:val="auto"/>
                <w:szCs w:val="21"/>
              </w:rPr>
              <w:t>城镇污水厂尾水排放标准</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1100"/>
              <w:gridCol w:w="1515"/>
              <w:gridCol w:w="1375"/>
              <w:gridCol w:w="536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88" w:type="pct"/>
                  <w:vAlign w:val="center"/>
                </w:tcPr>
                <w:p>
                  <w:pPr>
                    <w:overflowPunct w:val="0"/>
                    <w:autoSpaceDE w:val="0"/>
                    <w:autoSpaceDN w:val="0"/>
                    <w:snapToGrid w:val="0"/>
                    <w:jc w:val="center"/>
                    <w:rPr>
                      <w:rFonts w:eastAsiaTheme="minorEastAsia"/>
                      <w:b/>
                      <w:bCs/>
                      <w:snapToGrid w:val="0"/>
                      <w:color w:val="auto"/>
                      <w:sz w:val="18"/>
                      <w:szCs w:val="18"/>
                    </w:rPr>
                  </w:pPr>
                  <w:r>
                    <w:rPr>
                      <w:rFonts w:eastAsiaTheme="minorEastAsia"/>
                      <w:b/>
                      <w:bCs/>
                      <w:snapToGrid w:val="0"/>
                      <w:color w:val="auto"/>
                      <w:sz w:val="18"/>
                      <w:szCs w:val="18"/>
                    </w:rPr>
                    <w:t>序号</w:t>
                  </w:r>
                </w:p>
              </w:tc>
              <w:tc>
                <w:tcPr>
                  <w:tcW w:w="810" w:type="pct"/>
                  <w:vAlign w:val="center"/>
                </w:tcPr>
                <w:p>
                  <w:pPr>
                    <w:overflowPunct w:val="0"/>
                    <w:autoSpaceDE w:val="0"/>
                    <w:autoSpaceDN w:val="0"/>
                    <w:snapToGrid w:val="0"/>
                    <w:jc w:val="center"/>
                    <w:rPr>
                      <w:rFonts w:eastAsiaTheme="minorEastAsia"/>
                      <w:b/>
                      <w:bCs/>
                      <w:snapToGrid w:val="0"/>
                      <w:color w:val="auto"/>
                      <w:sz w:val="18"/>
                      <w:szCs w:val="18"/>
                    </w:rPr>
                  </w:pPr>
                  <w:r>
                    <w:rPr>
                      <w:rFonts w:eastAsiaTheme="minorEastAsia"/>
                      <w:b/>
                      <w:bCs/>
                      <w:snapToGrid w:val="0"/>
                      <w:color w:val="auto"/>
                      <w:sz w:val="18"/>
                      <w:szCs w:val="18"/>
                    </w:rPr>
                    <w:t>项目</w:t>
                  </w:r>
                </w:p>
              </w:tc>
              <w:tc>
                <w:tcPr>
                  <w:tcW w:w="735" w:type="pct"/>
                  <w:vAlign w:val="center"/>
                </w:tcPr>
                <w:p>
                  <w:pPr>
                    <w:overflowPunct w:val="0"/>
                    <w:autoSpaceDE w:val="0"/>
                    <w:autoSpaceDN w:val="0"/>
                    <w:snapToGrid w:val="0"/>
                    <w:jc w:val="center"/>
                    <w:rPr>
                      <w:rFonts w:eastAsiaTheme="minorEastAsia"/>
                      <w:b/>
                      <w:bCs/>
                      <w:snapToGrid w:val="0"/>
                      <w:color w:val="auto"/>
                      <w:sz w:val="18"/>
                      <w:szCs w:val="18"/>
                    </w:rPr>
                  </w:pPr>
                  <w:r>
                    <w:rPr>
                      <w:rFonts w:eastAsiaTheme="minorEastAsia"/>
                      <w:b/>
                      <w:bCs/>
                      <w:snapToGrid w:val="0"/>
                      <w:color w:val="auto"/>
                      <w:sz w:val="18"/>
                      <w:szCs w:val="18"/>
                    </w:rPr>
                    <w:t>标准浓度限值</w:t>
                  </w:r>
                </w:p>
              </w:tc>
              <w:tc>
                <w:tcPr>
                  <w:tcW w:w="2866" w:type="pct"/>
                  <w:vAlign w:val="center"/>
                </w:tcPr>
                <w:p>
                  <w:pPr>
                    <w:overflowPunct w:val="0"/>
                    <w:autoSpaceDE w:val="0"/>
                    <w:autoSpaceDN w:val="0"/>
                    <w:snapToGrid w:val="0"/>
                    <w:jc w:val="center"/>
                    <w:rPr>
                      <w:rFonts w:eastAsiaTheme="minorEastAsia"/>
                      <w:b/>
                      <w:bCs/>
                      <w:snapToGrid w:val="0"/>
                      <w:color w:val="auto"/>
                      <w:sz w:val="18"/>
                      <w:szCs w:val="18"/>
                    </w:rPr>
                  </w:pPr>
                  <w:r>
                    <w:rPr>
                      <w:rFonts w:eastAsiaTheme="minorEastAsia"/>
                      <w:b/>
                      <w:bCs/>
                      <w:snapToGrid w:val="0"/>
                      <w:color w:val="auto"/>
                      <w:sz w:val="18"/>
                      <w:szCs w:val="18"/>
                    </w:rPr>
                    <w:t>标准来源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88"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1</w:t>
                  </w:r>
                </w:p>
              </w:tc>
              <w:tc>
                <w:tcPr>
                  <w:tcW w:w="810"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COD</w:t>
                  </w:r>
                </w:p>
              </w:tc>
              <w:tc>
                <w:tcPr>
                  <w:tcW w:w="735"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30</w:t>
                  </w:r>
                </w:p>
              </w:tc>
              <w:tc>
                <w:tcPr>
                  <w:tcW w:w="2866" w:type="pct"/>
                  <w:vMerge w:val="restart"/>
                  <w:tcMar>
                    <w:left w:w="0" w:type="dxa"/>
                    <w:right w:w="0" w:type="dxa"/>
                  </w:tcMar>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《关于高质量推进城乡生活污水治理三年行动计划的实施意见》（苏委办发[2018]77号）苏州特别排放限值标准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88"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2</w:t>
                  </w:r>
                </w:p>
              </w:tc>
              <w:tc>
                <w:tcPr>
                  <w:tcW w:w="810"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氨氮</w:t>
                  </w:r>
                </w:p>
              </w:tc>
              <w:tc>
                <w:tcPr>
                  <w:tcW w:w="735"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1.5（3）*</w:t>
                  </w:r>
                </w:p>
              </w:tc>
              <w:tc>
                <w:tcPr>
                  <w:tcW w:w="2866" w:type="pct"/>
                  <w:vMerge w:val="continue"/>
                  <w:tcMar>
                    <w:left w:w="0" w:type="dxa"/>
                    <w:right w:w="0" w:type="dxa"/>
                  </w:tcMar>
                  <w:vAlign w:val="center"/>
                </w:tcPr>
                <w:p>
                  <w:pPr>
                    <w:overflowPunct w:val="0"/>
                    <w:autoSpaceDE w:val="0"/>
                    <w:autoSpaceDN w:val="0"/>
                    <w:snapToGrid w:val="0"/>
                    <w:jc w:val="center"/>
                    <w:rPr>
                      <w:rFonts w:eastAsiaTheme="minorEastAsia"/>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88"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3</w:t>
                  </w:r>
                </w:p>
              </w:tc>
              <w:tc>
                <w:tcPr>
                  <w:tcW w:w="810"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总氮</w:t>
                  </w:r>
                </w:p>
              </w:tc>
              <w:tc>
                <w:tcPr>
                  <w:tcW w:w="735"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10</w:t>
                  </w:r>
                </w:p>
              </w:tc>
              <w:tc>
                <w:tcPr>
                  <w:tcW w:w="2866" w:type="pct"/>
                  <w:vMerge w:val="continue"/>
                  <w:tcMar>
                    <w:left w:w="0" w:type="dxa"/>
                    <w:right w:w="0" w:type="dxa"/>
                  </w:tcMar>
                  <w:vAlign w:val="center"/>
                </w:tcPr>
                <w:p>
                  <w:pPr>
                    <w:overflowPunct w:val="0"/>
                    <w:autoSpaceDE w:val="0"/>
                    <w:autoSpaceDN w:val="0"/>
                    <w:snapToGrid w:val="0"/>
                    <w:jc w:val="center"/>
                    <w:rPr>
                      <w:rFonts w:eastAsiaTheme="minorEastAsia"/>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88"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4</w:t>
                  </w:r>
                </w:p>
              </w:tc>
              <w:tc>
                <w:tcPr>
                  <w:tcW w:w="810"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总磷</w:t>
                  </w:r>
                </w:p>
              </w:tc>
              <w:tc>
                <w:tcPr>
                  <w:tcW w:w="735"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0.3</w:t>
                  </w:r>
                </w:p>
              </w:tc>
              <w:tc>
                <w:tcPr>
                  <w:tcW w:w="2866" w:type="pct"/>
                  <w:vMerge w:val="continue"/>
                  <w:tcMar>
                    <w:left w:w="0" w:type="dxa"/>
                    <w:right w:w="0" w:type="dxa"/>
                  </w:tcMar>
                  <w:vAlign w:val="center"/>
                </w:tcPr>
                <w:p>
                  <w:pPr>
                    <w:overflowPunct w:val="0"/>
                    <w:autoSpaceDE w:val="0"/>
                    <w:autoSpaceDN w:val="0"/>
                    <w:snapToGrid w:val="0"/>
                    <w:jc w:val="center"/>
                    <w:rPr>
                      <w:rFonts w:eastAsiaTheme="minorEastAsia"/>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88"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5</w:t>
                  </w:r>
                </w:p>
              </w:tc>
              <w:tc>
                <w:tcPr>
                  <w:tcW w:w="810"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pH（无量纲）</w:t>
                  </w:r>
                </w:p>
              </w:tc>
              <w:tc>
                <w:tcPr>
                  <w:tcW w:w="735"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6～9</w:t>
                  </w:r>
                </w:p>
              </w:tc>
              <w:tc>
                <w:tcPr>
                  <w:tcW w:w="2866" w:type="pct"/>
                  <w:vMerge w:val="restart"/>
                  <w:tcMar>
                    <w:left w:w="0" w:type="dxa"/>
                    <w:right w:w="0" w:type="dxa"/>
                  </w:tcMar>
                  <w:vAlign w:val="center"/>
                </w:tcPr>
                <w:p>
                  <w:pPr>
                    <w:overflowPunct w:val="0"/>
                    <w:autoSpaceDE w:val="0"/>
                    <w:autoSpaceDN w:val="0"/>
                    <w:snapToGrid w:val="0"/>
                    <w:jc w:val="center"/>
                    <w:rPr>
                      <w:rFonts w:eastAsiaTheme="minorEastAsia"/>
                      <w:bCs/>
                      <w:snapToGrid w:val="0"/>
                      <w:color w:val="auto"/>
                      <w:sz w:val="18"/>
                      <w:szCs w:val="18"/>
                    </w:rPr>
                  </w:pPr>
                  <w:r>
                    <w:rPr>
                      <w:rFonts w:hint="eastAsia" w:eastAsiaTheme="minorEastAsia"/>
                      <w:bCs/>
                      <w:snapToGrid w:val="0"/>
                      <w:color w:val="auto"/>
                      <w:sz w:val="18"/>
                      <w:szCs w:val="18"/>
                    </w:rPr>
                    <w:t>《城镇污水处理厂污染物排放标准》（DB32/ 4440—2022）</w:t>
                  </w:r>
                </w:p>
                <w:p>
                  <w:pPr>
                    <w:overflowPunct w:val="0"/>
                    <w:autoSpaceDE w:val="0"/>
                    <w:autoSpaceDN w:val="0"/>
                    <w:snapToGrid w:val="0"/>
                    <w:jc w:val="center"/>
                    <w:rPr>
                      <w:rFonts w:eastAsiaTheme="minorEastAsia"/>
                      <w:bCs/>
                      <w:snapToGrid w:val="0"/>
                      <w:color w:val="auto"/>
                      <w:sz w:val="18"/>
                      <w:szCs w:val="18"/>
                    </w:rPr>
                  </w:pPr>
                  <w:r>
                    <w:rPr>
                      <w:rFonts w:hint="eastAsia" w:eastAsiaTheme="minorEastAsia"/>
                      <w:bCs/>
                      <w:snapToGrid w:val="0"/>
                      <w:color w:val="auto"/>
                      <w:sz w:val="18"/>
                      <w:szCs w:val="18"/>
                    </w:rPr>
                    <w:t>表1中C标准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88"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6</w:t>
                  </w:r>
                </w:p>
              </w:tc>
              <w:tc>
                <w:tcPr>
                  <w:tcW w:w="810"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SS</w:t>
                  </w:r>
                </w:p>
              </w:tc>
              <w:tc>
                <w:tcPr>
                  <w:tcW w:w="735" w:type="pct"/>
                  <w:vAlign w:val="center"/>
                </w:tcPr>
                <w:p>
                  <w:pPr>
                    <w:overflowPunct w:val="0"/>
                    <w:autoSpaceDE w:val="0"/>
                    <w:autoSpaceDN w:val="0"/>
                    <w:snapToGrid w:val="0"/>
                    <w:jc w:val="center"/>
                    <w:rPr>
                      <w:rFonts w:eastAsiaTheme="minorEastAsia"/>
                      <w:bCs/>
                      <w:snapToGrid w:val="0"/>
                      <w:color w:val="auto"/>
                      <w:sz w:val="18"/>
                      <w:szCs w:val="18"/>
                    </w:rPr>
                  </w:pPr>
                  <w:r>
                    <w:rPr>
                      <w:rFonts w:eastAsiaTheme="minorEastAsia"/>
                      <w:bCs/>
                      <w:snapToGrid w:val="0"/>
                      <w:color w:val="auto"/>
                      <w:sz w:val="18"/>
                      <w:szCs w:val="18"/>
                    </w:rPr>
                    <w:t>10</w:t>
                  </w:r>
                </w:p>
              </w:tc>
              <w:tc>
                <w:tcPr>
                  <w:tcW w:w="2866" w:type="pct"/>
                  <w:vMerge w:val="continue"/>
                  <w:tcMar>
                    <w:left w:w="0" w:type="dxa"/>
                    <w:right w:w="0" w:type="dxa"/>
                  </w:tcMar>
                  <w:vAlign w:val="center"/>
                </w:tcPr>
                <w:p>
                  <w:pPr>
                    <w:overflowPunct w:val="0"/>
                    <w:autoSpaceDE w:val="0"/>
                    <w:autoSpaceDN w:val="0"/>
                    <w:snapToGrid w:val="0"/>
                    <w:jc w:val="center"/>
                    <w:rPr>
                      <w:rFonts w:eastAsiaTheme="minorEastAsia"/>
                      <w:snapToGrid w:val="0"/>
                      <w:color w:val="auto"/>
                      <w:sz w:val="18"/>
                      <w:szCs w:val="18"/>
                    </w:rPr>
                  </w:pPr>
                </w:p>
              </w:tc>
            </w:tr>
          </w:tbl>
          <w:p>
            <w:pPr>
              <w:widowControl/>
              <w:adjustRightInd w:val="0"/>
              <w:snapToGrid w:val="0"/>
              <w:spacing w:line="360" w:lineRule="auto"/>
              <w:jc w:val="left"/>
              <w:rPr>
                <w:color w:val="auto"/>
                <w:kern w:val="0"/>
                <w:sz w:val="18"/>
                <w:szCs w:val="18"/>
                <w:lang w:bidi="ar"/>
              </w:rPr>
            </w:pPr>
            <w:r>
              <w:rPr>
                <w:color w:val="auto"/>
                <w:kern w:val="0"/>
                <w:sz w:val="18"/>
                <w:szCs w:val="18"/>
                <w:lang w:bidi="ar"/>
              </w:rPr>
              <w:t>注*：括号外数值水温&gt;12℃时的控制指标，括号外数值为水温≤12℃时的控制指标。</w:t>
            </w:r>
          </w:p>
          <w:p>
            <w:pPr>
              <w:tabs>
                <w:tab w:val="left" w:pos="5142"/>
              </w:tabs>
              <w:adjustRightInd w:val="0"/>
              <w:snapToGrid w:val="0"/>
              <w:spacing w:line="360" w:lineRule="auto"/>
              <w:ind w:firstLine="422" w:firstLineChars="200"/>
              <w:rPr>
                <w:b/>
                <w:bCs/>
                <w:snapToGrid w:val="0"/>
                <w:color w:val="auto"/>
                <w:kern w:val="0"/>
                <w:szCs w:val="21"/>
              </w:rPr>
            </w:pPr>
            <w:r>
              <w:rPr>
                <w:b/>
                <w:bCs/>
                <w:snapToGrid w:val="0"/>
                <w:color w:val="auto"/>
                <w:kern w:val="0"/>
                <w:szCs w:val="21"/>
              </w:rPr>
              <w:t>3、厂界噪声排放标准</w:t>
            </w:r>
          </w:p>
          <w:p>
            <w:pPr>
              <w:tabs>
                <w:tab w:val="left" w:pos="5142"/>
              </w:tabs>
              <w:spacing w:line="360" w:lineRule="auto"/>
              <w:ind w:left="-23" w:firstLine="482"/>
              <w:rPr>
                <w:bCs/>
                <w:snapToGrid w:val="0"/>
                <w:color w:val="auto"/>
                <w:kern w:val="0"/>
                <w:szCs w:val="21"/>
              </w:rPr>
            </w:pPr>
            <w:r>
              <w:rPr>
                <w:snapToGrid w:val="0"/>
                <w:color w:val="auto"/>
                <w:kern w:val="0"/>
                <w:szCs w:val="21"/>
              </w:rPr>
              <w:t>项目营运期厂界噪声</w:t>
            </w:r>
            <w:r>
              <w:rPr>
                <w:bCs/>
                <w:snapToGrid w:val="0"/>
                <w:color w:val="auto"/>
                <w:kern w:val="0"/>
                <w:szCs w:val="21"/>
              </w:rPr>
              <w:t>执行</w:t>
            </w:r>
            <w:r>
              <w:rPr>
                <w:snapToGrid w:val="0"/>
                <w:color w:val="auto"/>
                <w:kern w:val="0"/>
                <w:szCs w:val="21"/>
              </w:rPr>
              <w:t>《工业企业厂界环境噪声排放标准》（GB12348-2008）中3类标准，</w:t>
            </w:r>
            <w:r>
              <w:rPr>
                <w:bCs/>
                <w:snapToGrid w:val="0"/>
                <w:color w:val="auto"/>
                <w:kern w:val="0"/>
                <w:szCs w:val="21"/>
              </w:rPr>
              <w:t>具体见表3-</w:t>
            </w:r>
            <w:r>
              <w:rPr>
                <w:rFonts w:hint="eastAsia"/>
                <w:bCs/>
                <w:snapToGrid w:val="0"/>
                <w:color w:val="auto"/>
                <w:kern w:val="0"/>
                <w:szCs w:val="21"/>
              </w:rPr>
              <w:t>9</w:t>
            </w:r>
            <w:r>
              <w:rPr>
                <w:bCs/>
                <w:snapToGrid w:val="0"/>
                <w:color w:val="auto"/>
                <w:kern w:val="0"/>
                <w:szCs w:val="21"/>
              </w:rPr>
              <w:t>。</w:t>
            </w:r>
          </w:p>
          <w:p>
            <w:pPr>
              <w:jc w:val="center"/>
              <w:rPr>
                <w:b/>
                <w:snapToGrid w:val="0"/>
                <w:color w:val="auto"/>
                <w:kern w:val="0"/>
                <w:szCs w:val="21"/>
              </w:rPr>
            </w:pPr>
            <w:r>
              <w:rPr>
                <w:b/>
                <w:bCs/>
                <w:snapToGrid w:val="0"/>
                <w:color w:val="auto"/>
                <w:kern w:val="0"/>
                <w:szCs w:val="21"/>
              </w:rPr>
              <w:t>表3-</w:t>
            </w:r>
            <w:r>
              <w:rPr>
                <w:rFonts w:hint="eastAsia"/>
                <w:b/>
                <w:bCs/>
                <w:snapToGrid w:val="0"/>
                <w:color w:val="auto"/>
                <w:kern w:val="0"/>
                <w:szCs w:val="21"/>
              </w:rPr>
              <w:t>9</w:t>
            </w:r>
            <w:r>
              <w:rPr>
                <w:b/>
                <w:bCs/>
                <w:snapToGrid w:val="0"/>
                <w:color w:val="auto"/>
                <w:kern w:val="0"/>
                <w:szCs w:val="21"/>
              </w:rPr>
              <w:t xml:space="preserve"> </w:t>
            </w:r>
            <w:r>
              <w:rPr>
                <w:b/>
                <w:snapToGrid w:val="0"/>
                <w:color w:val="auto"/>
                <w:kern w:val="0"/>
                <w:szCs w:val="21"/>
              </w:rPr>
              <w:t>工业企业厂界环境噪声排放标准值</w:t>
            </w:r>
            <w:r>
              <w:rPr>
                <w:b/>
                <w:bCs/>
                <w:snapToGrid w:val="0"/>
                <w:color w:val="auto"/>
                <w:kern w:val="0"/>
                <w:szCs w:val="21"/>
              </w:rPr>
              <w:t>一览表</w:t>
            </w:r>
            <w:r>
              <w:rPr>
                <w:b/>
                <w:snapToGrid w:val="0"/>
                <w:color w:val="auto"/>
                <w:kern w:val="0"/>
                <w:szCs w:val="21"/>
              </w:rPr>
              <w:t xml:space="preserve">   单位：dB（A）</w:t>
            </w:r>
          </w:p>
          <w:tbl>
            <w:tblPr>
              <w:tblStyle w:val="37"/>
              <w:tblpPr w:leftFromText="180" w:rightFromText="180" w:vertAnchor="text" w:tblpXSpec="center" w:tblpY="1"/>
              <w:tblOverlap w:val="never"/>
              <w:tblW w:w="5000"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28" w:type="dxa"/>
                <w:bottom w:w="0" w:type="dxa"/>
                <w:right w:w="28" w:type="dxa"/>
              </w:tblCellMar>
            </w:tblPr>
            <w:tblGrid>
              <w:gridCol w:w="1274"/>
              <w:gridCol w:w="1873"/>
              <w:gridCol w:w="1934"/>
              <w:gridCol w:w="4270"/>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PrEx>
              <w:trPr>
                <w:trHeight w:val="340" w:hRule="atLeast"/>
                <w:jc w:val="center"/>
              </w:trPr>
              <w:tc>
                <w:tcPr>
                  <w:tcW w:w="681" w:type="pct"/>
                  <w:vAlign w:val="center"/>
                </w:tcPr>
                <w:p>
                  <w:pPr>
                    <w:jc w:val="center"/>
                    <w:rPr>
                      <w:b/>
                      <w:bCs/>
                      <w:snapToGrid w:val="0"/>
                      <w:color w:val="auto"/>
                      <w:kern w:val="0"/>
                      <w:sz w:val="18"/>
                      <w:szCs w:val="18"/>
                    </w:rPr>
                  </w:pPr>
                  <w:r>
                    <w:rPr>
                      <w:b/>
                      <w:bCs/>
                      <w:snapToGrid w:val="0"/>
                      <w:color w:val="auto"/>
                      <w:kern w:val="0"/>
                      <w:sz w:val="18"/>
                      <w:szCs w:val="18"/>
                    </w:rPr>
                    <w:t>功能区类别</w:t>
                  </w:r>
                </w:p>
              </w:tc>
              <w:tc>
                <w:tcPr>
                  <w:tcW w:w="1002" w:type="pct"/>
                  <w:vAlign w:val="center"/>
                </w:tcPr>
                <w:p>
                  <w:pPr>
                    <w:jc w:val="center"/>
                    <w:rPr>
                      <w:b/>
                      <w:bCs/>
                      <w:snapToGrid w:val="0"/>
                      <w:color w:val="auto"/>
                      <w:kern w:val="0"/>
                      <w:sz w:val="18"/>
                      <w:szCs w:val="18"/>
                    </w:rPr>
                  </w:pPr>
                  <w:r>
                    <w:rPr>
                      <w:b/>
                      <w:bCs/>
                      <w:snapToGrid w:val="0"/>
                      <w:color w:val="auto"/>
                      <w:kern w:val="0"/>
                      <w:sz w:val="18"/>
                      <w:szCs w:val="18"/>
                    </w:rPr>
                    <w:t>昼间（6:00～22:00）</w:t>
                  </w:r>
                </w:p>
              </w:tc>
              <w:tc>
                <w:tcPr>
                  <w:tcW w:w="1034" w:type="pct"/>
                  <w:vAlign w:val="center"/>
                </w:tcPr>
                <w:p>
                  <w:pPr>
                    <w:jc w:val="center"/>
                    <w:rPr>
                      <w:b/>
                      <w:bCs/>
                      <w:snapToGrid w:val="0"/>
                      <w:color w:val="auto"/>
                      <w:kern w:val="0"/>
                      <w:sz w:val="18"/>
                      <w:szCs w:val="18"/>
                    </w:rPr>
                  </w:pPr>
                  <w:r>
                    <w:rPr>
                      <w:b/>
                      <w:bCs/>
                      <w:snapToGrid w:val="0"/>
                      <w:color w:val="auto"/>
                      <w:kern w:val="0"/>
                      <w:sz w:val="18"/>
                      <w:szCs w:val="18"/>
                    </w:rPr>
                    <w:t>夜间（22:00～6:00）</w:t>
                  </w:r>
                </w:p>
              </w:tc>
              <w:tc>
                <w:tcPr>
                  <w:tcW w:w="2284" w:type="pct"/>
                  <w:vAlign w:val="center"/>
                </w:tcPr>
                <w:p>
                  <w:pPr>
                    <w:jc w:val="center"/>
                    <w:rPr>
                      <w:b/>
                      <w:bCs/>
                      <w:snapToGrid w:val="0"/>
                      <w:color w:val="auto"/>
                      <w:kern w:val="0"/>
                      <w:sz w:val="18"/>
                      <w:szCs w:val="18"/>
                    </w:rPr>
                  </w:pPr>
                  <w:r>
                    <w:rPr>
                      <w:b/>
                      <w:bCs/>
                      <w:snapToGrid w:val="0"/>
                      <w:color w:val="auto"/>
                      <w:kern w:val="0"/>
                      <w:sz w:val="18"/>
                      <w:szCs w:val="18"/>
                    </w:rPr>
                    <w:t>标准来源</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28" w:type="dxa"/>
                  <w:bottom w:w="0" w:type="dxa"/>
                  <w:right w:w="28" w:type="dxa"/>
                </w:tblCellMar>
              </w:tblPrEx>
              <w:trPr>
                <w:trHeight w:val="340" w:hRule="atLeast"/>
                <w:jc w:val="center"/>
              </w:trPr>
              <w:tc>
                <w:tcPr>
                  <w:tcW w:w="681" w:type="pct"/>
                  <w:vAlign w:val="center"/>
                </w:tcPr>
                <w:p>
                  <w:pPr>
                    <w:jc w:val="center"/>
                    <w:rPr>
                      <w:bCs/>
                      <w:snapToGrid w:val="0"/>
                      <w:color w:val="auto"/>
                      <w:kern w:val="0"/>
                      <w:sz w:val="18"/>
                      <w:szCs w:val="18"/>
                    </w:rPr>
                  </w:pPr>
                  <w:r>
                    <w:rPr>
                      <w:smallCaps/>
                      <w:snapToGrid w:val="0"/>
                      <w:color w:val="auto"/>
                      <w:kern w:val="0"/>
                      <w:sz w:val="18"/>
                      <w:szCs w:val="18"/>
                    </w:rPr>
                    <w:t>3</w:t>
                  </w:r>
                </w:p>
              </w:tc>
              <w:tc>
                <w:tcPr>
                  <w:tcW w:w="1002" w:type="pct"/>
                  <w:vAlign w:val="center"/>
                </w:tcPr>
                <w:p>
                  <w:pPr>
                    <w:jc w:val="center"/>
                    <w:rPr>
                      <w:bCs/>
                      <w:snapToGrid w:val="0"/>
                      <w:color w:val="auto"/>
                      <w:kern w:val="0"/>
                      <w:sz w:val="18"/>
                      <w:szCs w:val="18"/>
                    </w:rPr>
                  </w:pPr>
                  <w:r>
                    <w:rPr>
                      <w:smallCaps/>
                      <w:snapToGrid w:val="0"/>
                      <w:color w:val="auto"/>
                      <w:kern w:val="0"/>
                      <w:sz w:val="18"/>
                      <w:szCs w:val="18"/>
                    </w:rPr>
                    <w:t>65</w:t>
                  </w:r>
                </w:p>
              </w:tc>
              <w:tc>
                <w:tcPr>
                  <w:tcW w:w="1034" w:type="pct"/>
                  <w:vAlign w:val="center"/>
                </w:tcPr>
                <w:p>
                  <w:pPr>
                    <w:jc w:val="center"/>
                    <w:rPr>
                      <w:bCs/>
                      <w:snapToGrid w:val="0"/>
                      <w:color w:val="auto"/>
                      <w:kern w:val="0"/>
                      <w:sz w:val="18"/>
                      <w:szCs w:val="18"/>
                    </w:rPr>
                  </w:pPr>
                  <w:r>
                    <w:rPr>
                      <w:smallCaps/>
                      <w:snapToGrid w:val="0"/>
                      <w:color w:val="auto"/>
                      <w:kern w:val="0"/>
                      <w:sz w:val="18"/>
                      <w:szCs w:val="18"/>
                    </w:rPr>
                    <w:t>55</w:t>
                  </w:r>
                </w:p>
              </w:tc>
              <w:tc>
                <w:tcPr>
                  <w:tcW w:w="2284" w:type="pct"/>
                  <w:vAlign w:val="center"/>
                </w:tcPr>
                <w:p>
                  <w:pPr>
                    <w:jc w:val="center"/>
                    <w:rPr>
                      <w:snapToGrid w:val="0"/>
                      <w:color w:val="auto"/>
                      <w:kern w:val="0"/>
                      <w:sz w:val="18"/>
                      <w:szCs w:val="18"/>
                    </w:rPr>
                  </w:pPr>
                  <w:r>
                    <w:rPr>
                      <w:snapToGrid w:val="0"/>
                      <w:color w:val="auto"/>
                      <w:kern w:val="0"/>
                      <w:sz w:val="18"/>
                      <w:szCs w:val="18"/>
                    </w:rPr>
                    <w:t>《工业企业厂界环境噪声排放标准》</w:t>
                  </w:r>
                </w:p>
                <w:p>
                  <w:pPr>
                    <w:jc w:val="center"/>
                    <w:rPr>
                      <w:snapToGrid w:val="0"/>
                      <w:color w:val="auto"/>
                      <w:kern w:val="0"/>
                      <w:sz w:val="18"/>
                      <w:szCs w:val="18"/>
                    </w:rPr>
                  </w:pPr>
                  <w:r>
                    <w:rPr>
                      <w:snapToGrid w:val="0"/>
                      <w:color w:val="auto"/>
                      <w:kern w:val="0"/>
                      <w:sz w:val="18"/>
                      <w:szCs w:val="18"/>
                    </w:rPr>
                    <w:t>（GB12348-2008）</w:t>
                  </w:r>
                </w:p>
              </w:tc>
            </w:tr>
          </w:tbl>
          <w:p>
            <w:pPr>
              <w:tabs>
                <w:tab w:val="left" w:pos="5142"/>
              </w:tabs>
              <w:spacing w:before="120" w:beforeLines="50" w:line="360" w:lineRule="auto"/>
              <w:ind w:firstLine="422" w:firstLineChars="200"/>
              <w:rPr>
                <w:b/>
                <w:bCs/>
                <w:snapToGrid w:val="0"/>
                <w:color w:val="auto"/>
                <w:kern w:val="0"/>
                <w:szCs w:val="21"/>
              </w:rPr>
            </w:pPr>
            <w:r>
              <w:rPr>
                <w:b/>
                <w:bCs/>
                <w:snapToGrid w:val="0"/>
                <w:color w:val="auto"/>
                <w:kern w:val="0"/>
                <w:szCs w:val="21"/>
              </w:rPr>
              <w:t>4、固废控制标准</w:t>
            </w:r>
          </w:p>
          <w:p>
            <w:pPr>
              <w:spacing w:line="360" w:lineRule="auto"/>
              <w:ind w:firstLine="420" w:firstLineChars="200"/>
              <w:rPr>
                <w:color w:val="auto"/>
                <w:szCs w:val="21"/>
              </w:rPr>
            </w:pPr>
            <w:r>
              <w:rPr>
                <w:color w:val="auto"/>
                <w:szCs w:val="21"/>
              </w:rPr>
              <w:t>本项目产生的一般工业固体废物贮存执行《一般工业固体废物贮存和填埋污染控制标准》（GB18599-2020）</w:t>
            </w:r>
            <w:r>
              <w:rPr>
                <w:rFonts w:hint="eastAsia"/>
                <w:color w:val="auto"/>
                <w:szCs w:val="21"/>
              </w:rPr>
              <w:t>；</w:t>
            </w:r>
          </w:p>
          <w:p>
            <w:pPr>
              <w:spacing w:line="360" w:lineRule="auto"/>
              <w:ind w:firstLine="420" w:firstLineChars="200"/>
              <w:rPr>
                <w:color w:val="auto"/>
                <w:szCs w:val="21"/>
              </w:rPr>
            </w:pPr>
            <w:r>
              <w:rPr>
                <w:color w:val="auto"/>
                <w:szCs w:val="21"/>
              </w:rPr>
              <w:t>危险废物的暂存执行</w:t>
            </w:r>
            <w:r>
              <w:rPr>
                <w:rFonts w:hint="eastAsia"/>
                <w:color w:val="auto"/>
                <w:szCs w:val="21"/>
              </w:rPr>
              <w:t>危险废物的暂存执行《危险废物贮存污染控制标准》（GB18597-2023）、《省生态环境厅关于进一步加强危险废物污染防治工作的实施意见》（苏环办[2019]327号文）中要求；</w:t>
            </w:r>
          </w:p>
          <w:p>
            <w:pPr>
              <w:spacing w:line="360" w:lineRule="auto"/>
              <w:ind w:firstLine="420" w:firstLineChars="200"/>
              <w:rPr>
                <w:color w:val="auto"/>
                <w:szCs w:val="21"/>
              </w:rPr>
            </w:pPr>
            <w:r>
              <w:rPr>
                <w:color w:val="auto"/>
                <w:szCs w:val="21"/>
              </w:rPr>
              <w:t>生活垃圾处理执行《城市生活垃圾处理及污染防治技术政策》（建城[2000]120号）和《生活垃圾处理技术指南》（建城[2010]61号）以及国家、省市关于固体废物污染环境防治的法律法规。</w:t>
            </w:r>
          </w:p>
          <w:p>
            <w:pPr>
              <w:spacing w:line="360" w:lineRule="auto"/>
              <w:rPr>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48" w:hRule="atLeast"/>
          <w:jc w:val="center"/>
        </w:trPr>
        <w:tc>
          <w:tcPr>
            <w:tcW w:w="357" w:type="dxa"/>
            <w:tcBorders>
              <w:top w:val="single" w:color="auto" w:sz="4" w:space="0"/>
              <w:left w:val="single" w:color="auto" w:sz="4" w:space="0"/>
              <w:bottom w:val="single" w:color="auto" w:sz="4" w:space="0"/>
            </w:tcBorders>
            <w:vAlign w:val="center"/>
          </w:tcPr>
          <w:p>
            <w:pPr>
              <w:adjustRightInd w:val="0"/>
              <w:snapToGrid w:val="0"/>
              <w:jc w:val="center"/>
              <w:rPr>
                <w:color w:val="auto"/>
                <w:kern w:val="0"/>
                <w:szCs w:val="21"/>
              </w:rPr>
            </w:pPr>
            <w:r>
              <w:rPr>
                <w:color w:val="auto"/>
                <w:kern w:val="0"/>
                <w:szCs w:val="21"/>
              </w:rPr>
              <w:t>总量</w:t>
            </w:r>
          </w:p>
          <w:p>
            <w:pPr>
              <w:adjustRightInd w:val="0"/>
              <w:snapToGrid w:val="0"/>
              <w:jc w:val="center"/>
              <w:rPr>
                <w:color w:val="auto"/>
                <w:kern w:val="0"/>
                <w:szCs w:val="21"/>
              </w:rPr>
            </w:pPr>
            <w:r>
              <w:rPr>
                <w:color w:val="auto"/>
                <w:kern w:val="0"/>
                <w:szCs w:val="21"/>
              </w:rPr>
              <w:t>控制</w:t>
            </w:r>
          </w:p>
          <w:p>
            <w:pPr>
              <w:adjustRightInd w:val="0"/>
              <w:snapToGrid w:val="0"/>
              <w:jc w:val="center"/>
              <w:rPr>
                <w:color w:val="auto"/>
                <w:kern w:val="0"/>
                <w:szCs w:val="21"/>
              </w:rPr>
            </w:pPr>
            <w:r>
              <w:rPr>
                <w:color w:val="auto"/>
                <w:kern w:val="0"/>
                <w:szCs w:val="21"/>
              </w:rPr>
              <w:t>指标</w:t>
            </w:r>
          </w:p>
        </w:tc>
        <w:tc>
          <w:tcPr>
            <w:tcW w:w="8633" w:type="dxa"/>
            <w:tcBorders>
              <w:top w:val="single" w:color="auto" w:sz="4" w:space="0"/>
              <w:bottom w:val="single" w:color="auto" w:sz="4" w:space="0"/>
              <w:right w:val="single" w:color="auto" w:sz="4" w:space="0"/>
            </w:tcBorders>
          </w:tcPr>
          <w:p>
            <w:pPr>
              <w:pStyle w:val="13"/>
              <w:adjustRightInd w:val="0"/>
              <w:snapToGrid w:val="0"/>
              <w:ind w:left="0" w:leftChars="0" w:firstLine="420" w:firstLineChars="200"/>
              <w:rPr>
                <w:color w:val="auto"/>
                <w:sz w:val="21"/>
                <w:szCs w:val="21"/>
              </w:rPr>
            </w:pPr>
            <w:r>
              <w:rPr>
                <w:rFonts w:hint="eastAsia"/>
                <w:color w:val="auto"/>
                <w:sz w:val="21"/>
                <w:szCs w:val="21"/>
              </w:rPr>
              <w:t>迁建扩产</w:t>
            </w:r>
            <w:r>
              <w:rPr>
                <w:color w:val="auto"/>
                <w:sz w:val="21"/>
                <w:szCs w:val="21"/>
              </w:rPr>
              <w:t>项目污染物排放总量见表3-1</w:t>
            </w:r>
            <w:r>
              <w:rPr>
                <w:rFonts w:hint="eastAsia"/>
                <w:color w:val="auto"/>
                <w:sz w:val="21"/>
                <w:szCs w:val="21"/>
              </w:rPr>
              <w:t>0</w:t>
            </w:r>
            <w:r>
              <w:rPr>
                <w:color w:val="auto"/>
                <w:sz w:val="21"/>
                <w:szCs w:val="21"/>
              </w:rPr>
              <w:t>。</w:t>
            </w:r>
          </w:p>
          <w:p>
            <w:pPr>
              <w:snapToGrid w:val="0"/>
              <w:jc w:val="center"/>
              <w:rPr>
                <w:b/>
                <w:color w:val="auto"/>
                <w:sz w:val="24"/>
              </w:rPr>
            </w:pPr>
            <w:r>
              <w:rPr>
                <w:b/>
                <w:color w:val="auto"/>
                <w:szCs w:val="21"/>
              </w:rPr>
              <w:t>表3-1</w:t>
            </w:r>
            <w:r>
              <w:rPr>
                <w:rFonts w:hint="eastAsia"/>
                <w:b/>
                <w:color w:val="auto"/>
                <w:szCs w:val="21"/>
              </w:rPr>
              <w:t>0</w:t>
            </w:r>
            <w:r>
              <w:rPr>
                <w:b/>
                <w:color w:val="auto"/>
                <w:szCs w:val="21"/>
              </w:rPr>
              <w:t xml:space="preserve">  </w:t>
            </w:r>
            <w:r>
              <w:rPr>
                <w:rFonts w:hint="eastAsia"/>
                <w:b/>
                <w:color w:val="auto"/>
                <w:szCs w:val="21"/>
                <w:lang w:val="en-US" w:eastAsia="zh-CN"/>
              </w:rPr>
              <w:t>建设</w:t>
            </w:r>
            <w:r>
              <w:rPr>
                <w:b/>
                <w:color w:val="auto"/>
                <w:szCs w:val="21"/>
              </w:rPr>
              <w:t>项目污染物排放总量  （t/a）</w:t>
            </w:r>
          </w:p>
          <w:tbl>
            <w:tblPr>
              <w:tblStyle w:val="37"/>
              <w:tblW w:w="5001"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28" w:type="dxa"/>
                <w:bottom w:w="0" w:type="dxa"/>
                <w:right w:w="28" w:type="dxa"/>
              </w:tblCellMar>
            </w:tblPr>
            <w:tblGrid>
              <w:gridCol w:w="600"/>
              <w:gridCol w:w="1204"/>
              <w:gridCol w:w="1016"/>
              <w:gridCol w:w="848"/>
              <w:gridCol w:w="848"/>
              <w:gridCol w:w="850"/>
              <w:gridCol w:w="1018"/>
              <w:gridCol w:w="848"/>
              <w:gridCol w:w="1018"/>
              <w:gridCol w:w="110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restart"/>
                  <w:vAlign w:val="center"/>
                </w:tcPr>
                <w:p>
                  <w:pPr>
                    <w:adjustRightInd w:val="0"/>
                    <w:snapToGrid w:val="0"/>
                    <w:jc w:val="center"/>
                    <w:rPr>
                      <w:b/>
                      <w:bCs/>
                      <w:color w:val="auto"/>
                      <w:sz w:val="18"/>
                      <w:szCs w:val="18"/>
                    </w:rPr>
                  </w:pPr>
                  <w:r>
                    <w:rPr>
                      <w:b/>
                      <w:bCs/>
                      <w:color w:val="auto"/>
                      <w:sz w:val="18"/>
                      <w:szCs w:val="18"/>
                    </w:rPr>
                    <w:t>类别</w:t>
                  </w:r>
                </w:p>
              </w:tc>
              <w:tc>
                <w:tcPr>
                  <w:tcW w:w="643" w:type="pct"/>
                  <w:vMerge w:val="restart"/>
                  <w:vAlign w:val="center"/>
                </w:tcPr>
                <w:p>
                  <w:pPr>
                    <w:adjustRightInd w:val="0"/>
                    <w:snapToGrid w:val="0"/>
                    <w:jc w:val="center"/>
                    <w:rPr>
                      <w:b/>
                      <w:bCs/>
                      <w:color w:val="auto"/>
                      <w:sz w:val="18"/>
                      <w:szCs w:val="18"/>
                    </w:rPr>
                  </w:pPr>
                  <w:r>
                    <w:rPr>
                      <w:b/>
                      <w:bCs/>
                      <w:color w:val="auto"/>
                      <w:sz w:val="18"/>
                      <w:szCs w:val="18"/>
                    </w:rPr>
                    <w:t>污染物名称</w:t>
                  </w:r>
                </w:p>
              </w:tc>
              <w:tc>
                <w:tcPr>
                  <w:tcW w:w="543" w:type="pct"/>
                  <w:vMerge w:val="restart"/>
                  <w:vAlign w:val="center"/>
                </w:tcPr>
                <w:p>
                  <w:pPr>
                    <w:adjustRightInd w:val="0"/>
                    <w:snapToGrid w:val="0"/>
                    <w:jc w:val="center"/>
                    <w:rPr>
                      <w:b/>
                      <w:bCs/>
                      <w:color w:val="auto"/>
                      <w:sz w:val="18"/>
                      <w:szCs w:val="18"/>
                    </w:rPr>
                  </w:pPr>
                  <w:r>
                    <w:rPr>
                      <w:b/>
                      <w:bCs/>
                      <w:color w:val="auto"/>
                      <w:sz w:val="18"/>
                      <w:szCs w:val="18"/>
                    </w:rPr>
                    <w:t>现有项目排放量（t/a）</w:t>
                  </w:r>
                </w:p>
              </w:tc>
              <w:tc>
                <w:tcPr>
                  <w:tcW w:w="1360" w:type="pct"/>
                  <w:gridSpan w:val="3"/>
                  <w:vAlign w:val="center"/>
                </w:tcPr>
                <w:p>
                  <w:pPr>
                    <w:adjustRightInd w:val="0"/>
                    <w:snapToGrid w:val="0"/>
                    <w:jc w:val="center"/>
                    <w:rPr>
                      <w:b/>
                      <w:bCs/>
                      <w:color w:val="auto"/>
                      <w:sz w:val="18"/>
                      <w:szCs w:val="18"/>
                    </w:rPr>
                  </w:pPr>
                  <w:r>
                    <w:rPr>
                      <w:b/>
                      <w:bCs/>
                      <w:color w:val="auto"/>
                      <w:sz w:val="18"/>
                      <w:szCs w:val="18"/>
                    </w:rPr>
                    <w:t>本项目（t/a）</w:t>
                  </w:r>
                </w:p>
              </w:tc>
              <w:tc>
                <w:tcPr>
                  <w:tcW w:w="544" w:type="pct"/>
                  <w:vMerge w:val="restart"/>
                  <w:vAlign w:val="center"/>
                </w:tcPr>
                <w:p>
                  <w:pPr>
                    <w:adjustRightInd w:val="0"/>
                    <w:snapToGrid w:val="0"/>
                    <w:jc w:val="center"/>
                    <w:rPr>
                      <w:b/>
                      <w:bCs/>
                      <w:color w:val="auto"/>
                      <w:sz w:val="18"/>
                      <w:szCs w:val="18"/>
                    </w:rPr>
                  </w:pPr>
                  <w:r>
                    <w:rPr>
                      <w:b/>
                      <w:bCs/>
                      <w:color w:val="auto"/>
                      <w:sz w:val="18"/>
                      <w:szCs w:val="18"/>
                    </w:rPr>
                    <w:t>以新带老削减量（t/a）</w:t>
                  </w:r>
                </w:p>
              </w:tc>
              <w:tc>
                <w:tcPr>
                  <w:tcW w:w="453" w:type="pct"/>
                  <w:vMerge w:val="restart"/>
                  <w:vAlign w:val="center"/>
                </w:tcPr>
                <w:p>
                  <w:pPr>
                    <w:adjustRightInd w:val="0"/>
                    <w:snapToGrid w:val="0"/>
                    <w:jc w:val="center"/>
                    <w:rPr>
                      <w:b/>
                      <w:bCs/>
                      <w:color w:val="auto"/>
                      <w:sz w:val="18"/>
                      <w:szCs w:val="18"/>
                    </w:rPr>
                  </w:pPr>
                  <w:r>
                    <w:rPr>
                      <w:b/>
                      <w:bCs/>
                      <w:color w:val="auto"/>
                      <w:sz w:val="18"/>
                      <w:szCs w:val="18"/>
                    </w:rPr>
                    <w:t>排放增减量（t/a）</w:t>
                  </w:r>
                </w:p>
              </w:tc>
              <w:tc>
                <w:tcPr>
                  <w:tcW w:w="544" w:type="pct"/>
                  <w:vMerge w:val="restart"/>
                  <w:vAlign w:val="center"/>
                </w:tcPr>
                <w:p>
                  <w:pPr>
                    <w:adjustRightInd w:val="0"/>
                    <w:snapToGrid w:val="0"/>
                    <w:jc w:val="center"/>
                    <w:rPr>
                      <w:b/>
                      <w:bCs/>
                      <w:color w:val="auto"/>
                      <w:sz w:val="18"/>
                      <w:szCs w:val="18"/>
                    </w:rPr>
                  </w:pPr>
                  <w:r>
                    <w:rPr>
                      <w:b/>
                      <w:bCs/>
                      <w:color w:val="auto"/>
                      <w:sz w:val="18"/>
                      <w:szCs w:val="18"/>
                    </w:rPr>
                    <w:t>排放总量</w:t>
                  </w:r>
                  <w:r>
                    <w:rPr>
                      <w:color w:val="auto"/>
                      <w:sz w:val="18"/>
                      <w:vertAlign w:val="superscript"/>
                    </w:rPr>
                    <w:t>[1]</w:t>
                  </w:r>
                  <w:r>
                    <w:rPr>
                      <w:b/>
                      <w:bCs/>
                      <w:color w:val="auto"/>
                      <w:sz w:val="18"/>
                      <w:szCs w:val="18"/>
                    </w:rPr>
                    <w:t>（t/a）</w:t>
                  </w:r>
                </w:p>
              </w:tc>
              <w:tc>
                <w:tcPr>
                  <w:tcW w:w="591" w:type="pct"/>
                  <w:vMerge w:val="restart"/>
                  <w:tcBorders>
                    <w:right w:val="nil"/>
                  </w:tcBorders>
                  <w:vAlign w:val="center"/>
                </w:tcPr>
                <w:p>
                  <w:pPr>
                    <w:adjustRightInd w:val="0"/>
                    <w:snapToGrid w:val="0"/>
                    <w:jc w:val="center"/>
                    <w:rPr>
                      <w:b/>
                      <w:bCs/>
                      <w:color w:val="auto"/>
                      <w:sz w:val="18"/>
                      <w:szCs w:val="18"/>
                    </w:rPr>
                  </w:pPr>
                  <w:r>
                    <w:rPr>
                      <w:b/>
                      <w:bCs/>
                      <w:color w:val="auto"/>
                      <w:sz w:val="18"/>
                      <w:szCs w:val="18"/>
                    </w:rPr>
                    <w:t>最终排放量</w:t>
                  </w:r>
                  <w:r>
                    <w:rPr>
                      <w:color w:val="auto"/>
                      <w:sz w:val="18"/>
                      <w:vertAlign w:val="superscript"/>
                    </w:rPr>
                    <w:t>[</w:t>
                  </w:r>
                  <w:r>
                    <w:rPr>
                      <w:rFonts w:hint="eastAsia"/>
                      <w:color w:val="auto"/>
                      <w:sz w:val="18"/>
                      <w:vertAlign w:val="superscript"/>
                    </w:rPr>
                    <w:t>2</w:t>
                  </w:r>
                  <w:r>
                    <w:rPr>
                      <w:color w:val="auto"/>
                      <w:sz w:val="18"/>
                      <w:vertAlign w:val="superscript"/>
                    </w:rPr>
                    <w:t>]</w:t>
                  </w:r>
                  <w:r>
                    <w:rPr>
                      <w:b/>
                      <w:bCs/>
                      <w:color w:val="auto"/>
                      <w:sz w:val="18"/>
                      <w:szCs w:val="18"/>
                    </w:rPr>
                    <w:t>（t/a）</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tcBorders>
                    <w:bottom w:val="single" w:color="auto" w:sz="4" w:space="0"/>
                  </w:tcBorders>
                  <w:vAlign w:val="center"/>
                </w:tcPr>
                <w:p>
                  <w:pPr>
                    <w:adjustRightInd w:val="0"/>
                    <w:snapToGrid w:val="0"/>
                    <w:jc w:val="center"/>
                    <w:rPr>
                      <w:b/>
                      <w:bCs/>
                      <w:color w:val="auto"/>
                      <w:sz w:val="18"/>
                      <w:szCs w:val="18"/>
                    </w:rPr>
                  </w:pPr>
                </w:p>
              </w:tc>
              <w:tc>
                <w:tcPr>
                  <w:tcW w:w="643" w:type="pct"/>
                  <w:vMerge w:val="continue"/>
                  <w:vAlign w:val="center"/>
                </w:tcPr>
                <w:p>
                  <w:pPr>
                    <w:adjustRightInd w:val="0"/>
                    <w:snapToGrid w:val="0"/>
                    <w:jc w:val="center"/>
                    <w:rPr>
                      <w:b/>
                      <w:bCs/>
                      <w:color w:val="auto"/>
                      <w:sz w:val="18"/>
                      <w:szCs w:val="18"/>
                    </w:rPr>
                  </w:pPr>
                </w:p>
              </w:tc>
              <w:tc>
                <w:tcPr>
                  <w:tcW w:w="543" w:type="pct"/>
                  <w:vMerge w:val="continue"/>
                  <w:vAlign w:val="center"/>
                </w:tcPr>
                <w:p>
                  <w:pPr>
                    <w:adjustRightInd w:val="0"/>
                    <w:snapToGrid w:val="0"/>
                    <w:jc w:val="center"/>
                    <w:rPr>
                      <w:b/>
                      <w:bCs/>
                      <w:color w:val="auto"/>
                      <w:sz w:val="18"/>
                      <w:szCs w:val="18"/>
                    </w:rPr>
                  </w:pPr>
                </w:p>
              </w:tc>
              <w:tc>
                <w:tcPr>
                  <w:tcW w:w="453" w:type="pct"/>
                  <w:vAlign w:val="center"/>
                </w:tcPr>
                <w:p>
                  <w:pPr>
                    <w:adjustRightInd w:val="0"/>
                    <w:snapToGrid w:val="0"/>
                    <w:jc w:val="center"/>
                    <w:rPr>
                      <w:b/>
                      <w:bCs/>
                      <w:color w:val="auto"/>
                      <w:sz w:val="18"/>
                      <w:szCs w:val="18"/>
                    </w:rPr>
                  </w:pPr>
                  <w:r>
                    <w:rPr>
                      <w:b/>
                      <w:bCs/>
                      <w:color w:val="auto"/>
                      <w:sz w:val="18"/>
                      <w:szCs w:val="18"/>
                    </w:rPr>
                    <w:t>产生量</w:t>
                  </w:r>
                </w:p>
              </w:tc>
              <w:tc>
                <w:tcPr>
                  <w:tcW w:w="453" w:type="pct"/>
                  <w:vAlign w:val="center"/>
                </w:tcPr>
                <w:p>
                  <w:pPr>
                    <w:adjustRightInd w:val="0"/>
                    <w:snapToGrid w:val="0"/>
                    <w:jc w:val="center"/>
                    <w:rPr>
                      <w:b/>
                      <w:bCs/>
                      <w:color w:val="auto"/>
                      <w:sz w:val="18"/>
                      <w:szCs w:val="18"/>
                    </w:rPr>
                  </w:pPr>
                  <w:r>
                    <w:rPr>
                      <w:b/>
                      <w:bCs/>
                      <w:color w:val="auto"/>
                      <w:sz w:val="18"/>
                      <w:szCs w:val="18"/>
                    </w:rPr>
                    <w:t>削减量</w:t>
                  </w:r>
                </w:p>
              </w:tc>
              <w:tc>
                <w:tcPr>
                  <w:tcW w:w="453" w:type="pct"/>
                  <w:vAlign w:val="center"/>
                </w:tcPr>
                <w:p>
                  <w:pPr>
                    <w:adjustRightInd w:val="0"/>
                    <w:snapToGrid w:val="0"/>
                    <w:jc w:val="center"/>
                    <w:rPr>
                      <w:b/>
                      <w:bCs/>
                      <w:color w:val="auto"/>
                      <w:sz w:val="18"/>
                      <w:szCs w:val="18"/>
                    </w:rPr>
                  </w:pPr>
                  <w:r>
                    <w:rPr>
                      <w:b/>
                      <w:bCs/>
                      <w:color w:val="auto"/>
                      <w:sz w:val="18"/>
                      <w:szCs w:val="18"/>
                    </w:rPr>
                    <w:t>排放量</w:t>
                  </w:r>
                </w:p>
              </w:tc>
              <w:tc>
                <w:tcPr>
                  <w:tcW w:w="544" w:type="pct"/>
                  <w:vMerge w:val="continue"/>
                  <w:vAlign w:val="center"/>
                </w:tcPr>
                <w:p>
                  <w:pPr>
                    <w:adjustRightInd w:val="0"/>
                    <w:snapToGrid w:val="0"/>
                    <w:jc w:val="center"/>
                    <w:rPr>
                      <w:b/>
                      <w:bCs/>
                      <w:color w:val="auto"/>
                      <w:sz w:val="18"/>
                      <w:szCs w:val="18"/>
                    </w:rPr>
                  </w:pPr>
                </w:p>
              </w:tc>
              <w:tc>
                <w:tcPr>
                  <w:tcW w:w="453" w:type="pct"/>
                  <w:vMerge w:val="continue"/>
                  <w:vAlign w:val="center"/>
                </w:tcPr>
                <w:p>
                  <w:pPr>
                    <w:adjustRightInd w:val="0"/>
                    <w:snapToGrid w:val="0"/>
                    <w:jc w:val="center"/>
                    <w:rPr>
                      <w:b/>
                      <w:bCs/>
                      <w:color w:val="auto"/>
                      <w:sz w:val="18"/>
                      <w:szCs w:val="18"/>
                    </w:rPr>
                  </w:pPr>
                </w:p>
              </w:tc>
              <w:tc>
                <w:tcPr>
                  <w:tcW w:w="544" w:type="pct"/>
                  <w:vMerge w:val="continue"/>
                  <w:vAlign w:val="center"/>
                </w:tcPr>
                <w:p>
                  <w:pPr>
                    <w:adjustRightInd w:val="0"/>
                    <w:snapToGrid w:val="0"/>
                    <w:jc w:val="center"/>
                    <w:rPr>
                      <w:b/>
                      <w:bCs/>
                      <w:color w:val="auto"/>
                      <w:sz w:val="18"/>
                      <w:szCs w:val="18"/>
                    </w:rPr>
                  </w:pPr>
                </w:p>
              </w:tc>
              <w:tc>
                <w:tcPr>
                  <w:tcW w:w="591" w:type="pct"/>
                  <w:vMerge w:val="continue"/>
                  <w:tcBorders>
                    <w:right w:val="nil"/>
                  </w:tcBorders>
                  <w:vAlign w:val="center"/>
                </w:tcPr>
                <w:p>
                  <w:pPr>
                    <w:adjustRightInd w:val="0"/>
                    <w:snapToGrid w:val="0"/>
                    <w:jc w:val="center"/>
                    <w:rPr>
                      <w:b/>
                      <w:bCs/>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restart"/>
                  <w:vAlign w:val="center"/>
                </w:tcPr>
                <w:p>
                  <w:pPr>
                    <w:adjustRightInd w:val="0"/>
                    <w:snapToGrid w:val="0"/>
                    <w:jc w:val="center"/>
                    <w:rPr>
                      <w:color w:val="auto"/>
                      <w:sz w:val="18"/>
                      <w:szCs w:val="18"/>
                    </w:rPr>
                  </w:pPr>
                  <w:r>
                    <w:rPr>
                      <w:color w:val="auto"/>
                      <w:sz w:val="18"/>
                      <w:szCs w:val="18"/>
                    </w:rPr>
                    <w:t>废气</w:t>
                  </w:r>
                </w:p>
                <w:p>
                  <w:pPr>
                    <w:adjustRightInd w:val="0"/>
                    <w:snapToGrid w:val="0"/>
                    <w:jc w:val="center"/>
                    <w:rPr>
                      <w:color w:val="auto"/>
                      <w:sz w:val="18"/>
                      <w:szCs w:val="18"/>
                    </w:rPr>
                  </w:pPr>
                  <w:r>
                    <w:rPr>
                      <w:rFonts w:hint="eastAsia"/>
                      <w:color w:val="auto"/>
                      <w:sz w:val="18"/>
                      <w:szCs w:val="18"/>
                    </w:rPr>
                    <w:t>（有组织）</w:t>
                  </w:r>
                </w:p>
              </w:tc>
              <w:tc>
                <w:tcPr>
                  <w:tcW w:w="1204" w:type="dxa"/>
                  <w:vAlign w:val="center"/>
                </w:tcPr>
                <w:p>
                  <w:pPr>
                    <w:widowControl/>
                    <w:jc w:val="center"/>
                    <w:rPr>
                      <w:color w:val="auto"/>
                      <w:sz w:val="18"/>
                      <w:szCs w:val="18"/>
                    </w:rPr>
                  </w:pPr>
                  <w:r>
                    <w:rPr>
                      <w:rFonts w:hint="eastAsia"/>
                      <w:color w:val="auto"/>
                      <w:sz w:val="18"/>
                      <w:szCs w:val="18"/>
                    </w:rPr>
                    <w:t>非甲烷总烃</w:t>
                  </w:r>
                </w:p>
              </w:tc>
              <w:tc>
                <w:tcPr>
                  <w:tcW w:w="1016"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0.0016</w:t>
                  </w:r>
                </w:p>
              </w:tc>
              <w:tc>
                <w:tcPr>
                  <w:tcW w:w="848" w:type="dxa"/>
                  <w:vAlign w:val="center"/>
                </w:tcPr>
                <w:p>
                  <w:pPr>
                    <w:widowControl/>
                    <w:jc w:val="center"/>
                    <w:textAlignment w:val="center"/>
                    <w:rPr>
                      <w:rFonts w:hint="default" w:eastAsia="宋体"/>
                      <w:color w:val="auto"/>
                      <w:kern w:val="0"/>
                      <w:sz w:val="18"/>
                      <w:szCs w:val="18"/>
                      <w:lang w:val="en-US" w:eastAsia="zh-CN" w:bidi="ar"/>
                    </w:rPr>
                  </w:pPr>
                  <w:r>
                    <w:rPr>
                      <w:color w:val="auto"/>
                      <w:kern w:val="0"/>
                      <w:sz w:val="18"/>
                      <w:szCs w:val="18"/>
                      <w:lang w:bidi="ar"/>
                    </w:rPr>
                    <w:t>0.0</w:t>
                  </w:r>
                  <w:r>
                    <w:rPr>
                      <w:rFonts w:hint="eastAsia"/>
                      <w:color w:val="auto"/>
                      <w:kern w:val="0"/>
                      <w:sz w:val="18"/>
                      <w:szCs w:val="18"/>
                      <w:lang w:val="en-US" w:eastAsia="zh-CN" w:bidi="ar"/>
                    </w:rPr>
                    <w:t>531</w:t>
                  </w:r>
                </w:p>
              </w:tc>
              <w:tc>
                <w:tcPr>
                  <w:tcW w:w="848" w:type="dxa"/>
                  <w:vAlign w:val="center"/>
                </w:tcPr>
                <w:p>
                  <w:pPr>
                    <w:widowControl/>
                    <w:jc w:val="center"/>
                    <w:textAlignment w:val="center"/>
                    <w:rPr>
                      <w:color w:val="auto"/>
                      <w:kern w:val="0"/>
                      <w:sz w:val="18"/>
                      <w:szCs w:val="18"/>
                      <w:lang w:bidi="ar"/>
                    </w:rPr>
                  </w:pPr>
                  <w:r>
                    <w:rPr>
                      <w:color w:val="auto"/>
                      <w:kern w:val="0"/>
                      <w:sz w:val="18"/>
                      <w:szCs w:val="18"/>
                      <w:lang w:bidi="ar"/>
                    </w:rPr>
                    <w:t>0.0</w:t>
                  </w:r>
                  <w:r>
                    <w:rPr>
                      <w:rFonts w:hint="eastAsia"/>
                      <w:color w:val="auto"/>
                      <w:kern w:val="0"/>
                      <w:sz w:val="18"/>
                      <w:szCs w:val="18"/>
                      <w:lang w:val="en-US" w:eastAsia="zh-CN" w:bidi="ar"/>
                    </w:rPr>
                    <w:t>45</w:t>
                  </w:r>
                  <w:r>
                    <w:rPr>
                      <w:color w:val="auto"/>
                      <w:kern w:val="0"/>
                      <w:sz w:val="18"/>
                      <w:szCs w:val="18"/>
                      <w:lang w:bidi="ar"/>
                    </w:rPr>
                    <w:t>6</w:t>
                  </w:r>
                </w:p>
              </w:tc>
              <w:tc>
                <w:tcPr>
                  <w:tcW w:w="850" w:type="dxa"/>
                  <w:vAlign w:val="center"/>
                </w:tcPr>
                <w:p>
                  <w:pPr>
                    <w:widowControl/>
                    <w:jc w:val="center"/>
                    <w:textAlignment w:val="center"/>
                    <w:rPr>
                      <w:color w:val="auto"/>
                      <w:kern w:val="0"/>
                      <w:sz w:val="18"/>
                      <w:szCs w:val="18"/>
                      <w:lang w:bidi="ar"/>
                    </w:rPr>
                  </w:pPr>
                  <w:r>
                    <w:rPr>
                      <w:color w:val="auto"/>
                      <w:kern w:val="0"/>
                      <w:sz w:val="18"/>
                      <w:szCs w:val="18"/>
                      <w:lang w:bidi="ar"/>
                    </w:rPr>
                    <w:t>0.0075</w:t>
                  </w:r>
                </w:p>
              </w:tc>
              <w:tc>
                <w:tcPr>
                  <w:tcW w:w="101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0.0016</w:t>
                  </w:r>
                </w:p>
              </w:tc>
              <w:tc>
                <w:tcPr>
                  <w:tcW w:w="848" w:type="dxa"/>
                  <w:vAlign w:val="center"/>
                </w:tcPr>
                <w:p>
                  <w:pPr>
                    <w:jc w:val="center"/>
                    <w:rPr>
                      <w:color w:val="auto"/>
                      <w:sz w:val="18"/>
                      <w:szCs w:val="18"/>
                    </w:rPr>
                  </w:pPr>
                  <w:r>
                    <w:rPr>
                      <w:rFonts w:hint="eastAsia"/>
                      <w:color w:val="auto"/>
                      <w:sz w:val="18"/>
                      <w:szCs w:val="18"/>
                    </w:rPr>
                    <w:t>0.0059</w:t>
                  </w:r>
                </w:p>
              </w:tc>
              <w:tc>
                <w:tcPr>
                  <w:tcW w:w="1018" w:type="dxa"/>
                  <w:vAlign w:val="center"/>
                </w:tcPr>
                <w:p>
                  <w:pPr>
                    <w:widowControl/>
                    <w:jc w:val="center"/>
                    <w:textAlignment w:val="center"/>
                    <w:rPr>
                      <w:color w:val="auto"/>
                      <w:kern w:val="0"/>
                      <w:sz w:val="18"/>
                      <w:szCs w:val="18"/>
                      <w:lang w:bidi="ar"/>
                    </w:rPr>
                  </w:pPr>
                  <w:r>
                    <w:rPr>
                      <w:color w:val="auto"/>
                      <w:kern w:val="0"/>
                      <w:sz w:val="18"/>
                      <w:szCs w:val="18"/>
                      <w:lang w:bidi="ar"/>
                    </w:rPr>
                    <w:t>0.0075</w:t>
                  </w:r>
                </w:p>
              </w:tc>
              <w:tc>
                <w:tcPr>
                  <w:tcW w:w="1107" w:type="dxa"/>
                  <w:tcBorders>
                    <w:right w:val="nil"/>
                  </w:tcBorders>
                  <w:vAlign w:val="center"/>
                </w:tcPr>
                <w:p>
                  <w:pPr>
                    <w:widowControl/>
                    <w:jc w:val="center"/>
                    <w:textAlignment w:val="center"/>
                    <w:rPr>
                      <w:color w:val="auto"/>
                      <w:kern w:val="0"/>
                      <w:sz w:val="18"/>
                      <w:szCs w:val="18"/>
                      <w:lang w:bidi="ar"/>
                    </w:rPr>
                  </w:pPr>
                  <w:r>
                    <w:rPr>
                      <w:color w:val="auto"/>
                      <w:kern w:val="0"/>
                      <w:sz w:val="18"/>
                      <w:szCs w:val="18"/>
                      <w:lang w:bidi="ar"/>
                    </w:rPr>
                    <w:t>0.0075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1204" w:type="dxa"/>
                  <w:vAlign w:val="center"/>
                </w:tcPr>
                <w:p>
                  <w:pPr>
                    <w:widowControl/>
                    <w:jc w:val="center"/>
                    <w:rPr>
                      <w:color w:val="auto"/>
                      <w:sz w:val="18"/>
                      <w:szCs w:val="18"/>
                    </w:rPr>
                  </w:pPr>
                  <w:r>
                    <w:rPr>
                      <w:rFonts w:hint="eastAsia"/>
                      <w:color w:val="auto"/>
                      <w:sz w:val="18"/>
                      <w:szCs w:val="18"/>
                    </w:rPr>
                    <w:t>颗粒物</w:t>
                  </w:r>
                </w:p>
              </w:tc>
              <w:tc>
                <w:tcPr>
                  <w:tcW w:w="1016"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widowControl/>
                    <w:jc w:val="center"/>
                    <w:textAlignment w:val="center"/>
                    <w:rPr>
                      <w:color w:val="auto"/>
                      <w:kern w:val="0"/>
                      <w:sz w:val="18"/>
                      <w:szCs w:val="18"/>
                      <w:lang w:bidi="ar"/>
                    </w:rPr>
                  </w:pPr>
                  <w:r>
                    <w:rPr>
                      <w:color w:val="auto"/>
                      <w:kern w:val="0"/>
                      <w:sz w:val="18"/>
                      <w:szCs w:val="18"/>
                      <w:lang w:bidi="ar"/>
                    </w:rPr>
                    <w:t>0.0747</w:t>
                  </w:r>
                </w:p>
              </w:tc>
              <w:tc>
                <w:tcPr>
                  <w:tcW w:w="848" w:type="dxa"/>
                  <w:vAlign w:val="center"/>
                </w:tcPr>
                <w:p>
                  <w:pPr>
                    <w:widowControl/>
                    <w:jc w:val="center"/>
                    <w:textAlignment w:val="center"/>
                    <w:rPr>
                      <w:color w:val="auto"/>
                      <w:kern w:val="0"/>
                      <w:sz w:val="18"/>
                      <w:szCs w:val="18"/>
                      <w:lang w:bidi="ar"/>
                    </w:rPr>
                  </w:pPr>
                  <w:r>
                    <w:rPr>
                      <w:color w:val="auto"/>
                      <w:kern w:val="0"/>
                      <w:sz w:val="18"/>
                      <w:szCs w:val="18"/>
                      <w:lang w:bidi="ar"/>
                    </w:rPr>
                    <w:t>0.074</w:t>
                  </w:r>
                </w:p>
              </w:tc>
              <w:tc>
                <w:tcPr>
                  <w:tcW w:w="850" w:type="dxa"/>
                  <w:vAlign w:val="center"/>
                </w:tcPr>
                <w:p>
                  <w:pPr>
                    <w:widowControl/>
                    <w:jc w:val="center"/>
                    <w:textAlignment w:val="center"/>
                    <w:rPr>
                      <w:color w:val="auto"/>
                      <w:kern w:val="0"/>
                      <w:sz w:val="18"/>
                      <w:szCs w:val="18"/>
                      <w:lang w:bidi="ar"/>
                    </w:rPr>
                  </w:pPr>
                  <w:r>
                    <w:rPr>
                      <w:color w:val="auto"/>
                      <w:kern w:val="0"/>
                      <w:sz w:val="18"/>
                      <w:szCs w:val="18"/>
                      <w:lang w:bidi="ar"/>
                    </w:rPr>
                    <w:t>0.0007</w:t>
                  </w:r>
                </w:p>
              </w:tc>
              <w:tc>
                <w:tcPr>
                  <w:tcW w:w="101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jc w:val="center"/>
                    <w:rPr>
                      <w:color w:val="auto"/>
                      <w:sz w:val="18"/>
                      <w:szCs w:val="18"/>
                    </w:rPr>
                  </w:pPr>
                  <w:r>
                    <w:rPr>
                      <w:rFonts w:hint="eastAsia"/>
                      <w:color w:val="auto"/>
                      <w:sz w:val="18"/>
                      <w:szCs w:val="18"/>
                    </w:rPr>
                    <w:t>0.0007</w:t>
                  </w:r>
                </w:p>
              </w:tc>
              <w:tc>
                <w:tcPr>
                  <w:tcW w:w="1018" w:type="dxa"/>
                  <w:vAlign w:val="center"/>
                </w:tcPr>
                <w:p>
                  <w:pPr>
                    <w:widowControl/>
                    <w:jc w:val="center"/>
                    <w:textAlignment w:val="center"/>
                    <w:rPr>
                      <w:color w:val="auto"/>
                      <w:kern w:val="0"/>
                      <w:sz w:val="18"/>
                      <w:szCs w:val="18"/>
                      <w:lang w:bidi="ar"/>
                    </w:rPr>
                  </w:pPr>
                  <w:r>
                    <w:rPr>
                      <w:color w:val="auto"/>
                      <w:kern w:val="0"/>
                      <w:sz w:val="18"/>
                      <w:szCs w:val="18"/>
                      <w:lang w:bidi="ar"/>
                    </w:rPr>
                    <w:t>0.0007</w:t>
                  </w:r>
                </w:p>
              </w:tc>
              <w:tc>
                <w:tcPr>
                  <w:tcW w:w="1107" w:type="dxa"/>
                  <w:tcBorders>
                    <w:right w:val="nil"/>
                  </w:tcBorders>
                  <w:vAlign w:val="center"/>
                </w:tcPr>
                <w:p>
                  <w:pPr>
                    <w:widowControl/>
                    <w:jc w:val="center"/>
                    <w:textAlignment w:val="center"/>
                    <w:rPr>
                      <w:color w:val="auto"/>
                      <w:kern w:val="0"/>
                      <w:sz w:val="18"/>
                      <w:szCs w:val="18"/>
                      <w:lang w:bidi="ar"/>
                    </w:rPr>
                  </w:pPr>
                  <w:r>
                    <w:rPr>
                      <w:color w:val="auto"/>
                      <w:kern w:val="0"/>
                      <w:sz w:val="18"/>
                      <w:szCs w:val="18"/>
                      <w:lang w:bidi="ar"/>
                    </w:rPr>
                    <w:t>0.0007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1204" w:type="dxa"/>
                  <w:vAlign w:val="center"/>
                </w:tcPr>
                <w:p>
                  <w:pPr>
                    <w:widowControl/>
                    <w:jc w:val="center"/>
                    <w:rPr>
                      <w:color w:val="auto"/>
                      <w:sz w:val="18"/>
                      <w:szCs w:val="18"/>
                    </w:rPr>
                  </w:pPr>
                  <w:r>
                    <w:rPr>
                      <w:rFonts w:hint="eastAsia"/>
                      <w:color w:val="auto"/>
                      <w:sz w:val="18"/>
                      <w:szCs w:val="18"/>
                    </w:rPr>
                    <w:t>CS</w:t>
                  </w:r>
                  <w:r>
                    <w:rPr>
                      <w:rFonts w:hint="eastAsia"/>
                      <w:color w:val="auto"/>
                      <w:sz w:val="18"/>
                      <w:szCs w:val="18"/>
                      <w:vertAlign w:val="subscript"/>
                    </w:rPr>
                    <w:t>2</w:t>
                  </w:r>
                </w:p>
              </w:tc>
              <w:tc>
                <w:tcPr>
                  <w:tcW w:w="1016"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jc w:val="center"/>
                    <w:rPr>
                      <w:color w:val="auto"/>
                      <w:kern w:val="0"/>
                      <w:sz w:val="18"/>
                      <w:szCs w:val="18"/>
                      <w:lang w:bidi="ar"/>
                    </w:rPr>
                  </w:pPr>
                  <w:r>
                    <w:rPr>
                      <w:rFonts w:hint="eastAsia"/>
                      <w:color w:val="auto"/>
                      <w:sz w:val="18"/>
                      <w:szCs w:val="18"/>
                    </w:rPr>
                    <w:t>0.00027</w:t>
                  </w:r>
                </w:p>
              </w:tc>
              <w:tc>
                <w:tcPr>
                  <w:tcW w:w="848" w:type="dxa"/>
                  <w:vAlign w:val="center"/>
                </w:tcPr>
                <w:p>
                  <w:pPr>
                    <w:widowControl/>
                    <w:jc w:val="center"/>
                    <w:textAlignment w:val="center"/>
                    <w:rPr>
                      <w:color w:val="auto"/>
                      <w:kern w:val="0"/>
                      <w:sz w:val="18"/>
                      <w:szCs w:val="18"/>
                      <w:lang w:bidi="ar"/>
                    </w:rPr>
                  </w:pPr>
                  <w:r>
                    <w:rPr>
                      <w:color w:val="auto"/>
                      <w:kern w:val="0"/>
                      <w:sz w:val="18"/>
                      <w:szCs w:val="18"/>
                      <w:lang w:bidi="ar"/>
                    </w:rPr>
                    <w:t>0.00024</w:t>
                  </w:r>
                </w:p>
              </w:tc>
              <w:tc>
                <w:tcPr>
                  <w:tcW w:w="850" w:type="dxa"/>
                  <w:vAlign w:val="center"/>
                </w:tcPr>
                <w:p>
                  <w:pPr>
                    <w:jc w:val="center"/>
                    <w:rPr>
                      <w:color w:val="auto"/>
                      <w:kern w:val="0"/>
                      <w:sz w:val="18"/>
                      <w:szCs w:val="18"/>
                      <w:lang w:bidi="ar"/>
                    </w:rPr>
                  </w:pPr>
                  <w:r>
                    <w:rPr>
                      <w:rFonts w:hint="eastAsia"/>
                      <w:color w:val="auto"/>
                      <w:sz w:val="18"/>
                      <w:szCs w:val="18"/>
                    </w:rPr>
                    <w:t>0.00003</w:t>
                  </w:r>
                </w:p>
              </w:tc>
              <w:tc>
                <w:tcPr>
                  <w:tcW w:w="101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jc w:val="center"/>
                    <w:rPr>
                      <w:color w:val="auto"/>
                      <w:sz w:val="18"/>
                      <w:szCs w:val="18"/>
                    </w:rPr>
                  </w:pPr>
                  <w:r>
                    <w:rPr>
                      <w:rFonts w:hint="eastAsia"/>
                      <w:color w:val="auto"/>
                      <w:sz w:val="18"/>
                      <w:szCs w:val="18"/>
                    </w:rPr>
                    <w:t>0.00003</w:t>
                  </w:r>
                </w:p>
              </w:tc>
              <w:tc>
                <w:tcPr>
                  <w:tcW w:w="1018" w:type="dxa"/>
                  <w:vAlign w:val="center"/>
                </w:tcPr>
                <w:p>
                  <w:pPr>
                    <w:jc w:val="center"/>
                    <w:rPr>
                      <w:color w:val="auto"/>
                      <w:kern w:val="0"/>
                      <w:sz w:val="18"/>
                      <w:szCs w:val="18"/>
                      <w:lang w:bidi="ar"/>
                    </w:rPr>
                  </w:pPr>
                  <w:r>
                    <w:rPr>
                      <w:rFonts w:hint="eastAsia"/>
                      <w:color w:val="auto"/>
                      <w:sz w:val="18"/>
                      <w:szCs w:val="18"/>
                    </w:rPr>
                    <w:t>0.00003</w:t>
                  </w:r>
                </w:p>
              </w:tc>
              <w:tc>
                <w:tcPr>
                  <w:tcW w:w="1107" w:type="dxa"/>
                  <w:tcBorders>
                    <w:right w:val="nil"/>
                  </w:tcBorders>
                  <w:vAlign w:val="center"/>
                </w:tcPr>
                <w:p>
                  <w:pPr>
                    <w:jc w:val="center"/>
                    <w:rPr>
                      <w:color w:val="auto"/>
                      <w:kern w:val="0"/>
                      <w:sz w:val="18"/>
                      <w:szCs w:val="18"/>
                      <w:lang w:bidi="ar"/>
                    </w:rPr>
                  </w:pPr>
                  <w:r>
                    <w:rPr>
                      <w:rFonts w:hint="eastAsia"/>
                      <w:color w:val="auto"/>
                      <w:sz w:val="18"/>
                      <w:szCs w:val="18"/>
                    </w:rPr>
                    <w:t>0.00003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1204" w:type="dxa"/>
                  <w:vAlign w:val="center"/>
                </w:tcPr>
                <w:p>
                  <w:pPr>
                    <w:jc w:val="center"/>
                    <w:rPr>
                      <w:color w:val="auto"/>
                      <w:sz w:val="18"/>
                      <w:szCs w:val="18"/>
                    </w:rPr>
                  </w:pPr>
                  <w:r>
                    <w:rPr>
                      <w:rFonts w:hint="eastAsia"/>
                      <w:color w:val="auto"/>
                      <w:sz w:val="18"/>
                      <w:szCs w:val="18"/>
                    </w:rPr>
                    <w:t>硫化氢</w:t>
                  </w:r>
                </w:p>
              </w:tc>
              <w:tc>
                <w:tcPr>
                  <w:tcW w:w="1016"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0.0002</w:t>
                  </w:r>
                </w:p>
              </w:tc>
              <w:tc>
                <w:tcPr>
                  <w:tcW w:w="848" w:type="dxa"/>
                  <w:vAlign w:val="center"/>
                </w:tcPr>
                <w:p>
                  <w:pPr>
                    <w:jc w:val="center"/>
                    <w:rPr>
                      <w:color w:val="auto"/>
                      <w:kern w:val="0"/>
                      <w:sz w:val="18"/>
                      <w:szCs w:val="18"/>
                      <w:lang w:bidi="ar"/>
                    </w:rPr>
                  </w:pPr>
                  <w:r>
                    <w:rPr>
                      <w:rFonts w:hint="eastAsia"/>
                      <w:color w:val="auto"/>
                      <w:sz w:val="18"/>
                      <w:szCs w:val="18"/>
                    </w:rPr>
                    <w:t>0.0027</w:t>
                  </w:r>
                </w:p>
              </w:tc>
              <w:tc>
                <w:tcPr>
                  <w:tcW w:w="848" w:type="dxa"/>
                  <w:vAlign w:val="center"/>
                </w:tcPr>
                <w:p>
                  <w:pPr>
                    <w:widowControl/>
                    <w:jc w:val="center"/>
                    <w:textAlignment w:val="center"/>
                    <w:rPr>
                      <w:color w:val="auto"/>
                      <w:kern w:val="0"/>
                      <w:sz w:val="18"/>
                      <w:szCs w:val="18"/>
                      <w:lang w:bidi="ar"/>
                    </w:rPr>
                  </w:pPr>
                  <w:r>
                    <w:rPr>
                      <w:color w:val="auto"/>
                      <w:kern w:val="0"/>
                      <w:sz w:val="18"/>
                      <w:szCs w:val="18"/>
                      <w:lang w:bidi="ar"/>
                    </w:rPr>
                    <w:t>0.0024</w:t>
                  </w:r>
                </w:p>
              </w:tc>
              <w:tc>
                <w:tcPr>
                  <w:tcW w:w="850" w:type="dxa"/>
                  <w:vAlign w:val="center"/>
                </w:tcPr>
                <w:p>
                  <w:pPr>
                    <w:jc w:val="center"/>
                    <w:rPr>
                      <w:color w:val="auto"/>
                      <w:kern w:val="0"/>
                      <w:sz w:val="18"/>
                      <w:szCs w:val="18"/>
                      <w:lang w:bidi="ar"/>
                    </w:rPr>
                  </w:pPr>
                  <w:r>
                    <w:rPr>
                      <w:rFonts w:hint="eastAsia"/>
                      <w:color w:val="auto"/>
                      <w:sz w:val="18"/>
                      <w:szCs w:val="18"/>
                    </w:rPr>
                    <w:t>0.0003</w:t>
                  </w:r>
                </w:p>
              </w:tc>
              <w:tc>
                <w:tcPr>
                  <w:tcW w:w="101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0.0002</w:t>
                  </w:r>
                </w:p>
              </w:tc>
              <w:tc>
                <w:tcPr>
                  <w:tcW w:w="848" w:type="dxa"/>
                  <w:vAlign w:val="center"/>
                </w:tcPr>
                <w:p>
                  <w:pPr>
                    <w:jc w:val="center"/>
                    <w:rPr>
                      <w:color w:val="auto"/>
                      <w:sz w:val="18"/>
                      <w:szCs w:val="18"/>
                    </w:rPr>
                  </w:pPr>
                  <w:r>
                    <w:rPr>
                      <w:rFonts w:hint="eastAsia"/>
                      <w:color w:val="auto"/>
                      <w:sz w:val="18"/>
                      <w:szCs w:val="18"/>
                    </w:rPr>
                    <w:t>0.0001</w:t>
                  </w:r>
                </w:p>
              </w:tc>
              <w:tc>
                <w:tcPr>
                  <w:tcW w:w="1018" w:type="dxa"/>
                  <w:vAlign w:val="center"/>
                </w:tcPr>
                <w:p>
                  <w:pPr>
                    <w:jc w:val="center"/>
                    <w:rPr>
                      <w:color w:val="auto"/>
                      <w:kern w:val="0"/>
                      <w:sz w:val="18"/>
                      <w:szCs w:val="18"/>
                      <w:lang w:bidi="ar"/>
                    </w:rPr>
                  </w:pPr>
                  <w:r>
                    <w:rPr>
                      <w:rFonts w:hint="eastAsia"/>
                      <w:color w:val="auto"/>
                      <w:sz w:val="18"/>
                      <w:szCs w:val="18"/>
                    </w:rPr>
                    <w:t>0.0003</w:t>
                  </w:r>
                </w:p>
              </w:tc>
              <w:tc>
                <w:tcPr>
                  <w:tcW w:w="1107" w:type="dxa"/>
                  <w:tcBorders>
                    <w:right w:val="nil"/>
                  </w:tcBorders>
                  <w:vAlign w:val="center"/>
                </w:tcPr>
                <w:p>
                  <w:pPr>
                    <w:jc w:val="center"/>
                    <w:rPr>
                      <w:color w:val="auto"/>
                      <w:kern w:val="0"/>
                      <w:sz w:val="18"/>
                      <w:szCs w:val="18"/>
                      <w:lang w:bidi="ar"/>
                    </w:rPr>
                  </w:pPr>
                  <w:r>
                    <w:rPr>
                      <w:rFonts w:hint="eastAsia"/>
                      <w:color w:val="auto"/>
                      <w:sz w:val="18"/>
                      <w:szCs w:val="18"/>
                    </w:rPr>
                    <w:t>0.0003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restart"/>
                  <w:vAlign w:val="center"/>
                </w:tcPr>
                <w:p>
                  <w:pPr>
                    <w:adjustRightInd w:val="0"/>
                    <w:snapToGrid w:val="0"/>
                    <w:jc w:val="center"/>
                    <w:rPr>
                      <w:color w:val="auto"/>
                      <w:sz w:val="18"/>
                      <w:szCs w:val="18"/>
                    </w:rPr>
                  </w:pPr>
                  <w:r>
                    <w:rPr>
                      <w:color w:val="auto"/>
                      <w:sz w:val="18"/>
                      <w:szCs w:val="18"/>
                    </w:rPr>
                    <w:t>废气</w:t>
                  </w:r>
                </w:p>
                <w:p>
                  <w:pPr>
                    <w:adjustRightInd w:val="0"/>
                    <w:snapToGrid w:val="0"/>
                    <w:jc w:val="center"/>
                    <w:rPr>
                      <w:color w:val="auto"/>
                      <w:sz w:val="18"/>
                      <w:szCs w:val="18"/>
                    </w:rPr>
                  </w:pPr>
                  <w:r>
                    <w:rPr>
                      <w:rFonts w:hint="eastAsia"/>
                      <w:color w:val="auto"/>
                      <w:sz w:val="18"/>
                      <w:szCs w:val="18"/>
                    </w:rPr>
                    <w:t>（无组织）</w:t>
                  </w:r>
                </w:p>
              </w:tc>
              <w:tc>
                <w:tcPr>
                  <w:tcW w:w="1203" w:type="dxa"/>
                  <w:vAlign w:val="center"/>
                </w:tcPr>
                <w:p>
                  <w:pPr>
                    <w:widowControl/>
                    <w:jc w:val="center"/>
                    <w:rPr>
                      <w:color w:val="auto"/>
                      <w:sz w:val="18"/>
                      <w:szCs w:val="18"/>
                    </w:rPr>
                  </w:pPr>
                  <w:r>
                    <w:rPr>
                      <w:rFonts w:hint="eastAsia"/>
                      <w:color w:val="auto"/>
                      <w:sz w:val="18"/>
                      <w:szCs w:val="18"/>
                    </w:rPr>
                    <w:t>非甲烷总烃</w:t>
                  </w:r>
                </w:p>
              </w:tc>
              <w:tc>
                <w:tcPr>
                  <w:tcW w:w="1016"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0.004</w:t>
                  </w:r>
                </w:p>
              </w:tc>
              <w:tc>
                <w:tcPr>
                  <w:tcW w:w="848" w:type="dxa"/>
                  <w:vAlign w:val="center"/>
                </w:tcPr>
                <w:p>
                  <w:pPr>
                    <w:widowControl/>
                    <w:jc w:val="center"/>
                    <w:textAlignment w:val="center"/>
                    <w:rPr>
                      <w:color w:val="auto"/>
                      <w:sz w:val="18"/>
                      <w:szCs w:val="18"/>
                      <w:lang w:bidi="ar"/>
                    </w:rPr>
                  </w:pPr>
                  <w:r>
                    <w:rPr>
                      <w:color w:val="auto"/>
                      <w:kern w:val="0"/>
                      <w:sz w:val="18"/>
                      <w:szCs w:val="18"/>
                    </w:rPr>
                    <w:t>0.0083</w:t>
                  </w:r>
                </w:p>
              </w:tc>
              <w:tc>
                <w:tcPr>
                  <w:tcW w:w="848" w:type="dxa"/>
                  <w:vAlign w:val="center"/>
                </w:tcPr>
                <w:p>
                  <w:pPr>
                    <w:widowControl/>
                    <w:jc w:val="center"/>
                    <w:textAlignment w:val="center"/>
                    <w:rPr>
                      <w:color w:val="auto"/>
                      <w:kern w:val="0"/>
                      <w:sz w:val="18"/>
                      <w:szCs w:val="18"/>
                      <w:lang w:bidi="ar"/>
                    </w:rPr>
                  </w:pPr>
                  <w:r>
                    <w:rPr>
                      <w:color w:val="auto"/>
                      <w:kern w:val="0"/>
                      <w:sz w:val="18"/>
                      <w:szCs w:val="18"/>
                      <w:lang w:bidi="ar"/>
                    </w:rPr>
                    <w:t>0</w:t>
                  </w:r>
                </w:p>
              </w:tc>
              <w:tc>
                <w:tcPr>
                  <w:tcW w:w="849" w:type="dxa"/>
                  <w:vAlign w:val="center"/>
                </w:tcPr>
                <w:p>
                  <w:pPr>
                    <w:widowControl/>
                    <w:jc w:val="center"/>
                    <w:textAlignment w:val="center"/>
                    <w:rPr>
                      <w:color w:val="auto"/>
                      <w:sz w:val="18"/>
                      <w:szCs w:val="18"/>
                      <w:lang w:bidi="ar"/>
                    </w:rPr>
                  </w:pPr>
                  <w:r>
                    <w:rPr>
                      <w:color w:val="auto"/>
                      <w:kern w:val="0"/>
                      <w:sz w:val="18"/>
                      <w:szCs w:val="18"/>
                    </w:rPr>
                    <w:t>0.0083</w:t>
                  </w:r>
                </w:p>
              </w:tc>
              <w:tc>
                <w:tcPr>
                  <w:tcW w:w="101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0.004</w:t>
                  </w:r>
                </w:p>
              </w:tc>
              <w:tc>
                <w:tcPr>
                  <w:tcW w:w="848" w:type="dxa"/>
                  <w:vAlign w:val="center"/>
                </w:tcPr>
                <w:p>
                  <w:pPr>
                    <w:jc w:val="center"/>
                    <w:rPr>
                      <w:color w:val="auto"/>
                      <w:sz w:val="18"/>
                      <w:szCs w:val="18"/>
                    </w:rPr>
                  </w:pPr>
                  <w:r>
                    <w:rPr>
                      <w:rFonts w:hint="eastAsia"/>
                      <w:color w:val="auto"/>
                      <w:sz w:val="18"/>
                      <w:szCs w:val="18"/>
                    </w:rPr>
                    <w:t>0.0043</w:t>
                  </w:r>
                </w:p>
              </w:tc>
              <w:tc>
                <w:tcPr>
                  <w:tcW w:w="1018" w:type="dxa"/>
                  <w:vAlign w:val="center"/>
                </w:tcPr>
                <w:p>
                  <w:pPr>
                    <w:widowControl/>
                    <w:jc w:val="center"/>
                    <w:textAlignment w:val="center"/>
                    <w:rPr>
                      <w:color w:val="auto"/>
                      <w:sz w:val="18"/>
                      <w:szCs w:val="18"/>
                      <w:lang w:bidi="ar"/>
                    </w:rPr>
                  </w:pPr>
                  <w:r>
                    <w:rPr>
                      <w:color w:val="auto"/>
                      <w:kern w:val="0"/>
                      <w:sz w:val="18"/>
                      <w:szCs w:val="18"/>
                    </w:rPr>
                    <w:t>0.0083</w:t>
                  </w:r>
                </w:p>
              </w:tc>
              <w:tc>
                <w:tcPr>
                  <w:tcW w:w="1107" w:type="dxa"/>
                  <w:tcBorders>
                    <w:right w:val="nil"/>
                  </w:tcBorders>
                  <w:vAlign w:val="center"/>
                </w:tcPr>
                <w:p>
                  <w:pPr>
                    <w:widowControl/>
                    <w:jc w:val="center"/>
                    <w:textAlignment w:val="center"/>
                    <w:rPr>
                      <w:color w:val="auto"/>
                      <w:sz w:val="18"/>
                      <w:szCs w:val="18"/>
                      <w:lang w:bidi="ar"/>
                    </w:rPr>
                  </w:pPr>
                  <w:r>
                    <w:rPr>
                      <w:color w:val="auto"/>
                      <w:kern w:val="0"/>
                      <w:sz w:val="18"/>
                      <w:szCs w:val="18"/>
                    </w:rPr>
                    <w:t>0.0083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1203" w:type="dxa"/>
                  <w:vAlign w:val="center"/>
                </w:tcPr>
                <w:p>
                  <w:pPr>
                    <w:widowControl/>
                    <w:jc w:val="center"/>
                    <w:rPr>
                      <w:color w:val="auto"/>
                      <w:sz w:val="18"/>
                      <w:szCs w:val="18"/>
                    </w:rPr>
                  </w:pPr>
                  <w:r>
                    <w:rPr>
                      <w:rFonts w:hint="eastAsia"/>
                      <w:color w:val="auto"/>
                      <w:sz w:val="18"/>
                      <w:szCs w:val="18"/>
                    </w:rPr>
                    <w:t>颗粒物</w:t>
                  </w:r>
                </w:p>
              </w:tc>
              <w:tc>
                <w:tcPr>
                  <w:tcW w:w="1016"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autoSpaceDE w:val="0"/>
                    <w:autoSpaceDN w:val="0"/>
                    <w:jc w:val="center"/>
                    <w:rPr>
                      <w:color w:val="auto"/>
                      <w:sz w:val="18"/>
                      <w:szCs w:val="18"/>
                      <w:lang w:bidi="ar"/>
                    </w:rPr>
                  </w:pPr>
                  <w:r>
                    <w:rPr>
                      <w:rFonts w:hint="eastAsia"/>
                      <w:color w:val="auto"/>
                      <w:kern w:val="0"/>
                      <w:sz w:val="18"/>
                      <w:szCs w:val="18"/>
                    </w:rPr>
                    <w:t>0.0083</w:t>
                  </w:r>
                </w:p>
              </w:tc>
              <w:tc>
                <w:tcPr>
                  <w:tcW w:w="84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9" w:type="dxa"/>
                  <w:vAlign w:val="center"/>
                </w:tcPr>
                <w:p>
                  <w:pPr>
                    <w:autoSpaceDE w:val="0"/>
                    <w:autoSpaceDN w:val="0"/>
                    <w:jc w:val="center"/>
                    <w:rPr>
                      <w:color w:val="auto"/>
                      <w:sz w:val="18"/>
                      <w:szCs w:val="18"/>
                      <w:lang w:bidi="ar"/>
                    </w:rPr>
                  </w:pPr>
                  <w:r>
                    <w:rPr>
                      <w:rFonts w:hint="eastAsia"/>
                      <w:color w:val="auto"/>
                      <w:kern w:val="0"/>
                      <w:sz w:val="18"/>
                      <w:szCs w:val="18"/>
                    </w:rPr>
                    <w:t>0.0083</w:t>
                  </w:r>
                </w:p>
              </w:tc>
              <w:tc>
                <w:tcPr>
                  <w:tcW w:w="101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autoSpaceDE w:val="0"/>
                    <w:autoSpaceDN w:val="0"/>
                    <w:jc w:val="center"/>
                    <w:rPr>
                      <w:color w:val="auto"/>
                      <w:sz w:val="18"/>
                      <w:szCs w:val="18"/>
                    </w:rPr>
                  </w:pPr>
                  <w:r>
                    <w:rPr>
                      <w:rFonts w:hint="eastAsia"/>
                      <w:color w:val="auto"/>
                      <w:kern w:val="0"/>
                      <w:sz w:val="18"/>
                      <w:szCs w:val="18"/>
                    </w:rPr>
                    <w:t>0.0083</w:t>
                  </w:r>
                </w:p>
              </w:tc>
              <w:tc>
                <w:tcPr>
                  <w:tcW w:w="1018" w:type="dxa"/>
                  <w:vAlign w:val="center"/>
                </w:tcPr>
                <w:p>
                  <w:pPr>
                    <w:autoSpaceDE w:val="0"/>
                    <w:autoSpaceDN w:val="0"/>
                    <w:jc w:val="center"/>
                    <w:rPr>
                      <w:color w:val="auto"/>
                      <w:sz w:val="18"/>
                      <w:szCs w:val="18"/>
                      <w:lang w:bidi="ar"/>
                    </w:rPr>
                  </w:pPr>
                  <w:r>
                    <w:rPr>
                      <w:rFonts w:hint="eastAsia"/>
                      <w:color w:val="auto"/>
                      <w:kern w:val="0"/>
                      <w:sz w:val="18"/>
                      <w:szCs w:val="18"/>
                    </w:rPr>
                    <w:t>0.0083</w:t>
                  </w:r>
                </w:p>
              </w:tc>
              <w:tc>
                <w:tcPr>
                  <w:tcW w:w="1107" w:type="dxa"/>
                  <w:tcBorders>
                    <w:right w:val="nil"/>
                  </w:tcBorders>
                  <w:vAlign w:val="center"/>
                </w:tcPr>
                <w:p>
                  <w:pPr>
                    <w:autoSpaceDE w:val="0"/>
                    <w:autoSpaceDN w:val="0"/>
                    <w:jc w:val="center"/>
                    <w:rPr>
                      <w:color w:val="auto"/>
                      <w:sz w:val="18"/>
                      <w:szCs w:val="18"/>
                      <w:lang w:bidi="ar"/>
                    </w:rPr>
                  </w:pPr>
                  <w:r>
                    <w:rPr>
                      <w:rFonts w:hint="eastAsia"/>
                      <w:color w:val="auto"/>
                      <w:kern w:val="0"/>
                      <w:sz w:val="18"/>
                      <w:szCs w:val="18"/>
                    </w:rPr>
                    <w:t>0.0083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1203" w:type="dxa"/>
                  <w:vAlign w:val="center"/>
                </w:tcPr>
                <w:p>
                  <w:pPr>
                    <w:widowControl/>
                    <w:jc w:val="center"/>
                    <w:rPr>
                      <w:color w:val="auto"/>
                      <w:sz w:val="18"/>
                      <w:szCs w:val="18"/>
                    </w:rPr>
                  </w:pPr>
                  <w:r>
                    <w:rPr>
                      <w:rFonts w:hint="eastAsia"/>
                      <w:color w:val="auto"/>
                      <w:sz w:val="18"/>
                      <w:szCs w:val="18"/>
                    </w:rPr>
                    <w:t>CS</w:t>
                  </w:r>
                  <w:r>
                    <w:rPr>
                      <w:rFonts w:hint="eastAsia"/>
                      <w:color w:val="auto"/>
                      <w:sz w:val="18"/>
                      <w:szCs w:val="18"/>
                      <w:vertAlign w:val="subscript"/>
                    </w:rPr>
                    <w:t>2</w:t>
                  </w:r>
                </w:p>
              </w:tc>
              <w:tc>
                <w:tcPr>
                  <w:tcW w:w="1016"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autoSpaceDE w:val="0"/>
                    <w:autoSpaceDN w:val="0"/>
                    <w:jc w:val="center"/>
                    <w:rPr>
                      <w:color w:val="auto"/>
                      <w:sz w:val="18"/>
                      <w:szCs w:val="18"/>
                      <w:lang w:bidi="ar"/>
                    </w:rPr>
                  </w:pPr>
                  <w:r>
                    <w:rPr>
                      <w:rFonts w:hint="eastAsia"/>
                      <w:color w:val="auto"/>
                      <w:kern w:val="0"/>
                      <w:sz w:val="18"/>
                      <w:szCs w:val="18"/>
                    </w:rPr>
                    <w:t>0.00003</w:t>
                  </w:r>
                </w:p>
              </w:tc>
              <w:tc>
                <w:tcPr>
                  <w:tcW w:w="84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9" w:type="dxa"/>
                  <w:vAlign w:val="center"/>
                </w:tcPr>
                <w:p>
                  <w:pPr>
                    <w:autoSpaceDE w:val="0"/>
                    <w:autoSpaceDN w:val="0"/>
                    <w:jc w:val="center"/>
                    <w:rPr>
                      <w:color w:val="auto"/>
                      <w:sz w:val="18"/>
                      <w:szCs w:val="18"/>
                      <w:lang w:bidi="ar"/>
                    </w:rPr>
                  </w:pPr>
                  <w:r>
                    <w:rPr>
                      <w:rFonts w:hint="eastAsia"/>
                      <w:color w:val="auto"/>
                      <w:kern w:val="0"/>
                      <w:sz w:val="18"/>
                      <w:szCs w:val="18"/>
                    </w:rPr>
                    <w:t>0.00003</w:t>
                  </w:r>
                </w:p>
              </w:tc>
              <w:tc>
                <w:tcPr>
                  <w:tcW w:w="101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autoSpaceDE w:val="0"/>
                    <w:autoSpaceDN w:val="0"/>
                    <w:jc w:val="center"/>
                    <w:rPr>
                      <w:color w:val="auto"/>
                      <w:sz w:val="18"/>
                      <w:szCs w:val="18"/>
                    </w:rPr>
                  </w:pPr>
                  <w:r>
                    <w:rPr>
                      <w:rFonts w:hint="eastAsia"/>
                      <w:color w:val="auto"/>
                      <w:kern w:val="0"/>
                      <w:sz w:val="18"/>
                      <w:szCs w:val="18"/>
                    </w:rPr>
                    <w:t>0.00003</w:t>
                  </w:r>
                </w:p>
              </w:tc>
              <w:tc>
                <w:tcPr>
                  <w:tcW w:w="1018" w:type="dxa"/>
                  <w:vAlign w:val="center"/>
                </w:tcPr>
                <w:p>
                  <w:pPr>
                    <w:autoSpaceDE w:val="0"/>
                    <w:autoSpaceDN w:val="0"/>
                    <w:jc w:val="center"/>
                    <w:rPr>
                      <w:color w:val="auto"/>
                      <w:sz w:val="18"/>
                      <w:szCs w:val="18"/>
                      <w:lang w:bidi="ar"/>
                    </w:rPr>
                  </w:pPr>
                  <w:r>
                    <w:rPr>
                      <w:rFonts w:hint="eastAsia"/>
                      <w:color w:val="auto"/>
                      <w:kern w:val="0"/>
                      <w:sz w:val="18"/>
                      <w:szCs w:val="18"/>
                    </w:rPr>
                    <w:t>0.00003</w:t>
                  </w:r>
                </w:p>
              </w:tc>
              <w:tc>
                <w:tcPr>
                  <w:tcW w:w="1107" w:type="dxa"/>
                  <w:tcBorders>
                    <w:right w:val="nil"/>
                  </w:tcBorders>
                  <w:vAlign w:val="center"/>
                </w:tcPr>
                <w:p>
                  <w:pPr>
                    <w:autoSpaceDE w:val="0"/>
                    <w:autoSpaceDN w:val="0"/>
                    <w:jc w:val="center"/>
                    <w:rPr>
                      <w:color w:val="auto"/>
                      <w:sz w:val="18"/>
                      <w:szCs w:val="18"/>
                      <w:lang w:bidi="ar"/>
                    </w:rPr>
                  </w:pPr>
                  <w:r>
                    <w:rPr>
                      <w:rFonts w:hint="eastAsia"/>
                      <w:color w:val="auto"/>
                      <w:kern w:val="0"/>
                      <w:sz w:val="18"/>
                      <w:szCs w:val="18"/>
                    </w:rPr>
                    <w:t>0.00003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1203" w:type="dxa"/>
                  <w:vAlign w:val="center"/>
                </w:tcPr>
                <w:p>
                  <w:pPr>
                    <w:widowControl/>
                    <w:jc w:val="center"/>
                    <w:rPr>
                      <w:color w:val="auto"/>
                      <w:sz w:val="18"/>
                      <w:szCs w:val="18"/>
                    </w:rPr>
                  </w:pPr>
                  <w:r>
                    <w:rPr>
                      <w:rFonts w:hint="eastAsia"/>
                      <w:color w:val="auto"/>
                      <w:sz w:val="18"/>
                      <w:szCs w:val="18"/>
                    </w:rPr>
                    <w:t>H</w:t>
                  </w:r>
                  <w:r>
                    <w:rPr>
                      <w:rFonts w:hint="eastAsia"/>
                      <w:color w:val="auto"/>
                      <w:sz w:val="18"/>
                      <w:szCs w:val="18"/>
                      <w:vertAlign w:val="subscript"/>
                    </w:rPr>
                    <w:t>2</w:t>
                  </w:r>
                  <w:r>
                    <w:rPr>
                      <w:rFonts w:hint="eastAsia"/>
                      <w:color w:val="auto"/>
                      <w:sz w:val="18"/>
                      <w:szCs w:val="18"/>
                    </w:rPr>
                    <w:t>S</w:t>
                  </w:r>
                </w:p>
              </w:tc>
              <w:tc>
                <w:tcPr>
                  <w:tcW w:w="54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autoSpaceDE w:val="0"/>
                    <w:autoSpaceDN w:val="0"/>
                    <w:jc w:val="center"/>
                    <w:rPr>
                      <w:color w:val="auto"/>
                      <w:kern w:val="0"/>
                      <w:sz w:val="18"/>
                      <w:szCs w:val="18"/>
                      <w:lang w:bidi="ar"/>
                    </w:rPr>
                  </w:pPr>
                  <w:r>
                    <w:rPr>
                      <w:rFonts w:hint="eastAsia"/>
                      <w:color w:val="auto"/>
                      <w:kern w:val="0"/>
                      <w:sz w:val="18"/>
                      <w:szCs w:val="18"/>
                    </w:rPr>
                    <w:t>0.0003</w:t>
                  </w:r>
                </w:p>
              </w:tc>
              <w:tc>
                <w:tcPr>
                  <w:tcW w:w="848" w:type="dxa"/>
                  <w:vAlign w:val="center"/>
                </w:tcPr>
                <w:p>
                  <w:pPr>
                    <w:widowControl/>
                    <w:jc w:val="center"/>
                    <w:textAlignment w:val="center"/>
                    <w:rPr>
                      <w:color w:val="auto"/>
                      <w:kern w:val="0"/>
                      <w:sz w:val="18"/>
                      <w:szCs w:val="18"/>
                      <w:lang w:bidi="ar"/>
                    </w:rPr>
                  </w:pPr>
                  <w:r>
                    <w:rPr>
                      <w:color w:val="auto"/>
                      <w:kern w:val="0"/>
                      <w:sz w:val="18"/>
                      <w:szCs w:val="18"/>
                      <w:lang w:bidi="ar"/>
                    </w:rPr>
                    <w:t>0</w:t>
                  </w:r>
                </w:p>
              </w:tc>
              <w:tc>
                <w:tcPr>
                  <w:tcW w:w="849" w:type="dxa"/>
                  <w:vAlign w:val="center"/>
                </w:tcPr>
                <w:p>
                  <w:pPr>
                    <w:autoSpaceDE w:val="0"/>
                    <w:autoSpaceDN w:val="0"/>
                    <w:jc w:val="center"/>
                    <w:rPr>
                      <w:color w:val="auto"/>
                      <w:kern w:val="0"/>
                      <w:sz w:val="18"/>
                      <w:szCs w:val="18"/>
                      <w:lang w:bidi="ar"/>
                    </w:rPr>
                  </w:pPr>
                  <w:r>
                    <w:rPr>
                      <w:rFonts w:hint="eastAsia"/>
                      <w:color w:val="auto"/>
                      <w:kern w:val="0"/>
                      <w:sz w:val="18"/>
                      <w:szCs w:val="18"/>
                    </w:rPr>
                    <w:t>0.0003</w:t>
                  </w:r>
                </w:p>
              </w:tc>
              <w:tc>
                <w:tcPr>
                  <w:tcW w:w="101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autoSpaceDE w:val="0"/>
                    <w:autoSpaceDN w:val="0"/>
                    <w:jc w:val="center"/>
                    <w:rPr>
                      <w:color w:val="auto"/>
                      <w:kern w:val="0"/>
                      <w:sz w:val="18"/>
                      <w:szCs w:val="18"/>
                      <w:lang w:bidi="ar"/>
                    </w:rPr>
                  </w:pPr>
                  <w:r>
                    <w:rPr>
                      <w:rFonts w:hint="eastAsia"/>
                      <w:color w:val="auto"/>
                      <w:kern w:val="0"/>
                      <w:sz w:val="18"/>
                      <w:szCs w:val="18"/>
                    </w:rPr>
                    <w:t>0.0003</w:t>
                  </w:r>
                </w:p>
              </w:tc>
              <w:tc>
                <w:tcPr>
                  <w:tcW w:w="1018" w:type="dxa"/>
                  <w:vAlign w:val="center"/>
                </w:tcPr>
                <w:p>
                  <w:pPr>
                    <w:autoSpaceDE w:val="0"/>
                    <w:autoSpaceDN w:val="0"/>
                    <w:jc w:val="center"/>
                    <w:rPr>
                      <w:color w:val="auto"/>
                      <w:kern w:val="0"/>
                      <w:sz w:val="18"/>
                      <w:szCs w:val="18"/>
                      <w:lang w:bidi="ar"/>
                    </w:rPr>
                  </w:pPr>
                  <w:r>
                    <w:rPr>
                      <w:rFonts w:hint="eastAsia"/>
                      <w:color w:val="auto"/>
                      <w:kern w:val="0"/>
                      <w:sz w:val="18"/>
                      <w:szCs w:val="18"/>
                    </w:rPr>
                    <w:t>0.0003</w:t>
                  </w:r>
                </w:p>
              </w:tc>
              <w:tc>
                <w:tcPr>
                  <w:tcW w:w="1107" w:type="dxa"/>
                  <w:tcBorders>
                    <w:right w:val="nil"/>
                  </w:tcBorders>
                  <w:vAlign w:val="center"/>
                </w:tcPr>
                <w:p>
                  <w:pPr>
                    <w:autoSpaceDE w:val="0"/>
                    <w:autoSpaceDN w:val="0"/>
                    <w:jc w:val="center"/>
                    <w:rPr>
                      <w:color w:val="auto"/>
                      <w:kern w:val="0"/>
                      <w:sz w:val="18"/>
                      <w:szCs w:val="18"/>
                      <w:lang w:bidi="ar"/>
                    </w:rPr>
                  </w:pPr>
                  <w:r>
                    <w:rPr>
                      <w:rFonts w:hint="eastAsia"/>
                      <w:color w:val="auto"/>
                      <w:kern w:val="0"/>
                      <w:sz w:val="18"/>
                      <w:szCs w:val="18"/>
                    </w:rPr>
                    <w:t>0.0003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restart"/>
                  <w:tcBorders>
                    <w:top w:val="single" w:color="auto" w:sz="4" w:space="0"/>
                  </w:tcBorders>
                  <w:vAlign w:val="center"/>
                </w:tcPr>
                <w:p>
                  <w:pPr>
                    <w:adjustRightInd w:val="0"/>
                    <w:snapToGrid w:val="0"/>
                    <w:jc w:val="center"/>
                    <w:rPr>
                      <w:bCs/>
                      <w:color w:val="auto"/>
                      <w:sz w:val="18"/>
                      <w:szCs w:val="18"/>
                    </w:rPr>
                  </w:pPr>
                  <w:r>
                    <w:rPr>
                      <w:rFonts w:hint="eastAsia"/>
                      <w:bCs/>
                      <w:color w:val="auto"/>
                      <w:sz w:val="18"/>
                      <w:szCs w:val="18"/>
                    </w:rPr>
                    <w:t>废水</w:t>
                  </w:r>
                </w:p>
              </w:tc>
              <w:tc>
                <w:tcPr>
                  <w:tcW w:w="643" w:type="pct"/>
                  <w:vAlign w:val="center"/>
                </w:tcPr>
                <w:p>
                  <w:pPr>
                    <w:adjustRightInd w:val="0"/>
                    <w:snapToGrid w:val="0"/>
                    <w:jc w:val="center"/>
                    <w:rPr>
                      <w:bCs/>
                      <w:color w:val="auto"/>
                      <w:sz w:val="18"/>
                      <w:szCs w:val="18"/>
                    </w:rPr>
                  </w:pPr>
                  <w:r>
                    <w:rPr>
                      <w:bCs/>
                      <w:color w:val="auto"/>
                      <w:sz w:val="18"/>
                      <w:szCs w:val="18"/>
                    </w:rPr>
                    <w:t>废水量</w:t>
                  </w:r>
                </w:p>
              </w:tc>
              <w:tc>
                <w:tcPr>
                  <w:tcW w:w="1016" w:type="dxa"/>
                  <w:vAlign w:val="center"/>
                </w:tcPr>
                <w:p>
                  <w:pPr>
                    <w:widowControl/>
                    <w:jc w:val="center"/>
                    <w:textAlignment w:val="center"/>
                    <w:rPr>
                      <w:color w:val="auto"/>
                      <w:kern w:val="0"/>
                      <w:sz w:val="18"/>
                      <w:szCs w:val="18"/>
                      <w:lang w:bidi="ar"/>
                    </w:rPr>
                  </w:pPr>
                  <w:r>
                    <w:rPr>
                      <w:color w:val="auto"/>
                      <w:kern w:val="0"/>
                      <w:sz w:val="18"/>
                      <w:szCs w:val="18"/>
                      <w:lang w:bidi="ar"/>
                    </w:rPr>
                    <w:t>191</w:t>
                  </w:r>
                </w:p>
              </w:tc>
              <w:tc>
                <w:tcPr>
                  <w:tcW w:w="453" w:type="pct"/>
                  <w:vAlign w:val="center"/>
                </w:tcPr>
                <w:p>
                  <w:pPr>
                    <w:widowControl/>
                    <w:jc w:val="center"/>
                    <w:textAlignment w:val="center"/>
                    <w:rPr>
                      <w:rFonts w:hint="eastAsia" w:eastAsia="宋体"/>
                      <w:color w:val="auto"/>
                      <w:kern w:val="0"/>
                      <w:sz w:val="18"/>
                      <w:szCs w:val="18"/>
                      <w:lang w:eastAsia="zh-CN" w:bidi="ar"/>
                    </w:rPr>
                  </w:pPr>
                  <w:r>
                    <w:rPr>
                      <w:rFonts w:hint="eastAsia"/>
                      <w:color w:val="auto"/>
                      <w:kern w:val="0"/>
                      <w:sz w:val="18"/>
                      <w:szCs w:val="18"/>
                      <w:lang w:bidi="ar"/>
                    </w:rPr>
                    <w:t>42</w:t>
                  </w:r>
                  <w:r>
                    <w:rPr>
                      <w:rFonts w:hint="eastAsia"/>
                      <w:color w:val="auto"/>
                      <w:kern w:val="0"/>
                      <w:sz w:val="18"/>
                      <w:szCs w:val="18"/>
                      <w:lang w:val="en-US" w:eastAsia="zh-CN" w:bidi="ar"/>
                    </w:rPr>
                    <w:t>0</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9"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42</w:t>
                  </w:r>
                  <w:r>
                    <w:rPr>
                      <w:rFonts w:hint="eastAsia"/>
                      <w:color w:val="auto"/>
                      <w:kern w:val="0"/>
                      <w:sz w:val="18"/>
                      <w:szCs w:val="18"/>
                      <w:lang w:val="en-US" w:eastAsia="zh-CN" w:bidi="ar"/>
                    </w:rPr>
                    <w:t>0</w:t>
                  </w:r>
                </w:p>
              </w:tc>
              <w:tc>
                <w:tcPr>
                  <w:tcW w:w="544"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229</w:t>
                  </w:r>
                </w:p>
              </w:tc>
              <w:tc>
                <w:tcPr>
                  <w:tcW w:w="1018" w:type="dxa"/>
                  <w:vAlign w:val="center"/>
                </w:tcPr>
                <w:p>
                  <w:pPr>
                    <w:widowControl/>
                    <w:jc w:val="center"/>
                    <w:textAlignment w:val="center"/>
                    <w:rPr>
                      <w:rFonts w:hint="default" w:eastAsia="宋体"/>
                      <w:color w:val="auto"/>
                      <w:kern w:val="0"/>
                      <w:sz w:val="18"/>
                      <w:szCs w:val="18"/>
                      <w:lang w:val="en-US" w:eastAsia="zh-CN"/>
                    </w:rPr>
                  </w:pPr>
                  <w:r>
                    <w:rPr>
                      <w:rFonts w:hint="eastAsia"/>
                      <w:color w:val="auto"/>
                      <w:kern w:val="0"/>
                      <w:sz w:val="18"/>
                      <w:szCs w:val="18"/>
                      <w:lang w:val="en-US" w:eastAsia="zh-CN"/>
                    </w:rPr>
                    <w:t>420</w:t>
                  </w:r>
                </w:p>
              </w:tc>
              <w:tc>
                <w:tcPr>
                  <w:tcW w:w="591" w:type="pct"/>
                  <w:tcBorders>
                    <w:right w:val="nil"/>
                  </w:tcBorders>
                  <w:vAlign w:val="center"/>
                </w:tcPr>
                <w:p>
                  <w:pPr>
                    <w:widowControl/>
                    <w:jc w:val="center"/>
                    <w:textAlignment w:val="center"/>
                    <w:rPr>
                      <w:rFonts w:hint="default" w:eastAsia="宋体"/>
                      <w:color w:val="auto"/>
                      <w:kern w:val="0"/>
                      <w:sz w:val="18"/>
                      <w:szCs w:val="18"/>
                      <w:lang w:val="en-US" w:eastAsia="zh-CN" w:bidi="ar"/>
                    </w:rPr>
                  </w:pPr>
                  <w:r>
                    <w:rPr>
                      <w:rFonts w:hint="eastAsia"/>
                      <w:color w:val="auto"/>
                      <w:kern w:val="0"/>
                      <w:sz w:val="18"/>
                      <w:szCs w:val="18"/>
                      <w:lang w:val="en-US" w:eastAsia="zh-CN" w:bidi="ar"/>
                    </w:rPr>
                    <w:t>420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643" w:type="pct"/>
                  <w:vAlign w:val="center"/>
                </w:tcPr>
                <w:p>
                  <w:pPr>
                    <w:adjustRightInd w:val="0"/>
                    <w:snapToGrid w:val="0"/>
                    <w:jc w:val="center"/>
                    <w:rPr>
                      <w:color w:val="auto"/>
                      <w:sz w:val="18"/>
                      <w:szCs w:val="18"/>
                    </w:rPr>
                  </w:pPr>
                  <w:r>
                    <w:rPr>
                      <w:color w:val="auto"/>
                      <w:sz w:val="18"/>
                      <w:szCs w:val="18"/>
                    </w:rPr>
                    <w:t>COD</w:t>
                  </w:r>
                </w:p>
              </w:tc>
              <w:tc>
                <w:tcPr>
                  <w:tcW w:w="1016" w:type="dxa"/>
                  <w:vAlign w:val="center"/>
                </w:tcPr>
                <w:p>
                  <w:pPr>
                    <w:widowControl/>
                    <w:jc w:val="center"/>
                    <w:textAlignment w:val="center"/>
                    <w:rPr>
                      <w:color w:val="auto"/>
                      <w:kern w:val="0"/>
                      <w:sz w:val="18"/>
                      <w:szCs w:val="18"/>
                      <w:lang w:bidi="ar"/>
                    </w:rPr>
                  </w:pPr>
                  <w:r>
                    <w:rPr>
                      <w:color w:val="auto"/>
                      <w:kern w:val="0"/>
                      <w:sz w:val="18"/>
                      <w:szCs w:val="18"/>
                      <w:lang w:bidi="ar"/>
                    </w:rPr>
                    <w:t>0.076</w:t>
                  </w:r>
                </w:p>
              </w:tc>
              <w:tc>
                <w:tcPr>
                  <w:tcW w:w="848" w:type="dxa"/>
                  <w:vAlign w:val="center"/>
                </w:tcPr>
                <w:p>
                  <w:pPr>
                    <w:keepNext w:val="0"/>
                    <w:keepLines w:val="0"/>
                    <w:widowControl/>
                    <w:suppressLineNumbers w:val="0"/>
                    <w:jc w:val="center"/>
                    <w:textAlignment w:val="center"/>
                    <w:rPr>
                      <w:color w:val="auto"/>
                      <w:kern w:val="0"/>
                      <w:sz w:val="18"/>
                      <w:szCs w:val="18"/>
                      <w:lang w:bidi="ar"/>
                    </w:rPr>
                  </w:pPr>
                  <w:r>
                    <w:rPr>
                      <w:rFonts w:hint="eastAsia" w:ascii="Times New Roman" w:hAnsi="Times New Roman" w:eastAsia="宋体" w:cs="Times New Roman"/>
                      <w:snapToGrid w:val="0"/>
                      <w:color w:val="auto"/>
                      <w:kern w:val="0"/>
                      <w:sz w:val="18"/>
                      <w:szCs w:val="18"/>
                      <w:lang w:val="en-US" w:eastAsia="zh-CN" w:bidi="ar-SA"/>
                    </w:rPr>
                    <w:t>0.147</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9" w:type="dxa"/>
                  <w:vAlign w:val="center"/>
                </w:tcPr>
                <w:p>
                  <w:pPr>
                    <w:keepNext w:val="0"/>
                    <w:keepLines w:val="0"/>
                    <w:widowControl/>
                    <w:suppressLineNumbers w:val="0"/>
                    <w:jc w:val="center"/>
                    <w:textAlignment w:val="center"/>
                    <w:rPr>
                      <w:color w:val="auto"/>
                      <w:kern w:val="0"/>
                      <w:sz w:val="18"/>
                      <w:szCs w:val="18"/>
                      <w:lang w:bidi="ar"/>
                    </w:rPr>
                  </w:pPr>
                  <w:r>
                    <w:rPr>
                      <w:rFonts w:hint="eastAsia" w:ascii="Times New Roman" w:hAnsi="Times New Roman" w:eastAsia="宋体" w:cs="Times New Roman"/>
                      <w:snapToGrid w:val="0"/>
                      <w:color w:val="auto"/>
                      <w:kern w:val="0"/>
                      <w:sz w:val="18"/>
                      <w:szCs w:val="18"/>
                      <w:lang w:val="en-US" w:eastAsia="zh-CN" w:bidi="ar-SA"/>
                    </w:rPr>
                    <w:t>0.147</w:t>
                  </w:r>
                </w:p>
              </w:tc>
              <w:tc>
                <w:tcPr>
                  <w:tcW w:w="544"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0.071</w:t>
                  </w:r>
                </w:p>
              </w:tc>
              <w:tc>
                <w:tcPr>
                  <w:tcW w:w="1018" w:type="dxa"/>
                  <w:vAlign w:val="center"/>
                </w:tcPr>
                <w:p>
                  <w:pPr>
                    <w:widowControl/>
                    <w:jc w:val="center"/>
                    <w:textAlignment w:val="center"/>
                    <w:rPr>
                      <w:rFonts w:hint="default" w:eastAsia="宋体"/>
                      <w:color w:val="auto"/>
                      <w:kern w:val="0"/>
                      <w:sz w:val="18"/>
                      <w:szCs w:val="18"/>
                      <w:lang w:val="en-US" w:eastAsia="zh-CN"/>
                    </w:rPr>
                  </w:pPr>
                  <w:r>
                    <w:rPr>
                      <w:rStyle w:val="45"/>
                      <w:rFonts w:hint="eastAsia"/>
                      <w:color w:val="auto"/>
                      <w:kern w:val="0"/>
                      <w:sz w:val="18"/>
                      <w:szCs w:val="18"/>
                      <w:lang w:val="en-US" w:eastAsia="zh-CN"/>
                    </w:rPr>
                    <w:t>0.147</w:t>
                  </w:r>
                </w:p>
              </w:tc>
              <w:tc>
                <w:tcPr>
                  <w:tcW w:w="1107" w:type="dxa"/>
                  <w:vAlign w:val="center"/>
                </w:tcPr>
                <w:p>
                  <w:pPr>
                    <w:widowControl/>
                    <w:jc w:val="center"/>
                    <w:textAlignment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0.0126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643" w:type="pct"/>
                  <w:vAlign w:val="center"/>
                </w:tcPr>
                <w:p>
                  <w:pPr>
                    <w:adjustRightInd w:val="0"/>
                    <w:snapToGrid w:val="0"/>
                    <w:jc w:val="center"/>
                    <w:rPr>
                      <w:color w:val="auto"/>
                      <w:sz w:val="18"/>
                      <w:szCs w:val="18"/>
                    </w:rPr>
                  </w:pPr>
                  <w:r>
                    <w:rPr>
                      <w:color w:val="auto"/>
                      <w:sz w:val="18"/>
                      <w:szCs w:val="18"/>
                    </w:rPr>
                    <w:t>SS</w:t>
                  </w:r>
                </w:p>
              </w:tc>
              <w:tc>
                <w:tcPr>
                  <w:tcW w:w="1016" w:type="dxa"/>
                  <w:vAlign w:val="center"/>
                </w:tcPr>
                <w:p>
                  <w:pPr>
                    <w:widowControl/>
                    <w:jc w:val="center"/>
                    <w:textAlignment w:val="center"/>
                    <w:rPr>
                      <w:color w:val="auto"/>
                      <w:kern w:val="0"/>
                      <w:sz w:val="18"/>
                      <w:szCs w:val="18"/>
                      <w:lang w:bidi="ar"/>
                    </w:rPr>
                  </w:pPr>
                  <w:r>
                    <w:rPr>
                      <w:color w:val="auto"/>
                      <w:kern w:val="0"/>
                      <w:sz w:val="18"/>
                      <w:szCs w:val="18"/>
                      <w:lang w:bidi="ar"/>
                    </w:rPr>
                    <w:t>0.038</w:t>
                  </w:r>
                </w:p>
              </w:tc>
              <w:tc>
                <w:tcPr>
                  <w:tcW w:w="848" w:type="dxa"/>
                  <w:vAlign w:val="center"/>
                </w:tcPr>
                <w:p>
                  <w:pPr>
                    <w:keepNext w:val="0"/>
                    <w:keepLines w:val="0"/>
                    <w:widowControl/>
                    <w:suppressLineNumbers w:val="0"/>
                    <w:jc w:val="center"/>
                    <w:textAlignment w:val="center"/>
                    <w:rPr>
                      <w:color w:val="auto"/>
                      <w:kern w:val="0"/>
                      <w:sz w:val="18"/>
                      <w:szCs w:val="18"/>
                      <w:lang w:bidi="ar"/>
                    </w:rPr>
                  </w:pPr>
                  <w:r>
                    <w:rPr>
                      <w:rFonts w:hint="eastAsia" w:ascii="Times New Roman" w:hAnsi="Times New Roman" w:eastAsia="宋体" w:cs="Times New Roman"/>
                      <w:snapToGrid w:val="0"/>
                      <w:color w:val="auto"/>
                      <w:kern w:val="0"/>
                      <w:sz w:val="18"/>
                      <w:szCs w:val="18"/>
                      <w:lang w:val="en-US" w:eastAsia="zh-CN" w:bidi="ar-SA"/>
                    </w:rPr>
                    <w:t>0.084</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9" w:type="dxa"/>
                  <w:vAlign w:val="center"/>
                </w:tcPr>
                <w:p>
                  <w:pPr>
                    <w:keepNext w:val="0"/>
                    <w:keepLines w:val="0"/>
                    <w:widowControl/>
                    <w:suppressLineNumbers w:val="0"/>
                    <w:jc w:val="center"/>
                    <w:textAlignment w:val="center"/>
                    <w:rPr>
                      <w:color w:val="auto"/>
                      <w:kern w:val="0"/>
                      <w:sz w:val="18"/>
                      <w:szCs w:val="18"/>
                      <w:lang w:bidi="ar"/>
                    </w:rPr>
                  </w:pPr>
                  <w:r>
                    <w:rPr>
                      <w:rFonts w:hint="eastAsia" w:ascii="Times New Roman" w:hAnsi="Times New Roman" w:eastAsia="宋体" w:cs="Times New Roman"/>
                      <w:snapToGrid w:val="0"/>
                      <w:color w:val="auto"/>
                      <w:kern w:val="0"/>
                      <w:sz w:val="18"/>
                      <w:szCs w:val="18"/>
                      <w:lang w:val="en-US" w:eastAsia="zh-CN" w:bidi="ar-SA"/>
                    </w:rPr>
                    <w:t>0.084</w:t>
                  </w:r>
                </w:p>
              </w:tc>
              <w:tc>
                <w:tcPr>
                  <w:tcW w:w="544"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0.046</w:t>
                  </w:r>
                </w:p>
              </w:tc>
              <w:tc>
                <w:tcPr>
                  <w:tcW w:w="1018" w:type="dxa"/>
                  <w:vAlign w:val="center"/>
                </w:tcPr>
                <w:p>
                  <w:pPr>
                    <w:keepNext w:val="0"/>
                    <w:keepLines w:val="0"/>
                    <w:widowControl/>
                    <w:suppressLineNumbers w:val="0"/>
                    <w:jc w:val="center"/>
                    <w:textAlignment w:val="center"/>
                    <w:rPr>
                      <w:color w:val="auto"/>
                      <w:kern w:val="0"/>
                      <w:sz w:val="18"/>
                      <w:szCs w:val="18"/>
                    </w:rPr>
                  </w:pPr>
                  <w:r>
                    <w:rPr>
                      <w:rFonts w:hint="eastAsia" w:ascii="Times New Roman" w:hAnsi="Times New Roman" w:eastAsia="宋体" w:cs="Times New Roman"/>
                      <w:snapToGrid w:val="0"/>
                      <w:color w:val="auto"/>
                      <w:kern w:val="0"/>
                      <w:sz w:val="18"/>
                      <w:szCs w:val="18"/>
                      <w:lang w:val="en-US" w:eastAsia="zh-CN" w:bidi="ar-SA"/>
                    </w:rPr>
                    <w:t>0.084</w:t>
                  </w:r>
                </w:p>
              </w:tc>
              <w:tc>
                <w:tcPr>
                  <w:tcW w:w="1107" w:type="dxa"/>
                  <w:vAlign w:val="center"/>
                </w:tcPr>
                <w:p>
                  <w:pPr>
                    <w:widowControl/>
                    <w:jc w:val="center"/>
                    <w:textAlignment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0.0042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643" w:type="pct"/>
                  <w:vAlign w:val="center"/>
                </w:tcPr>
                <w:p>
                  <w:pPr>
                    <w:adjustRightInd w:val="0"/>
                    <w:snapToGrid w:val="0"/>
                    <w:jc w:val="center"/>
                    <w:rPr>
                      <w:color w:val="auto"/>
                      <w:sz w:val="18"/>
                      <w:szCs w:val="18"/>
                    </w:rPr>
                  </w:pPr>
                  <w:r>
                    <w:rPr>
                      <w:color w:val="auto"/>
                      <w:sz w:val="18"/>
                      <w:szCs w:val="18"/>
                    </w:rPr>
                    <w:t>氨氮</w:t>
                  </w:r>
                </w:p>
              </w:tc>
              <w:tc>
                <w:tcPr>
                  <w:tcW w:w="1016" w:type="dxa"/>
                  <w:vAlign w:val="center"/>
                </w:tcPr>
                <w:p>
                  <w:pPr>
                    <w:widowControl/>
                    <w:jc w:val="center"/>
                    <w:textAlignment w:val="center"/>
                    <w:rPr>
                      <w:color w:val="auto"/>
                      <w:kern w:val="0"/>
                      <w:sz w:val="18"/>
                      <w:szCs w:val="18"/>
                      <w:lang w:bidi="ar"/>
                    </w:rPr>
                  </w:pPr>
                  <w:r>
                    <w:rPr>
                      <w:color w:val="auto"/>
                      <w:kern w:val="0"/>
                      <w:sz w:val="18"/>
                      <w:szCs w:val="18"/>
                      <w:lang w:bidi="ar"/>
                    </w:rPr>
                    <w:t>0.0048</w:t>
                  </w:r>
                </w:p>
              </w:tc>
              <w:tc>
                <w:tcPr>
                  <w:tcW w:w="848" w:type="dxa"/>
                  <w:vAlign w:val="center"/>
                </w:tcPr>
                <w:p>
                  <w:pPr>
                    <w:keepNext w:val="0"/>
                    <w:keepLines w:val="0"/>
                    <w:widowControl/>
                    <w:suppressLineNumbers w:val="0"/>
                    <w:jc w:val="center"/>
                    <w:textAlignment w:val="center"/>
                    <w:rPr>
                      <w:color w:val="auto"/>
                      <w:kern w:val="0"/>
                      <w:sz w:val="18"/>
                      <w:szCs w:val="18"/>
                      <w:lang w:bidi="ar"/>
                    </w:rPr>
                  </w:pPr>
                  <w:r>
                    <w:rPr>
                      <w:rFonts w:hint="eastAsia" w:ascii="Times New Roman" w:hAnsi="Times New Roman" w:eastAsia="宋体" w:cs="Times New Roman"/>
                      <w:snapToGrid w:val="0"/>
                      <w:color w:val="auto"/>
                      <w:kern w:val="0"/>
                      <w:sz w:val="18"/>
                      <w:szCs w:val="18"/>
                      <w:lang w:val="en-US" w:eastAsia="zh-CN" w:bidi="ar-SA"/>
                    </w:rPr>
                    <w:t>0.0105</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9" w:type="dxa"/>
                  <w:vAlign w:val="center"/>
                </w:tcPr>
                <w:p>
                  <w:pPr>
                    <w:keepNext w:val="0"/>
                    <w:keepLines w:val="0"/>
                    <w:widowControl/>
                    <w:suppressLineNumbers w:val="0"/>
                    <w:jc w:val="center"/>
                    <w:textAlignment w:val="center"/>
                    <w:rPr>
                      <w:color w:val="auto"/>
                      <w:kern w:val="0"/>
                      <w:sz w:val="18"/>
                      <w:szCs w:val="18"/>
                      <w:lang w:bidi="ar"/>
                    </w:rPr>
                  </w:pPr>
                  <w:r>
                    <w:rPr>
                      <w:rFonts w:hint="eastAsia" w:ascii="Times New Roman" w:hAnsi="Times New Roman" w:eastAsia="宋体" w:cs="Times New Roman"/>
                      <w:snapToGrid w:val="0"/>
                      <w:color w:val="auto"/>
                      <w:kern w:val="0"/>
                      <w:sz w:val="18"/>
                      <w:szCs w:val="18"/>
                      <w:lang w:val="en-US" w:eastAsia="zh-CN" w:bidi="ar-SA"/>
                    </w:rPr>
                    <w:t>0.0105</w:t>
                  </w:r>
                </w:p>
              </w:tc>
              <w:tc>
                <w:tcPr>
                  <w:tcW w:w="544"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0.0057</w:t>
                  </w:r>
                </w:p>
              </w:tc>
              <w:tc>
                <w:tcPr>
                  <w:tcW w:w="1018" w:type="dxa"/>
                  <w:vAlign w:val="center"/>
                </w:tcPr>
                <w:p>
                  <w:pPr>
                    <w:keepNext w:val="0"/>
                    <w:keepLines w:val="0"/>
                    <w:widowControl/>
                    <w:suppressLineNumbers w:val="0"/>
                    <w:jc w:val="center"/>
                    <w:textAlignment w:val="center"/>
                    <w:rPr>
                      <w:color w:val="auto"/>
                      <w:kern w:val="0"/>
                      <w:sz w:val="18"/>
                      <w:szCs w:val="18"/>
                    </w:rPr>
                  </w:pPr>
                  <w:r>
                    <w:rPr>
                      <w:rFonts w:hint="eastAsia" w:ascii="Times New Roman" w:hAnsi="Times New Roman" w:eastAsia="宋体" w:cs="Times New Roman"/>
                      <w:snapToGrid w:val="0"/>
                      <w:color w:val="auto"/>
                      <w:kern w:val="0"/>
                      <w:sz w:val="18"/>
                      <w:szCs w:val="18"/>
                      <w:lang w:val="en-US" w:eastAsia="zh-CN" w:bidi="ar-SA"/>
                    </w:rPr>
                    <w:t>0.0105</w:t>
                  </w:r>
                </w:p>
              </w:tc>
              <w:tc>
                <w:tcPr>
                  <w:tcW w:w="1107" w:type="dxa"/>
                  <w:vAlign w:val="center"/>
                </w:tcPr>
                <w:p>
                  <w:pPr>
                    <w:widowControl/>
                    <w:jc w:val="center"/>
                    <w:textAlignment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643" w:type="pct"/>
                  <w:vAlign w:val="center"/>
                </w:tcPr>
                <w:p>
                  <w:pPr>
                    <w:adjustRightInd w:val="0"/>
                    <w:snapToGrid w:val="0"/>
                    <w:jc w:val="center"/>
                    <w:rPr>
                      <w:color w:val="auto"/>
                      <w:sz w:val="18"/>
                      <w:szCs w:val="18"/>
                    </w:rPr>
                  </w:pPr>
                  <w:r>
                    <w:rPr>
                      <w:rFonts w:hint="eastAsia"/>
                      <w:color w:val="auto"/>
                      <w:sz w:val="18"/>
                      <w:szCs w:val="18"/>
                    </w:rPr>
                    <w:t>总氮</w:t>
                  </w:r>
                </w:p>
              </w:tc>
              <w:tc>
                <w:tcPr>
                  <w:tcW w:w="1016" w:type="dxa"/>
                  <w:vAlign w:val="center"/>
                </w:tcPr>
                <w:p>
                  <w:pPr>
                    <w:widowControl/>
                    <w:jc w:val="center"/>
                    <w:textAlignment w:val="center"/>
                    <w:rPr>
                      <w:color w:val="auto"/>
                      <w:kern w:val="0"/>
                      <w:sz w:val="18"/>
                      <w:szCs w:val="18"/>
                      <w:lang w:bidi="ar"/>
                    </w:rPr>
                  </w:pPr>
                  <w:r>
                    <w:rPr>
                      <w:color w:val="auto"/>
                      <w:kern w:val="0"/>
                      <w:sz w:val="18"/>
                      <w:szCs w:val="18"/>
                      <w:lang w:bidi="ar"/>
                    </w:rPr>
                    <w:t>0.0067</w:t>
                  </w:r>
                </w:p>
              </w:tc>
              <w:tc>
                <w:tcPr>
                  <w:tcW w:w="848" w:type="dxa"/>
                  <w:vAlign w:val="center"/>
                </w:tcPr>
                <w:p>
                  <w:pPr>
                    <w:keepNext w:val="0"/>
                    <w:keepLines w:val="0"/>
                    <w:widowControl/>
                    <w:suppressLineNumbers w:val="0"/>
                    <w:jc w:val="center"/>
                    <w:textAlignment w:val="center"/>
                    <w:rPr>
                      <w:color w:val="auto"/>
                      <w:kern w:val="0"/>
                      <w:sz w:val="18"/>
                      <w:szCs w:val="18"/>
                      <w:lang w:bidi="ar"/>
                    </w:rPr>
                  </w:pPr>
                  <w:r>
                    <w:rPr>
                      <w:rFonts w:hint="eastAsia" w:ascii="Times New Roman" w:hAnsi="Times New Roman" w:eastAsia="宋体" w:cs="Times New Roman"/>
                      <w:snapToGrid w:val="0"/>
                      <w:color w:val="auto"/>
                      <w:kern w:val="0"/>
                      <w:sz w:val="18"/>
                      <w:szCs w:val="18"/>
                      <w:lang w:val="en-US" w:eastAsia="zh-CN" w:bidi="ar-SA"/>
                    </w:rPr>
                    <w:t>0.0126</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9" w:type="dxa"/>
                  <w:vAlign w:val="center"/>
                </w:tcPr>
                <w:p>
                  <w:pPr>
                    <w:keepNext w:val="0"/>
                    <w:keepLines w:val="0"/>
                    <w:widowControl/>
                    <w:suppressLineNumbers w:val="0"/>
                    <w:jc w:val="center"/>
                    <w:textAlignment w:val="center"/>
                    <w:rPr>
                      <w:color w:val="auto"/>
                      <w:kern w:val="0"/>
                      <w:sz w:val="18"/>
                      <w:szCs w:val="18"/>
                      <w:lang w:bidi="ar"/>
                    </w:rPr>
                  </w:pPr>
                  <w:r>
                    <w:rPr>
                      <w:rFonts w:hint="eastAsia" w:ascii="Times New Roman" w:hAnsi="Times New Roman" w:eastAsia="宋体" w:cs="Times New Roman"/>
                      <w:snapToGrid w:val="0"/>
                      <w:color w:val="auto"/>
                      <w:kern w:val="0"/>
                      <w:sz w:val="18"/>
                      <w:szCs w:val="18"/>
                      <w:lang w:val="en-US" w:eastAsia="zh-CN" w:bidi="ar-SA"/>
                    </w:rPr>
                    <w:t>0.0126</w:t>
                  </w:r>
                </w:p>
              </w:tc>
              <w:tc>
                <w:tcPr>
                  <w:tcW w:w="544"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0.0059</w:t>
                  </w:r>
                </w:p>
              </w:tc>
              <w:tc>
                <w:tcPr>
                  <w:tcW w:w="1018" w:type="dxa"/>
                  <w:vAlign w:val="center"/>
                </w:tcPr>
                <w:p>
                  <w:pPr>
                    <w:keepNext w:val="0"/>
                    <w:keepLines w:val="0"/>
                    <w:widowControl/>
                    <w:suppressLineNumbers w:val="0"/>
                    <w:jc w:val="center"/>
                    <w:textAlignment w:val="center"/>
                    <w:rPr>
                      <w:color w:val="auto"/>
                      <w:kern w:val="0"/>
                      <w:sz w:val="18"/>
                      <w:szCs w:val="18"/>
                    </w:rPr>
                  </w:pPr>
                  <w:r>
                    <w:rPr>
                      <w:rFonts w:hint="eastAsia" w:ascii="Times New Roman" w:hAnsi="Times New Roman" w:eastAsia="宋体" w:cs="Times New Roman"/>
                      <w:snapToGrid w:val="0"/>
                      <w:color w:val="auto"/>
                      <w:kern w:val="0"/>
                      <w:sz w:val="18"/>
                      <w:szCs w:val="18"/>
                      <w:lang w:val="en-US" w:eastAsia="zh-CN" w:bidi="ar-SA"/>
                    </w:rPr>
                    <w:t>0.0126</w:t>
                  </w:r>
                </w:p>
              </w:tc>
              <w:tc>
                <w:tcPr>
                  <w:tcW w:w="1107" w:type="dxa"/>
                  <w:vAlign w:val="center"/>
                </w:tcPr>
                <w:p>
                  <w:pPr>
                    <w:widowControl/>
                    <w:jc w:val="center"/>
                    <w:textAlignment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0.0042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643" w:type="pct"/>
                  <w:vAlign w:val="center"/>
                </w:tcPr>
                <w:p>
                  <w:pPr>
                    <w:adjustRightInd w:val="0"/>
                    <w:snapToGrid w:val="0"/>
                    <w:jc w:val="center"/>
                    <w:rPr>
                      <w:color w:val="auto"/>
                      <w:sz w:val="18"/>
                      <w:szCs w:val="18"/>
                    </w:rPr>
                  </w:pPr>
                  <w:r>
                    <w:rPr>
                      <w:color w:val="auto"/>
                      <w:sz w:val="18"/>
                      <w:szCs w:val="18"/>
                    </w:rPr>
                    <w:t>总磷</w:t>
                  </w:r>
                </w:p>
              </w:tc>
              <w:tc>
                <w:tcPr>
                  <w:tcW w:w="1016" w:type="dxa"/>
                  <w:vAlign w:val="center"/>
                </w:tcPr>
                <w:p>
                  <w:pPr>
                    <w:widowControl/>
                    <w:jc w:val="center"/>
                    <w:textAlignment w:val="center"/>
                    <w:rPr>
                      <w:color w:val="auto"/>
                      <w:kern w:val="0"/>
                      <w:sz w:val="18"/>
                      <w:szCs w:val="18"/>
                      <w:lang w:bidi="ar"/>
                    </w:rPr>
                  </w:pPr>
                  <w:r>
                    <w:rPr>
                      <w:color w:val="auto"/>
                      <w:kern w:val="0"/>
                      <w:sz w:val="18"/>
                      <w:szCs w:val="18"/>
                      <w:lang w:bidi="ar"/>
                    </w:rPr>
                    <w:t>0.0008</w:t>
                  </w:r>
                </w:p>
              </w:tc>
              <w:tc>
                <w:tcPr>
                  <w:tcW w:w="848" w:type="dxa"/>
                  <w:vAlign w:val="center"/>
                </w:tcPr>
                <w:p>
                  <w:pPr>
                    <w:keepNext w:val="0"/>
                    <w:keepLines w:val="0"/>
                    <w:widowControl/>
                    <w:suppressLineNumbers w:val="0"/>
                    <w:jc w:val="center"/>
                    <w:textAlignment w:val="center"/>
                    <w:rPr>
                      <w:color w:val="auto"/>
                      <w:kern w:val="0"/>
                      <w:sz w:val="18"/>
                      <w:szCs w:val="18"/>
                      <w:lang w:bidi="ar"/>
                    </w:rPr>
                  </w:pPr>
                  <w:r>
                    <w:rPr>
                      <w:rFonts w:hint="eastAsia" w:ascii="Times New Roman" w:hAnsi="Times New Roman" w:eastAsia="宋体" w:cs="Times New Roman"/>
                      <w:snapToGrid w:val="0"/>
                      <w:color w:val="auto"/>
                      <w:kern w:val="0"/>
                      <w:sz w:val="18"/>
                      <w:szCs w:val="18"/>
                      <w:lang w:val="en-US" w:eastAsia="zh-CN" w:bidi="ar-SA"/>
                    </w:rPr>
                    <w:t>0.0013</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9" w:type="dxa"/>
                  <w:vAlign w:val="center"/>
                </w:tcPr>
                <w:p>
                  <w:pPr>
                    <w:keepNext w:val="0"/>
                    <w:keepLines w:val="0"/>
                    <w:widowControl/>
                    <w:suppressLineNumbers w:val="0"/>
                    <w:jc w:val="center"/>
                    <w:textAlignment w:val="center"/>
                    <w:rPr>
                      <w:color w:val="auto"/>
                      <w:kern w:val="0"/>
                      <w:sz w:val="18"/>
                      <w:szCs w:val="18"/>
                      <w:lang w:bidi="ar"/>
                    </w:rPr>
                  </w:pPr>
                  <w:r>
                    <w:rPr>
                      <w:rFonts w:hint="eastAsia" w:ascii="Times New Roman" w:hAnsi="Times New Roman" w:eastAsia="宋体" w:cs="Times New Roman"/>
                      <w:snapToGrid w:val="0"/>
                      <w:color w:val="auto"/>
                      <w:kern w:val="0"/>
                      <w:sz w:val="18"/>
                      <w:szCs w:val="18"/>
                      <w:lang w:val="en-US" w:eastAsia="zh-CN" w:bidi="ar-SA"/>
                    </w:rPr>
                    <w:t>0.0013</w:t>
                  </w:r>
                </w:p>
              </w:tc>
              <w:tc>
                <w:tcPr>
                  <w:tcW w:w="544"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848" w:type="dxa"/>
                  <w:vAlign w:val="center"/>
                </w:tcPr>
                <w:p>
                  <w:pPr>
                    <w:keepNext w:val="0"/>
                    <w:keepLines w:val="0"/>
                    <w:widowControl/>
                    <w:suppressLineNumbers w:val="0"/>
                    <w:jc w:val="center"/>
                    <w:textAlignment w:val="center"/>
                    <w:rPr>
                      <w:rFonts w:hint="default" w:ascii="Times New Roman" w:hAnsi="Times New Roman" w:cs="Times New Roman"/>
                      <w:color w:val="auto"/>
                      <w:kern w:val="0"/>
                      <w:sz w:val="18"/>
                      <w:szCs w:val="18"/>
                      <w:lang w:bidi="ar"/>
                    </w:rPr>
                  </w:pPr>
                  <w:r>
                    <w:rPr>
                      <w:rFonts w:hint="default" w:ascii="Times New Roman" w:hAnsi="Times New Roman" w:eastAsia="宋体" w:cs="Times New Roman"/>
                      <w:i w:val="0"/>
                      <w:iCs w:val="0"/>
                      <w:color w:val="auto"/>
                      <w:kern w:val="0"/>
                      <w:sz w:val="18"/>
                      <w:szCs w:val="18"/>
                      <w:u w:val="none"/>
                      <w:lang w:val="en-US" w:eastAsia="zh-CN" w:bidi="ar"/>
                    </w:rPr>
                    <w:t>0.0005</w:t>
                  </w:r>
                </w:p>
              </w:tc>
              <w:tc>
                <w:tcPr>
                  <w:tcW w:w="1018" w:type="dxa"/>
                  <w:vAlign w:val="center"/>
                </w:tcPr>
                <w:p>
                  <w:pPr>
                    <w:keepNext w:val="0"/>
                    <w:keepLines w:val="0"/>
                    <w:widowControl/>
                    <w:suppressLineNumbers w:val="0"/>
                    <w:jc w:val="center"/>
                    <w:textAlignment w:val="center"/>
                    <w:rPr>
                      <w:color w:val="auto"/>
                      <w:kern w:val="0"/>
                      <w:sz w:val="18"/>
                      <w:szCs w:val="18"/>
                    </w:rPr>
                  </w:pPr>
                  <w:r>
                    <w:rPr>
                      <w:rFonts w:hint="eastAsia" w:ascii="Times New Roman" w:hAnsi="Times New Roman" w:eastAsia="宋体" w:cs="Times New Roman"/>
                      <w:snapToGrid w:val="0"/>
                      <w:color w:val="auto"/>
                      <w:kern w:val="0"/>
                      <w:sz w:val="18"/>
                      <w:szCs w:val="18"/>
                      <w:lang w:val="en-US" w:eastAsia="zh-CN" w:bidi="ar-SA"/>
                    </w:rPr>
                    <w:t>0.0013</w:t>
                  </w:r>
                </w:p>
              </w:tc>
              <w:tc>
                <w:tcPr>
                  <w:tcW w:w="1107" w:type="dxa"/>
                  <w:vAlign w:val="center"/>
                </w:tcPr>
                <w:p>
                  <w:pPr>
                    <w:widowControl/>
                    <w:jc w:val="center"/>
                    <w:textAlignment w:val="center"/>
                    <w:rPr>
                      <w:rFonts w:hint="eastAsia" w:ascii="Times New Roman" w:hAnsi="Times New Roman" w:eastAsia="宋体" w:cs="Times New Roman"/>
                      <w:color w:val="auto"/>
                      <w:kern w:val="0"/>
                      <w:sz w:val="18"/>
                      <w:szCs w:val="18"/>
                      <w:lang w:val="en-US" w:eastAsia="zh-CN"/>
                    </w:rPr>
                  </w:pPr>
                  <w:r>
                    <w:rPr>
                      <w:rFonts w:hint="eastAsia" w:ascii="Times New Roman" w:hAnsi="Times New Roman" w:eastAsia="宋体" w:cs="Times New Roman"/>
                      <w:color w:val="auto"/>
                      <w:kern w:val="0"/>
                      <w:sz w:val="18"/>
                      <w:szCs w:val="18"/>
                      <w:lang w:val="en-US" w:eastAsia="zh-CN"/>
                    </w:rPr>
                    <w:t>0.0001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restart"/>
                  <w:vAlign w:val="center"/>
                </w:tcPr>
                <w:p>
                  <w:pPr>
                    <w:adjustRightInd w:val="0"/>
                    <w:snapToGrid w:val="0"/>
                    <w:jc w:val="center"/>
                    <w:rPr>
                      <w:color w:val="auto"/>
                      <w:sz w:val="18"/>
                      <w:szCs w:val="18"/>
                    </w:rPr>
                  </w:pPr>
                  <w:r>
                    <w:rPr>
                      <w:color w:val="auto"/>
                      <w:sz w:val="18"/>
                      <w:szCs w:val="18"/>
                    </w:rPr>
                    <w:t>固废</w:t>
                  </w:r>
                </w:p>
              </w:tc>
              <w:tc>
                <w:tcPr>
                  <w:tcW w:w="643" w:type="pct"/>
                  <w:vAlign w:val="center"/>
                </w:tcPr>
                <w:p>
                  <w:pPr>
                    <w:adjustRightInd w:val="0"/>
                    <w:snapToGrid w:val="0"/>
                    <w:jc w:val="center"/>
                    <w:rPr>
                      <w:color w:val="auto"/>
                      <w:sz w:val="18"/>
                      <w:szCs w:val="18"/>
                    </w:rPr>
                  </w:pPr>
                  <w:r>
                    <w:rPr>
                      <w:color w:val="auto"/>
                      <w:sz w:val="18"/>
                      <w:szCs w:val="18"/>
                    </w:rPr>
                    <w:t>一般固废</w:t>
                  </w:r>
                </w:p>
              </w:tc>
              <w:tc>
                <w:tcPr>
                  <w:tcW w:w="54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13.5942</w:t>
                  </w:r>
                </w:p>
              </w:tc>
              <w:tc>
                <w:tcPr>
                  <w:tcW w:w="84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13.5942</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544" w:type="pct"/>
                  <w:vAlign w:val="center"/>
                </w:tcPr>
                <w:p>
                  <w:pPr>
                    <w:widowControl/>
                    <w:jc w:val="center"/>
                    <w:textAlignment w:val="center"/>
                    <w:rPr>
                      <w:color w:val="auto"/>
                      <w:kern w:val="0"/>
                      <w:sz w:val="18"/>
                      <w:szCs w:val="18"/>
                      <w:lang w:bidi="ar"/>
                    </w:rPr>
                  </w:pPr>
                  <w:r>
                    <w:rPr>
                      <w:color w:val="auto"/>
                      <w:kern w:val="0"/>
                      <w:sz w:val="18"/>
                      <w:szCs w:val="18"/>
                      <w:lang w:bidi="ar"/>
                    </w:rPr>
                    <w:t>0</w:t>
                  </w:r>
                </w:p>
              </w:tc>
              <w:tc>
                <w:tcPr>
                  <w:tcW w:w="453" w:type="pct"/>
                  <w:vAlign w:val="center"/>
                </w:tcPr>
                <w:p>
                  <w:pPr>
                    <w:widowControl/>
                    <w:jc w:val="center"/>
                    <w:textAlignment w:val="center"/>
                    <w:rPr>
                      <w:color w:val="auto"/>
                      <w:kern w:val="0"/>
                      <w:sz w:val="18"/>
                      <w:szCs w:val="18"/>
                      <w:lang w:bidi="ar"/>
                    </w:rPr>
                  </w:pPr>
                  <w:r>
                    <w:rPr>
                      <w:color w:val="auto"/>
                      <w:kern w:val="0"/>
                      <w:sz w:val="18"/>
                      <w:szCs w:val="18"/>
                      <w:lang w:bidi="ar"/>
                    </w:rPr>
                    <w:t>0</w:t>
                  </w:r>
                </w:p>
              </w:tc>
              <w:tc>
                <w:tcPr>
                  <w:tcW w:w="1135" w:type="pct"/>
                  <w:gridSpan w:val="2"/>
                  <w:vAlign w:val="center"/>
                </w:tcPr>
                <w:p>
                  <w:pPr>
                    <w:widowControl/>
                    <w:jc w:val="center"/>
                    <w:textAlignment w:val="center"/>
                    <w:rPr>
                      <w:color w:val="auto"/>
                      <w:kern w:val="0"/>
                      <w:sz w:val="18"/>
                      <w:szCs w:val="18"/>
                      <w:lang w:bidi="ar"/>
                    </w:rPr>
                  </w:pPr>
                  <w:r>
                    <w:rPr>
                      <w:color w:val="auto"/>
                      <w:kern w:val="0"/>
                      <w:sz w:val="18"/>
                      <w:szCs w:val="18"/>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643" w:type="pct"/>
                  <w:vAlign w:val="center"/>
                </w:tcPr>
                <w:p>
                  <w:pPr>
                    <w:adjustRightInd w:val="0"/>
                    <w:snapToGrid w:val="0"/>
                    <w:jc w:val="center"/>
                    <w:rPr>
                      <w:color w:val="auto"/>
                      <w:sz w:val="18"/>
                      <w:szCs w:val="18"/>
                    </w:rPr>
                  </w:pPr>
                  <w:r>
                    <w:rPr>
                      <w:color w:val="auto"/>
                      <w:sz w:val="18"/>
                      <w:szCs w:val="18"/>
                    </w:rPr>
                    <w:t>危险固废</w:t>
                  </w:r>
                </w:p>
              </w:tc>
              <w:tc>
                <w:tcPr>
                  <w:tcW w:w="54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1.6896</w:t>
                  </w:r>
                </w:p>
              </w:tc>
              <w:tc>
                <w:tcPr>
                  <w:tcW w:w="84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1.6896</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544" w:type="pct"/>
                  <w:vAlign w:val="center"/>
                </w:tcPr>
                <w:p>
                  <w:pPr>
                    <w:widowControl/>
                    <w:jc w:val="center"/>
                    <w:textAlignment w:val="center"/>
                    <w:rPr>
                      <w:color w:val="auto"/>
                      <w:kern w:val="0"/>
                      <w:sz w:val="18"/>
                      <w:szCs w:val="18"/>
                      <w:lang w:bidi="ar"/>
                    </w:rPr>
                  </w:pPr>
                  <w:r>
                    <w:rPr>
                      <w:color w:val="auto"/>
                      <w:kern w:val="0"/>
                      <w:sz w:val="18"/>
                      <w:szCs w:val="18"/>
                      <w:lang w:bidi="ar"/>
                    </w:rPr>
                    <w:t>0</w:t>
                  </w:r>
                </w:p>
              </w:tc>
              <w:tc>
                <w:tcPr>
                  <w:tcW w:w="453" w:type="pct"/>
                  <w:vAlign w:val="center"/>
                </w:tcPr>
                <w:p>
                  <w:pPr>
                    <w:widowControl/>
                    <w:jc w:val="center"/>
                    <w:textAlignment w:val="center"/>
                    <w:rPr>
                      <w:color w:val="auto"/>
                      <w:kern w:val="0"/>
                      <w:sz w:val="18"/>
                      <w:szCs w:val="18"/>
                      <w:lang w:bidi="ar"/>
                    </w:rPr>
                  </w:pPr>
                  <w:r>
                    <w:rPr>
                      <w:color w:val="auto"/>
                      <w:kern w:val="0"/>
                      <w:sz w:val="18"/>
                      <w:szCs w:val="18"/>
                      <w:lang w:bidi="ar"/>
                    </w:rPr>
                    <w:t>0</w:t>
                  </w:r>
                </w:p>
              </w:tc>
              <w:tc>
                <w:tcPr>
                  <w:tcW w:w="1135" w:type="pct"/>
                  <w:gridSpan w:val="2"/>
                  <w:vAlign w:val="center"/>
                </w:tcPr>
                <w:p>
                  <w:pPr>
                    <w:widowControl/>
                    <w:jc w:val="center"/>
                    <w:textAlignment w:val="center"/>
                    <w:rPr>
                      <w:color w:val="auto"/>
                      <w:kern w:val="0"/>
                      <w:sz w:val="18"/>
                      <w:szCs w:val="18"/>
                      <w:lang w:bidi="ar"/>
                    </w:rPr>
                  </w:pPr>
                  <w:r>
                    <w:rPr>
                      <w:color w:val="auto"/>
                      <w:kern w:val="0"/>
                      <w:sz w:val="18"/>
                      <w:szCs w:val="18"/>
                      <w:lang w:bidi="ar"/>
                    </w:rPr>
                    <w:t>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jc w:val="center"/>
              </w:trPr>
              <w:tc>
                <w:tcPr>
                  <w:tcW w:w="320" w:type="pct"/>
                  <w:vMerge w:val="continue"/>
                  <w:vAlign w:val="center"/>
                </w:tcPr>
                <w:p>
                  <w:pPr>
                    <w:adjustRightInd w:val="0"/>
                    <w:snapToGrid w:val="0"/>
                    <w:jc w:val="center"/>
                    <w:rPr>
                      <w:color w:val="auto"/>
                      <w:sz w:val="18"/>
                      <w:szCs w:val="18"/>
                    </w:rPr>
                  </w:pPr>
                </w:p>
              </w:tc>
              <w:tc>
                <w:tcPr>
                  <w:tcW w:w="643" w:type="pct"/>
                  <w:vAlign w:val="center"/>
                </w:tcPr>
                <w:p>
                  <w:pPr>
                    <w:adjustRightInd w:val="0"/>
                    <w:snapToGrid w:val="0"/>
                    <w:jc w:val="center"/>
                    <w:rPr>
                      <w:color w:val="auto"/>
                      <w:sz w:val="18"/>
                      <w:szCs w:val="18"/>
                    </w:rPr>
                  </w:pPr>
                  <w:r>
                    <w:rPr>
                      <w:color w:val="auto"/>
                      <w:sz w:val="18"/>
                      <w:szCs w:val="18"/>
                    </w:rPr>
                    <w:t>生活垃圾</w:t>
                  </w:r>
                </w:p>
              </w:tc>
              <w:tc>
                <w:tcPr>
                  <w:tcW w:w="54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3</w:t>
                  </w:r>
                </w:p>
              </w:tc>
              <w:tc>
                <w:tcPr>
                  <w:tcW w:w="848" w:type="dxa"/>
                  <w:vAlign w:val="center"/>
                </w:tcPr>
                <w:p>
                  <w:pPr>
                    <w:widowControl/>
                    <w:jc w:val="center"/>
                    <w:textAlignment w:val="center"/>
                    <w:rPr>
                      <w:color w:val="auto"/>
                      <w:kern w:val="0"/>
                      <w:sz w:val="18"/>
                      <w:szCs w:val="18"/>
                      <w:lang w:bidi="ar"/>
                    </w:rPr>
                  </w:pPr>
                  <w:r>
                    <w:rPr>
                      <w:rFonts w:hint="eastAsia"/>
                      <w:color w:val="auto"/>
                      <w:kern w:val="0"/>
                      <w:sz w:val="18"/>
                      <w:szCs w:val="18"/>
                      <w:lang w:bidi="ar"/>
                    </w:rPr>
                    <w:t>3</w:t>
                  </w:r>
                </w:p>
              </w:tc>
              <w:tc>
                <w:tcPr>
                  <w:tcW w:w="453" w:type="pct"/>
                  <w:vAlign w:val="center"/>
                </w:tcPr>
                <w:p>
                  <w:pPr>
                    <w:widowControl/>
                    <w:jc w:val="center"/>
                    <w:textAlignment w:val="center"/>
                    <w:rPr>
                      <w:color w:val="auto"/>
                      <w:kern w:val="0"/>
                      <w:sz w:val="18"/>
                      <w:szCs w:val="18"/>
                      <w:lang w:bidi="ar"/>
                    </w:rPr>
                  </w:pPr>
                  <w:r>
                    <w:rPr>
                      <w:rFonts w:hint="eastAsia"/>
                      <w:color w:val="auto"/>
                      <w:kern w:val="0"/>
                      <w:sz w:val="18"/>
                      <w:szCs w:val="18"/>
                      <w:lang w:bidi="ar"/>
                    </w:rPr>
                    <w:t>0</w:t>
                  </w:r>
                </w:p>
              </w:tc>
              <w:tc>
                <w:tcPr>
                  <w:tcW w:w="544" w:type="pct"/>
                  <w:vAlign w:val="center"/>
                </w:tcPr>
                <w:p>
                  <w:pPr>
                    <w:widowControl/>
                    <w:jc w:val="center"/>
                    <w:textAlignment w:val="center"/>
                    <w:rPr>
                      <w:color w:val="auto"/>
                      <w:kern w:val="0"/>
                      <w:sz w:val="18"/>
                      <w:szCs w:val="18"/>
                      <w:lang w:bidi="ar"/>
                    </w:rPr>
                  </w:pPr>
                  <w:r>
                    <w:rPr>
                      <w:color w:val="auto"/>
                      <w:kern w:val="0"/>
                      <w:sz w:val="18"/>
                      <w:szCs w:val="18"/>
                      <w:lang w:bidi="ar"/>
                    </w:rPr>
                    <w:t>0</w:t>
                  </w:r>
                </w:p>
              </w:tc>
              <w:tc>
                <w:tcPr>
                  <w:tcW w:w="453" w:type="pct"/>
                  <w:vAlign w:val="center"/>
                </w:tcPr>
                <w:p>
                  <w:pPr>
                    <w:widowControl/>
                    <w:jc w:val="center"/>
                    <w:textAlignment w:val="center"/>
                    <w:rPr>
                      <w:color w:val="auto"/>
                      <w:kern w:val="0"/>
                      <w:sz w:val="18"/>
                      <w:szCs w:val="18"/>
                      <w:lang w:bidi="ar"/>
                    </w:rPr>
                  </w:pPr>
                  <w:r>
                    <w:rPr>
                      <w:color w:val="auto"/>
                      <w:kern w:val="0"/>
                      <w:sz w:val="18"/>
                      <w:szCs w:val="18"/>
                      <w:lang w:bidi="ar"/>
                    </w:rPr>
                    <w:t>0</w:t>
                  </w:r>
                </w:p>
              </w:tc>
              <w:tc>
                <w:tcPr>
                  <w:tcW w:w="1135" w:type="pct"/>
                  <w:gridSpan w:val="2"/>
                  <w:vAlign w:val="center"/>
                </w:tcPr>
                <w:p>
                  <w:pPr>
                    <w:widowControl/>
                    <w:jc w:val="center"/>
                    <w:textAlignment w:val="center"/>
                    <w:rPr>
                      <w:color w:val="auto"/>
                      <w:kern w:val="0"/>
                      <w:sz w:val="18"/>
                      <w:szCs w:val="18"/>
                      <w:lang w:bidi="ar"/>
                    </w:rPr>
                  </w:pPr>
                  <w:r>
                    <w:rPr>
                      <w:color w:val="auto"/>
                      <w:kern w:val="0"/>
                      <w:sz w:val="18"/>
                      <w:szCs w:val="18"/>
                      <w:lang w:bidi="ar"/>
                    </w:rPr>
                    <w:t>0</w:t>
                  </w:r>
                </w:p>
              </w:tc>
            </w:tr>
          </w:tbl>
          <w:p>
            <w:pPr>
              <w:snapToGrid w:val="0"/>
              <w:spacing w:line="360" w:lineRule="auto"/>
              <w:rPr>
                <w:color w:val="auto"/>
                <w:sz w:val="18"/>
              </w:rPr>
            </w:pPr>
            <w:r>
              <w:rPr>
                <w:color w:val="auto"/>
                <w:sz w:val="18"/>
              </w:rPr>
              <w:t>注：[1]</w:t>
            </w:r>
            <w:r>
              <w:rPr>
                <w:rFonts w:hint="eastAsia"/>
                <w:color w:val="auto"/>
                <w:sz w:val="18"/>
              </w:rPr>
              <w:t>为</w:t>
            </w:r>
            <w:r>
              <w:rPr>
                <w:color w:val="auto"/>
                <w:sz w:val="18"/>
              </w:rPr>
              <w:t>接管太仓市城东污水处理厂的接管考核量；</w:t>
            </w:r>
          </w:p>
          <w:p>
            <w:pPr>
              <w:snapToGrid w:val="0"/>
              <w:spacing w:line="360" w:lineRule="auto"/>
              <w:ind w:firstLine="360" w:firstLineChars="200"/>
              <w:rPr>
                <w:color w:val="auto"/>
                <w:sz w:val="18"/>
              </w:rPr>
            </w:pPr>
            <w:r>
              <w:rPr>
                <w:color w:val="auto"/>
                <w:sz w:val="18"/>
              </w:rPr>
              <w:t>[2]为太仓市城东</w:t>
            </w:r>
            <w:r>
              <w:rPr>
                <w:rFonts w:hint="eastAsia"/>
                <w:color w:val="auto"/>
                <w:sz w:val="18"/>
              </w:rPr>
              <w:t>污水</w:t>
            </w:r>
            <w:r>
              <w:rPr>
                <w:color w:val="auto"/>
                <w:sz w:val="18"/>
              </w:rPr>
              <w:t>处理厂出水指标计算，作为本项目排入外环境的水污染物总量</w:t>
            </w:r>
            <w:r>
              <w:rPr>
                <w:rFonts w:hint="eastAsia"/>
                <w:color w:val="auto"/>
                <w:sz w:val="18"/>
              </w:rPr>
              <w:t>。</w:t>
            </w:r>
          </w:p>
          <w:p>
            <w:pPr>
              <w:spacing w:line="360" w:lineRule="auto"/>
              <w:ind w:firstLine="420" w:firstLineChars="200"/>
              <w:rPr>
                <w:color w:val="auto"/>
                <w:szCs w:val="21"/>
              </w:rPr>
            </w:pPr>
            <w:r>
              <w:rPr>
                <w:color w:val="auto"/>
                <w:szCs w:val="21"/>
              </w:rPr>
              <w:t>本项目废气总量控制因子为非甲烷总烃</w:t>
            </w:r>
            <w:r>
              <w:rPr>
                <w:rFonts w:hint="eastAsia"/>
                <w:color w:val="auto"/>
                <w:szCs w:val="21"/>
              </w:rPr>
              <w:t>、颗粒物</w:t>
            </w:r>
            <w:r>
              <w:rPr>
                <w:color w:val="auto"/>
                <w:szCs w:val="21"/>
              </w:rPr>
              <w:t>，废水总量控制因子为COD、SS、NH</w:t>
            </w:r>
            <w:r>
              <w:rPr>
                <w:color w:val="auto"/>
                <w:szCs w:val="21"/>
                <w:vertAlign w:val="subscript"/>
              </w:rPr>
              <w:t>3</w:t>
            </w:r>
            <w:r>
              <w:rPr>
                <w:color w:val="auto"/>
                <w:szCs w:val="21"/>
              </w:rPr>
              <w:t>-N、TP、TN。项目建成后，新增污染物排放总量控制建议指标如下：</w:t>
            </w:r>
          </w:p>
          <w:p>
            <w:pPr>
              <w:adjustRightInd w:val="0"/>
              <w:snapToGrid w:val="0"/>
              <w:spacing w:line="360" w:lineRule="auto"/>
              <w:ind w:firstLine="420" w:firstLineChars="200"/>
              <w:jc w:val="left"/>
              <w:rPr>
                <w:color w:val="auto"/>
                <w:spacing w:val="-10"/>
                <w:szCs w:val="21"/>
              </w:rPr>
            </w:pPr>
            <w:r>
              <w:rPr>
                <w:color w:val="auto"/>
                <w:szCs w:val="21"/>
              </w:rPr>
              <w:t>项目</w:t>
            </w:r>
            <w:r>
              <w:rPr>
                <w:rFonts w:hint="eastAsia"/>
                <w:color w:val="auto"/>
                <w:szCs w:val="21"/>
              </w:rPr>
              <w:t>建成后全厂</w:t>
            </w:r>
            <w:r>
              <w:rPr>
                <w:color w:val="auto"/>
                <w:szCs w:val="21"/>
              </w:rPr>
              <w:t>大气污染物排放量为</w:t>
            </w:r>
            <w:r>
              <w:rPr>
                <w:rFonts w:hint="eastAsia"/>
                <w:color w:val="auto"/>
                <w:szCs w:val="21"/>
              </w:rPr>
              <w:t>：</w:t>
            </w:r>
            <w:r>
              <w:rPr>
                <w:color w:val="auto"/>
                <w:szCs w:val="21"/>
              </w:rPr>
              <w:t>有组织大气污染物排放量为：</w:t>
            </w:r>
            <w:r>
              <w:rPr>
                <w:rFonts w:hint="eastAsia"/>
                <w:color w:val="auto"/>
                <w:szCs w:val="21"/>
              </w:rPr>
              <w:t>非甲烷总烃0</w:t>
            </w:r>
            <w:r>
              <w:rPr>
                <w:color w:val="auto"/>
                <w:szCs w:val="21"/>
              </w:rPr>
              <w:t>.</w:t>
            </w:r>
            <w:r>
              <w:rPr>
                <w:rFonts w:hint="eastAsia"/>
                <w:color w:val="auto"/>
                <w:szCs w:val="21"/>
              </w:rPr>
              <w:t>0075t</w:t>
            </w:r>
            <w:r>
              <w:rPr>
                <w:color w:val="auto"/>
                <w:szCs w:val="21"/>
              </w:rPr>
              <w:t>/</w:t>
            </w:r>
            <w:r>
              <w:rPr>
                <w:rFonts w:hint="eastAsia"/>
                <w:color w:val="auto"/>
                <w:szCs w:val="21"/>
              </w:rPr>
              <w:t>a</w:t>
            </w:r>
            <w:r>
              <w:rPr>
                <w:color w:val="auto"/>
                <w:szCs w:val="21"/>
              </w:rPr>
              <w:t>、</w:t>
            </w:r>
            <w:r>
              <w:rPr>
                <w:rFonts w:hint="eastAsia"/>
                <w:color w:val="auto"/>
                <w:szCs w:val="21"/>
              </w:rPr>
              <w:t>颗粒物0</w:t>
            </w:r>
            <w:r>
              <w:rPr>
                <w:color w:val="auto"/>
                <w:szCs w:val="21"/>
              </w:rPr>
              <w:t>.</w:t>
            </w:r>
            <w:r>
              <w:rPr>
                <w:rFonts w:hint="eastAsia"/>
                <w:color w:val="auto"/>
                <w:szCs w:val="21"/>
              </w:rPr>
              <w:t>0007t</w:t>
            </w:r>
            <w:r>
              <w:rPr>
                <w:color w:val="auto"/>
                <w:szCs w:val="21"/>
              </w:rPr>
              <w:t>/</w:t>
            </w:r>
            <w:r>
              <w:rPr>
                <w:rFonts w:hint="eastAsia"/>
                <w:color w:val="auto"/>
                <w:szCs w:val="21"/>
              </w:rPr>
              <w:t>a</w:t>
            </w:r>
            <w:r>
              <w:rPr>
                <w:color w:val="auto"/>
                <w:szCs w:val="21"/>
              </w:rPr>
              <w:t>、</w:t>
            </w:r>
            <w:r>
              <w:rPr>
                <w:rFonts w:hint="eastAsia"/>
                <w:color w:val="auto"/>
                <w:szCs w:val="21"/>
              </w:rPr>
              <w:t>CS</w:t>
            </w:r>
            <w:r>
              <w:rPr>
                <w:rFonts w:hint="eastAsia"/>
                <w:color w:val="auto"/>
                <w:szCs w:val="21"/>
                <w:vertAlign w:val="subscript"/>
              </w:rPr>
              <w:t>2</w:t>
            </w:r>
            <w:r>
              <w:rPr>
                <w:rFonts w:hint="eastAsia"/>
                <w:color w:val="auto"/>
                <w:szCs w:val="21"/>
              </w:rPr>
              <w:t>0</w:t>
            </w:r>
            <w:r>
              <w:rPr>
                <w:color w:val="auto"/>
                <w:szCs w:val="21"/>
              </w:rPr>
              <w:t>.</w:t>
            </w:r>
            <w:r>
              <w:rPr>
                <w:rFonts w:hint="eastAsia"/>
                <w:color w:val="auto"/>
                <w:szCs w:val="21"/>
              </w:rPr>
              <w:t>00003t</w:t>
            </w:r>
            <w:r>
              <w:rPr>
                <w:color w:val="auto"/>
                <w:szCs w:val="21"/>
              </w:rPr>
              <w:t>/</w:t>
            </w:r>
            <w:r>
              <w:rPr>
                <w:rFonts w:hint="eastAsia"/>
                <w:color w:val="auto"/>
                <w:szCs w:val="21"/>
              </w:rPr>
              <w:t>a</w:t>
            </w:r>
            <w:r>
              <w:rPr>
                <w:color w:val="auto"/>
                <w:szCs w:val="21"/>
              </w:rPr>
              <w:t>、</w:t>
            </w:r>
            <w:r>
              <w:rPr>
                <w:rFonts w:hint="eastAsia"/>
                <w:color w:val="auto"/>
                <w:szCs w:val="21"/>
              </w:rPr>
              <w:t>硫化氢0.0003</w:t>
            </w:r>
            <w:r>
              <w:rPr>
                <w:color w:val="auto"/>
                <w:szCs w:val="21"/>
              </w:rPr>
              <w:t>t/a；无组织大气污染物排放量为</w:t>
            </w:r>
            <w:r>
              <w:rPr>
                <w:rFonts w:hint="eastAsia"/>
                <w:color w:val="auto"/>
                <w:szCs w:val="21"/>
              </w:rPr>
              <w:t>：非甲烷总烃</w:t>
            </w:r>
            <w:r>
              <w:rPr>
                <w:color w:val="auto"/>
                <w:szCs w:val="21"/>
              </w:rPr>
              <w:t>0.</w:t>
            </w:r>
            <w:r>
              <w:rPr>
                <w:rFonts w:hint="eastAsia"/>
                <w:color w:val="auto"/>
                <w:szCs w:val="21"/>
              </w:rPr>
              <w:t>0083</w:t>
            </w:r>
            <w:r>
              <w:rPr>
                <w:color w:val="auto"/>
                <w:szCs w:val="21"/>
              </w:rPr>
              <w:t>t/a、</w:t>
            </w:r>
            <w:r>
              <w:rPr>
                <w:rFonts w:hint="eastAsia"/>
                <w:color w:val="auto"/>
                <w:szCs w:val="21"/>
              </w:rPr>
              <w:t>颗粒物0</w:t>
            </w:r>
            <w:r>
              <w:rPr>
                <w:color w:val="auto"/>
                <w:szCs w:val="21"/>
              </w:rPr>
              <w:t>.</w:t>
            </w:r>
            <w:r>
              <w:rPr>
                <w:rFonts w:hint="eastAsia"/>
                <w:color w:val="auto"/>
                <w:szCs w:val="21"/>
              </w:rPr>
              <w:t>0083t</w:t>
            </w:r>
            <w:r>
              <w:rPr>
                <w:color w:val="auto"/>
                <w:szCs w:val="21"/>
              </w:rPr>
              <w:t>/</w:t>
            </w:r>
            <w:r>
              <w:rPr>
                <w:rFonts w:hint="eastAsia"/>
                <w:color w:val="auto"/>
                <w:szCs w:val="21"/>
              </w:rPr>
              <w:t>a</w:t>
            </w:r>
            <w:r>
              <w:rPr>
                <w:color w:val="auto"/>
                <w:szCs w:val="21"/>
              </w:rPr>
              <w:t>、</w:t>
            </w:r>
            <w:r>
              <w:rPr>
                <w:rFonts w:hint="eastAsia"/>
                <w:color w:val="auto"/>
                <w:szCs w:val="21"/>
              </w:rPr>
              <w:t>CS</w:t>
            </w:r>
            <w:r>
              <w:rPr>
                <w:rFonts w:hint="eastAsia"/>
                <w:color w:val="auto"/>
                <w:szCs w:val="21"/>
                <w:vertAlign w:val="subscript"/>
              </w:rPr>
              <w:t>2</w:t>
            </w:r>
            <w:r>
              <w:rPr>
                <w:rFonts w:hint="eastAsia"/>
                <w:color w:val="auto"/>
                <w:szCs w:val="21"/>
              </w:rPr>
              <w:t>0</w:t>
            </w:r>
            <w:r>
              <w:rPr>
                <w:color w:val="auto"/>
                <w:szCs w:val="21"/>
              </w:rPr>
              <w:t>.</w:t>
            </w:r>
            <w:r>
              <w:rPr>
                <w:rFonts w:hint="eastAsia"/>
                <w:color w:val="auto"/>
                <w:szCs w:val="21"/>
              </w:rPr>
              <w:t>00003t</w:t>
            </w:r>
            <w:r>
              <w:rPr>
                <w:color w:val="auto"/>
                <w:szCs w:val="21"/>
              </w:rPr>
              <w:t>/</w:t>
            </w:r>
            <w:r>
              <w:rPr>
                <w:rFonts w:hint="eastAsia"/>
                <w:color w:val="auto"/>
                <w:szCs w:val="21"/>
              </w:rPr>
              <w:t>a</w:t>
            </w:r>
            <w:r>
              <w:rPr>
                <w:color w:val="auto"/>
                <w:szCs w:val="21"/>
              </w:rPr>
              <w:t>、</w:t>
            </w:r>
            <w:r>
              <w:rPr>
                <w:rFonts w:hint="eastAsia"/>
                <w:color w:val="auto"/>
                <w:szCs w:val="21"/>
              </w:rPr>
              <w:t>硫化氢0.0003</w:t>
            </w:r>
            <w:r>
              <w:rPr>
                <w:color w:val="auto"/>
                <w:szCs w:val="21"/>
              </w:rPr>
              <w:t xml:space="preserve">t/a </w:t>
            </w:r>
            <w:r>
              <w:rPr>
                <w:color w:val="auto"/>
                <w:spacing w:val="-10"/>
                <w:szCs w:val="21"/>
              </w:rPr>
              <w:t>，仅作为考核量；</w:t>
            </w:r>
          </w:p>
          <w:p>
            <w:pPr>
              <w:adjustRightInd w:val="0"/>
              <w:snapToGrid w:val="0"/>
              <w:spacing w:line="360" w:lineRule="auto"/>
              <w:ind w:firstLine="420" w:firstLineChars="200"/>
              <w:jc w:val="left"/>
              <w:rPr>
                <w:color w:val="auto"/>
                <w:kern w:val="0"/>
                <w:szCs w:val="21"/>
              </w:rPr>
            </w:pPr>
            <w:r>
              <w:rPr>
                <w:color w:val="auto"/>
                <w:szCs w:val="21"/>
              </w:rPr>
              <w:t>水污染物接管考核总量为：废水量</w:t>
            </w:r>
            <w:r>
              <w:rPr>
                <w:rFonts w:hint="eastAsia"/>
                <w:color w:val="auto"/>
                <w:szCs w:val="21"/>
                <w:lang w:val="en-US" w:eastAsia="zh-CN"/>
              </w:rPr>
              <w:t>4</w:t>
            </w:r>
            <w:r>
              <w:rPr>
                <w:rFonts w:hint="eastAsia"/>
                <w:color w:val="auto"/>
                <w:szCs w:val="21"/>
              </w:rPr>
              <w:t>20</w:t>
            </w:r>
            <w:r>
              <w:rPr>
                <w:color w:val="auto"/>
                <w:szCs w:val="21"/>
              </w:rPr>
              <w:t>t/a、COD</w:t>
            </w:r>
            <w:r>
              <w:rPr>
                <w:rFonts w:hint="eastAsia"/>
                <w:color w:val="auto"/>
                <w:szCs w:val="21"/>
              </w:rPr>
              <w:t>0.1</w:t>
            </w:r>
            <w:r>
              <w:rPr>
                <w:rFonts w:hint="eastAsia"/>
                <w:color w:val="auto"/>
                <w:szCs w:val="21"/>
                <w:lang w:val="en-US" w:eastAsia="zh-CN"/>
              </w:rPr>
              <w:t>47</w:t>
            </w:r>
            <w:r>
              <w:rPr>
                <w:color w:val="auto"/>
                <w:szCs w:val="21"/>
              </w:rPr>
              <w:t>t/a、SS</w:t>
            </w:r>
            <w:r>
              <w:rPr>
                <w:rFonts w:hint="eastAsia"/>
                <w:color w:val="auto"/>
                <w:szCs w:val="21"/>
                <w:lang w:val="en-US" w:eastAsia="zh-CN"/>
              </w:rPr>
              <w:t>0.084</w:t>
            </w:r>
            <w:r>
              <w:rPr>
                <w:color w:val="auto"/>
                <w:szCs w:val="21"/>
              </w:rPr>
              <w:t>t/a、氨氮</w:t>
            </w:r>
            <w:r>
              <w:rPr>
                <w:rFonts w:hint="eastAsia"/>
                <w:color w:val="auto"/>
                <w:szCs w:val="21"/>
              </w:rPr>
              <w:t>0.010</w:t>
            </w:r>
            <w:r>
              <w:rPr>
                <w:rFonts w:hint="eastAsia"/>
                <w:color w:val="auto"/>
                <w:szCs w:val="21"/>
                <w:lang w:val="en-US" w:eastAsia="zh-CN"/>
              </w:rPr>
              <w:t>5</w:t>
            </w:r>
            <w:r>
              <w:rPr>
                <w:color w:val="auto"/>
                <w:szCs w:val="21"/>
              </w:rPr>
              <w:t>t/a、总氮</w:t>
            </w:r>
            <w:r>
              <w:rPr>
                <w:rFonts w:hint="eastAsia"/>
                <w:color w:val="auto"/>
                <w:szCs w:val="21"/>
              </w:rPr>
              <w:t>0.01</w:t>
            </w:r>
            <w:r>
              <w:rPr>
                <w:rFonts w:hint="eastAsia"/>
                <w:color w:val="auto"/>
                <w:szCs w:val="21"/>
                <w:lang w:val="en-US" w:eastAsia="zh-CN"/>
              </w:rPr>
              <w:t>26</w:t>
            </w:r>
            <w:r>
              <w:rPr>
                <w:color w:val="auto"/>
                <w:szCs w:val="21"/>
              </w:rPr>
              <w:t>t/a、总磷0.</w:t>
            </w:r>
            <w:r>
              <w:rPr>
                <w:rFonts w:hint="eastAsia"/>
                <w:color w:val="auto"/>
                <w:szCs w:val="21"/>
              </w:rPr>
              <w:t>001</w:t>
            </w:r>
            <w:r>
              <w:rPr>
                <w:rFonts w:hint="eastAsia"/>
                <w:color w:val="auto"/>
                <w:szCs w:val="21"/>
                <w:lang w:val="en-US" w:eastAsia="zh-CN"/>
              </w:rPr>
              <w:t>3</w:t>
            </w:r>
            <w:r>
              <w:rPr>
                <w:color w:val="auto"/>
                <w:szCs w:val="21"/>
              </w:rPr>
              <w:t>t/a，水污染物最终排放量为：废水量</w:t>
            </w:r>
            <w:r>
              <w:rPr>
                <w:rFonts w:hint="eastAsia"/>
                <w:color w:val="auto"/>
                <w:szCs w:val="21"/>
                <w:lang w:val="en-US" w:eastAsia="zh-CN"/>
              </w:rPr>
              <w:t>4</w:t>
            </w:r>
            <w:r>
              <w:rPr>
                <w:rFonts w:hint="eastAsia"/>
                <w:color w:val="auto"/>
                <w:szCs w:val="21"/>
              </w:rPr>
              <w:t>20</w:t>
            </w:r>
            <w:r>
              <w:rPr>
                <w:color w:val="auto"/>
                <w:szCs w:val="21"/>
              </w:rPr>
              <w:t>t/a、COD</w:t>
            </w:r>
            <w:r>
              <w:rPr>
                <w:rFonts w:hint="eastAsia"/>
                <w:color w:val="auto"/>
                <w:szCs w:val="21"/>
              </w:rPr>
              <w:t>0.01</w:t>
            </w:r>
            <w:r>
              <w:rPr>
                <w:rFonts w:hint="eastAsia"/>
                <w:color w:val="auto"/>
                <w:szCs w:val="21"/>
                <w:lang w:val="en-US" w:eastAsia="zh-CN"/>
              </w:rPr>
              <w:t>26</w:t>
            </w:r>
            <w:r>
              <w:rPr>
                <w:color w:val="auto"/>
                <w:szCs w:val="21"/>
              </w:rPr>
              <w:t>t/a、SS</w:t>
            </w:r>
            <w:r>
              <w:rPr>
                <w:rFonts w:hint="eastAsia"/>
                <w:color w:val="auto"/>
                <w:szCs w:val="21"/>
              </w:rPr>
              <w:t>0.00</w:t>
            </w:r>
            <w:r>
              <w:rPr>
                <w:rFonts w:hint="eastAsia"/>
                <w:color w:val="auto"/>
                <w:szCs w:val="21"/>
                <w:lang w:val="en-US" w:eastAsia="zh-CN"/>
              </w:rPr>
              <w:t>4</w:t>
            </w:r>
            <w:r>
              <w:rPr>
                <w:rFonts w:hint="eastAsia"/>
                <w:color w:val="auto"/>
                <w:szCs w:val="21"/>
              </w:rPr>
              <w:t>2</w:t>
            </w:r>
            <w:r>
              <w:rPr>
                <w:color w:val="auto"/>
                <w:szCs w:val="21"/>
              </w:rPr>
              <w:t>t/a、氨氮0.</w:t>
            </w:r>
            <w:r>
              <w:rPr>
                <w:rFonts w:hint="eastAsia"/>
                <w:color w:val="auto"/>
                <w:szCs w:val="21"/>
              </w:rPr>
              <w:t>000</w:t>
            </w:r>
            <w:r>
              <w:rPr>
                <w:rFonts w:hint="eastAsia"/>
                <w:color w:val="auto"/>
                <w:szCs w:val="21"/>
                <w:lang w:val="en-US" w:eastAsia="zh-CN"/>
              </w:rPr>
              <w:t>6</w:t>
            </w:r>
            <w:r>
              <w:rPr>
                <w:color w:val="auto"/>
                <w:szCs w:val="21"/>
              </w:rPr>
              <w:t>t/a、总氮0.</w:t>
            </w:r>
            <w:r>
              <w:rPr>
                <w:rFonts w:hint="eastAsia"/>
                <w:color w:val="auto"/>
                <w:szCs w:val="21"/>
              </w:rPr>
              <w:t>00</w:t>
            </w:r>
            <w:r>
              <w:rPr>
                <w:rFonts w:hint="eastAsia"/>
                <w:color w:val="auto"/>
                <w:szCs w:val="21"/>
                <w:lang w:val="en-US" w:eastAsia="zh-CN"/>
              </w:rPr>
              <w:t>4</w:t>
            </w:r>
            <w:r>
              <w:rPr>
                <w:rFonts w:hint="eastAsia"/>
                <w:color w:val="auto"/>
                <w:szCs w:val="21"/>
              </w:rPr>
              <w:t>2</w:t>
            </w:r>
            <w:r>
              <w:rPr>
                <w:color w:val="auto"/>
                <w:szCs w:val="21"/>
              </w:rPr>
              <w:t>t/a、总磷0.0</w:t>
            </w:r>
            <w:r>
              <w:rPr>
                <w:rFonts w:hint="eastAsia"/>
                <w:color w:val="auto"/>
                <w:szCs w:val="21"/>
              </w:rPr>
              <w:t>00</w:t>
            </w:r>
            <w:r>
              <w:rPr>
                <w:rFonts w:hint="eastAsia"/>
                <w:color w:val="auto"/>
                <w:szCs w:val="21"/>
                <w:lang w:val="en-US" w:eastAsia="zh-CN"/>
              </w:rPr>
              <w:t>1</w:t>
            </w:r>
            <w:r>
              <w:rPr>
                <w:color w:val="auto"/>
                <w:szCs w:val="21"/>
              </w:rPr>
              <w:t>t/a，纳入太仓市城东污水处理厂总量范围内</w:t>
            </w:r>
            <w:r>
              <w:rPr>
                <w:rFonts w:hint="eastAsia"/>
                <w:color w:val="auto"/>
                <w:szCs w:val="21"/>
              </w:rPr>
              <w:t>。</w:t>
            </w:r>
          </w:p>
          <w:p>
            <w:pPr>
              <w:spacing w:line="360" w:lineRule="auto"/>
              <w:ind w:firstLine="420" w:firstLineChars="200"/>
              <w:rPr>
                <w:color w:val="auto"/>
                <w:szCs w:val="21"/>
              </w:rPr>
            </w:pPr>
            <w:r>
              <w:rPr>
                <w:color w:val="auto"/>
                <w:szCs w:val="21"/>
              </w:rPr>
              <w:t>固废排放量为零，不申请总量。</w:t>
            </w:r>
          </w:p>
          <w:p>
            <w:pPr>
              <w:spacing w:line="360" w:lineRule="auto"/>
              <w:ind w:firstLine="420" w:firstLineChars="200"/>
              <w:rPr>
                <w:color w:val="auto"/>
                <w:szCs w:val="21"/>
              </w:rPr>
            </w:pPr>
          </w:p>
          <w:p>
            <w:pPr>
              <w:spacing w:line="360" w:lineRule="auto"/>
              <w:ind w:firstLine="420" w:firstLineChars="200"/>
              <w:rPr>
                <w:color w:val="auto"/>
                <w:szCs w:val="21"/>
              </w:rPr>
            </w:pPr>
          </w:p>
          <w:p>
            <w:pPr>
              <w:spacing w:line="360" w:lineRule="auto"/>
              <w:ind w:firstLine="420" w:firstLineChars="200"/>
              <w:rPr>
                <w:color w:val="auto"/>
                <w:szCs w:val="21"/>
              </w:rPr>
            </w:pPr>
          </w:p>
          <w:p>
            <w:pPr>
              <w:spacing w:line="360" w:lineRule="auto"/>
              <w:rPr>
                <w:color w:val="auto"/>
                <w:szCs w:val="21"/>
              </w:rPr>
            </w:pPr>
          </w:p>
        </w:tc>
      </w:tr>
    </w:tbl>
    <w:p>
      <w:pPr>
        <w:widowControl/>
        <w:jc w:val="left"/>
        <w:rPr>
          <w:rFonts w:eastAsia="黑体"/>
          <w:snapToGrid w:val="0"/>
          <w:color w:val="auto"/>
          <w:sz w:val="30"/>
          <w:szCs w:val="30"/>
        </w:rPr>
        <w:sectPr>
          <w:pgSz w:w="11907" w:h="16840"/>
          <w:pgMar w:top="1440" w:right="1080" w:bottom="1440" w:left="1080" w:header="851" w:footer="851" w:gutter="0"/>
          <w:cols w:space="720" w:num="1"/>
          <w:docGrid w:linePitch="312" w:charSpace="0"/>
        </w:sectPr>
      </w:pPr>
    </w:p>
    <w:p>
      <w:pPr>
        <w:spacing w:line="360" w:lineRule="auto"/>
        <w:jc w:val="center"/>
        <w:outlineLvl w:val="0"/>
        <w:rPr>
          <w:rFonts w:eastAsia="黑体"/>
          <w:snapToGrid w:val="0"/>
          <w:color w:val="auto"/>
          <w:sz w:val="30"/>
          <w:szCs w:val="30"/>
        </w:rPr>
      </w:pPr>
      <w:r>
        <w:rPr>
          <w:rFonts w:eastAsia="黑体"/>
          <w:snapToGrid w:val="0"/>
          <w:color w:val="auto"/>
          <w:sz w:val="30"/>
          <w:szCs w:val="30"/>
        </w:rPr>
        <w:t>四、主要环境影响和保护措施</w:t>
      </w:r>
    </w:p>
    <w:tbl>
      <w:tblPr>
        <w:tblStyle w:val="37"/>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945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21" w:type="dxa"/>
            <w:tcBorders>
              <w:top w:val="single" w:color="auto" w:sz="4" w:space="0"/>
              <w:left w:val="single" w:color="auto" w:sz="4" w:space="0"/>
              <w:bottom w:val="single" w:color="auto" w:sz="4" w:space="0"/>
            </w:tcBorders>
            <w:tcMar>
              <w:left w:w="28" w:type="dxa"/>
              <w:right w:w="28" w:type="dxa"/>
            </w:tcMar>
            <w:vAlign w:val="center"/>
          </w:tcPr>
          <w:p>
            <w:pPr>
              <w:adjustRightInd w:val="0"/>
              <w:snapToGrid w:val="0"/>
              <w:jc w:val="center"/>
              <w:rPr>
                <w:color w:val="auto"/>
                <w:szCs w:val="21"/>
              </w:rPr>
            </w:pPr>
            <w:r>
              <w:rPr>
                <w:color w:val="auto"/>
                <w:szCs w:val="21"/>
              </w:rPr>
              <w:t>施工期环境保护措施</w:t>
            </w:r>
          </w:p>
        </w:tc>
        <w:tc>
          <w:tcPr>
            <w:tcW w:w="9316" w:type="dxa"/>
            <w:tcBorders>
              <w:top w:val="single" w:color="auto" w:sz="4" w:space="0"/>
              <w:bottom w:val="single" w:color="auto" w:sz="4" w:space="0"/>
              <w:right w:val="single" w:color="auto" w:sz="4" w:space="0"/>
            </w:tcBorders>
            <w:vAlign w:val="center"/>
          </w:tcPr>
          <w:p>
            <w:pPr>
              <w:adjustRightInd w:val="0"/>
              <w:snapToGrid w:val="0"/>
              <w:spacing w:line="360" w:lineRule="auto"/>
              <w:jc w:val="center"/>
              <w:rPr>
                <w:color w:val="auto"/>
                <w:szCs w:val="21"/>
              </w:rPr>
            </w:pPr>
            <w:r>
              <w:rPr>
                <w:rFonts w:hint="eastAsia"/>
                <w:color w:val="auto"/>
                <w:szCs w:val="21"/>
              </w:rPr>
              <w:t>施工期主要为设备安装及调试，产生的污染较小，不做具体分析，对周围环境影响很小。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564" w:hRule="atLeast"/>
          <w:jc w:val="center"/>
        </w:trPr>
        <w:tc>
          <w:tcPr>
            <w:tcW w:w="421" w:type="dxa"/>
            <w:tcBorders>
              <w:top w:val="single" w:color="auto" w:sz="4" w:space="0"/>
              <w:left w:val="single" w:color="auto" w:sz="4" w:space="0"/>
              <w:bottom w:val="single" w:color="auto" w:sz="4" w:space="0"/>
            </w:tcBorders>
            <w:tcMar>
              <w:left w:w="28" w:type="dxa"/>
              <w:right w:w="28" w:type="dxa"/>
            </w:tcMar>
            <w:vAlign w:val="center"/>
          </w:tcPr>
          <w:p>
            <w:pPr>
              <w:adjustRightInd w:val="0"/>
              <w:snapToGrid w:val="0"/>
              <w:jc w:val="center"/>
              <w:rPr>
                <w:color w:val="auto"/>
                <w:szCs w:val="21"/>
              </w:rPr>
            </w:pPr>
            <w:r>
              <w:rPr>
                <w:bCs/>
                <w:color w:val="auto"/>
                <w:szCs w:val="21"/>
              </w:rPr>
              <w:t>运营期环境影响和保护措施</w:t>
            </w:r>
          </w:p>
        </w:tc>
        <w:tc>
          <w:tcPr>
            <w:tcW w:w="9316" w:type="dxa"/>
            <w:tcBorders>
              <w:top w:val="single" w:color="auto" w:sz="4" w:space="0"/>
              <w:bottom w:val="single" w:color="auto" w:sz="4" w:space="0"/>
              <w:right w:val="single" w:color="auto" w:sz="4" w:space="0"/>
            </w:tcBorders>
            <w:vAlign w:val="center"/>
          </w:tcPr>
          <w:p>
            <w:pPr>
              <w:spacing w:line="360" w:lineRule="auto"/>
              <w:ind w:firstLine="422" w:firstLineChars="200"/>
              <w:rPr>
                <w:b/>
                <w:bCs/>
                <w:color w:val="auto"/>
                <w:kern w:val="0"/>
                <w:szCs w:val="21"/>
              </w:rPr>
            </w:pPr>
            <w:r>
              <w:rPr>
                <w:b/>
                <w:bCs/>
                <w:color w:val="auto"/>
                <w:kern w:val="0"/>
                <w:szCs w:val="21"/>
              </w:rPr>
              <w:t>1、废气</w:t>
            </w:r>
          </w:p>
          <w:p>
            <w:pPr>
              <w:spacing w:line="360" w:lineRule="auto"/>
              <w:ind w:firstLine="420" w:firstLineChars="200"/>
              <w:rPr>
                <w:bCs/>
                <w:snapToGrid w:val="0"/>
                <w:color w:val="auto"/>
                <w:kern w:val="0"/>
                <w:szCs w:val="21"/>
              </w:rPr>
            </w:pPr>
            <w:r>
              <w:rPr>
                <w:color w:val="auto"/>
                <w:szCs w:val="21"/>
              </w:rPr>
              <w:t>本项目运营期中产生的废气</w:t>
            </w:r>
            <w:r>
              <w:rPr>
                <w:rFonts w:hint="eastAsia"/>
                <w:color w:val="auto"/>
                <w:szCs w:val="21"/>
              </w:rPr>
              <w:t>主要为橡胶加工生产废气以及塑料粒子注塑废气，</w:t>
            </w:r>
            <w:r>
              <w:rPr>
                <w:color w:val="auto"/>
                <w:szCs w:val="21"/>
              </w:rPr>
              <w:t>主要包括：</w:t>
            </w:r>
            <w:r>
              <w:rPr>
                <w:rFonts w:hint="eastAsia"/>
                <w:color w:val="auto"/>
                <w:szCs w:val="21"/>
              </w:rPr>
              <w:t>混炼废气G1-1、开炼废气G1-2、一次成型废气G1-3、二次成型废气G1-4、注塑废气G2-1。各类废气</w:t>
            </w:r>
            <w:r>
              <w:rPr>
                <w:color w:val="auto"/>
                <w:szCs w:val="21"/>
              </w:rPr>
              <w:t>通过集气罩收集后经</w:t>
            </w:r>
            <w:r>
              <w:rPr>
                <w:rFonts w:hint="eastAsia"/>
                <w:color w:val="auto"/>
                <w:szCs w:val="21"/>
              </w:rPr>
              <w:t>布袋除尘+二级</w:t>
            </w:r>
            <w:r>
              <w:rPr>
                <w:color w:val="auto"/>
                <w:szCs w:val="21"/>
              </w:rPr>
              <w:t>活性炭处理后</w:t>
            </w:r>
            <w:r>
              <w:rPr>
                <w:rFonts w:hint="eastAsia"/>
                <w:color w:val="auto"/>
                <w:szCs w:val="21"/>
              </w:rPr>
              <w:t>通过</w:t>
            </w:r>
            <w:r>
              <w:rPr>
                <w:rFonts w:hint="eastAsia"/>
                <w:color w:val="auto"/>
                <w:szCs w:val="21"/>
                <w:lang w:val="en-US" w:eastAsia="zh-CN"/>
              </w:rPr>
              <w:t>25</w:t>
            </w:r>
            <w:r>
              <w:rPr>
                <w:rFonts w:hint="eastAsia"/>
                <w:color w:val="auto"/>
                <w:szCs w:val="21"/>
              </w:rPr>
              <w:t>米高排气筒</w:t>
            </w:r>
            <w:r>
              <w:rPr>
                <w:rFonts w:hint="eastAsia"/>
                <w:color w:val="auto"/>
                <w:kern w:val="0"/>
                <w:szCs w:val="21"/>
              </w:rPr>
              <w:t>（DA001）</w:t>
            </w:r>
            <w:r>
              <w:rPr>
                <w:rFonts w:hint="eastAsia"/>
                <w:color w:val="auto"/>
                <w:szCs w:val="21"/>
              </w:rPr>
              <w:t>高空</w:t>
            </w:r>
            <w:r>
              <w:rPr>
                <w:color w:val="auto"/>
                <w:szCs w:val="21"/>
              </w:rPr>
              <w:t>排放。</w:t>
            </w:r>
          </w:p>
          <w:p>
            <w:pPr>
              <w:pStyle w:val="356"/>
              <w:adjustRightInd w:val="0"/>
              <w:snapToGrid w:val="0"/>
              <w:spacing w:line="360" w:lineRule="auto"/>
              <w:ind w:firstLine="422"/>
              <w:rPr>
                <w:b/>
                <w:bCs/>
                <w:color w:val="auto"/>
                <w:szCs w:val="21"/>
              </w:rPr>
            </w:pPr>
            <w:r>
              <w:rPr>
                <w:rFonts w:hint="eastAsia"/>
                <w:b/>
                <w:bCs/>
                <w:color w:val="auto"/>
                <w:szCs w:val="21"/>
              </w:rPr>
              <w:t>（1）废气源强核算、收集、处理、排放</w:t>
            </w:r>
          </w:p>
          <w:p>
            <w:pPr>
              <w:pStyle w:val="97"/>
              <w:adjustRightInd w:val="0"/>
              <w:snapToGrid w:val="0"/>
              <w:spacing w:line="360" w:lineRule="auto"/>
              <w:ind w:firstLine="480"/>
              <w:rPr>
                <w:color w:val="auto"/>
                <w:kern w:val="0"/>
                <w:szCs w:val="21"/>
                <w:highlight w:val="yellow"/>
                <w:lang w:bidi="ar"/>
              </w:rPr>
            </w:pPr>
            <w:r>
              <w:rPr>
                <w:color w:val="auto"/>
                <w:kern w:val="0"/>
                <w:szCs w:val="21"/>
                <w:lang w:bidi="ar"/>
              </w:rPr>
              <w:t>本项目根据《污染源源强核算技术指南 准则》（HJ884-2018），源强核算方法主要有实测法、物料衡算法、产污系数法、类比法、实验法等。本次源强核算根据制造行业特点主要</w:t>
            </w:r>
            <w:r>
              <w:rPr>
                <w:rFonts w:hint="eastAsia"/>
                <w:color w:val="auto"/>
                <w:kern w:val="0"/>
                <w:szCs w:val="21"/>
                <w:lang w:bidi="ar"/>
              </w:rPr>
              <w:t>为</w:t>
            </w:r>
            <w:r>
              <w:rPr>
                <w:color w:val="auto"/>
                <w:kern w:val="0"/>
                <w:szCs w:val="21"/>
                <w:lang w:bidi="ar"/>
              </w:rPr>
              <w:t>产污系数法。</w:t>
            </w:r>
          </w:p>
          <w:p>
            <w:pPr>
              <w:adjustRightInd w:val="0"/>
              <w:snapToGrid w:val="0"/>
              <w:spacing w:line="360" w:lineRule="auto"/>
              <w:ind w:firstLine="422" w:firstLineChars="200"/>
              <w:rPr>
                <w:b/>
                <w:bCs/>
                <w:color w:val="auto"/>
                <w:kern w:val="0"/>
                <w:szCs w:val="21"/>
              </w:rPr>
            </w:pPr>
            <w:r>
              <w:rPr>
                <w:rFonts w:hint="eastAsia"/>
                <w:b/>
                <w:bCs/>
                <w:color w:val="auto"/>
                <w:kern w:val="0"/>
                <w:szCs w:val="21"/>
              </w:rPr>
              <w:t>1）橡胶生产线废气</w:t>
            </w:r>
          </w:p>
          <w:p>
            <w:pPr>
              <w:spacing w:line="360" w:lineRule="auto"/>
              <w:ind w:firstLine="420" w:firstLineChars="200"/>
              <w:rPr>
                <w:color w:val="auto"/>
              </w:rPr>
            </w:pPr>
            <w:r>
              <w:rPr>
                <w:color w:val="auto"/>
                <w:szCs w:val="21"/>
              </w:rPr>
              <w:t>本项目</w:t>
            </w:r>
            <w:r>
              <w:rPr>
                <w:rFonts w:hint="eastAsia"/>
                <w:color w:val="auto"/>
                <w:szCs w:val="21"/>
              </w:rPr>
              <w:t>橡胶件生产过程（混炼、开炼、一次成型、二次成型）会产生废气，经查阅相关资料，橡胶行业炼胶废气等均为混合气体，成分复杂，主要包括颗粒物、挥发性有机物和恶臭污染物。其中挥发性有机物种类较多，本项目以非甲烷总烃计；恶臭污染物以H</w:t>
            </w:r>
            <w:r>
              <w:rPr>
                <w:rFonts w:hint="eastAsia"/>
                <w:color w:val="auto"/>
                <w:szCs w:val="21"/>
                <w:vertAlign w:val="subscript"/>
              </w:rPr>
              <w:t>2</w:t>
            </w:r>
            <w:r>
              <w:rPr>
                <w:rFonts w:hint="eastAsia"/>
                <w:color w:val="auto"/>
                <w:szCs w:val="21"/>
              </w:rPr>
              <w:t>S、CS</w:t>
            </w:r>
            <w:r>
              <w:rPr>
                <w:rFonts w:hint="eastAsia"/>
                <w:color w:val="auto"/>
                <w:szCs w:val="21"/>
                <w:vertAlign w:val="subscript"/>
              </w:rPr>
              <w:t>2</w:t>
            </w:r>
            <w:r>
              <w:rPr>
                <w:rFonts w:hint="eastAsia"/>
                <w:color w:val="auto"/>
                <w:szCs w:val="21"/>
              </w:rPr>
              <w:t>计算。</w:t>
            </w:r>
          </w:p>
          <w:p>
            <w:pPr>
              <w:pStyle w:val="47"/>
              <w:spacing w:line="360" w:lineRule="auto"/>
              <w:ind w:firstLine="420" w:firstLineChars="200"/>
              <w:jc w:val="both"/>
              <w:rPr>
                <w:rFonts w:ascii="Times New Roman" w:cs="Times New Roman"/>
                <w:color w:val="auto"/>
                <w:sz w:val="21"/>
                <w:szCs w:val="21"/>
              </w:rPr>
            </w:pPr>
            <w:r>
              <w:rPr>
                <w:rFonts w:ascii="Times New Roman" w:cs="Times New Roman"/>
                <w:color w:val="auto"/>
                <w:sz w:val="21"/>
                <w:szCs w:val="21"/>
              </w:rPr>
              <w:t>①密炼废气：</w:t>
            </w:r>
          </w:p>
          <w:p>
            <w:pPr>
              <w:pStyle w:val="47"/>
              <w:spacing w:line="360" w:lineRule="auto"/>
              <w:ind w:firstLine="420" w:firstLineChars="200"/>
              <w:jc w:val="both"/>
              <w:rPr>
                <w:rFonts w:ascii="Times New Roman" w:cs="Times New Roman"/>
                <w:color w:val="auto"/>
                <w:sz w:val="21"/>
                <w:szCs w:val="21"/>
              </w:rPr>
            </w:pPr>
            <w:r>
              <w:rPr>
                <w:rFonts w:ascii="Times New Roman" w:cs="Times New Roman"/>
                <w:color w:val="auto"/>
                <w:sz w:val="21"/>
                <w:szCs w:val="21"/>
              </w:rPr>
              <w:t>橡胶密炼时有机废气主要成分为烷烃、烯烃和芳烃的裂解产物等，主要控制因子为非甲烷总烃。根据论文《橡胶制品生产过程中有机废气的排放系数》（橡胶工业，2006 年第53 卷），密炼工序总目标有机物的产生量约 299mg/kg。</w:t>
            </w:r>
          </w:p>
          <w:p>
            <w:pPr>
              <w:adjustRightInd w:val="0"/>
              <w:snapToGrid w:val="0"/>
              <w:spacing w:line="360" w:lineRule="auto"/>
              <w:ind w:firstLine="420" w:firstLineChars="200"/>
              <w:rPr>
                <w:color w:val="auto"/>
                <w:szCs w:val="21"/>
                <w:lang w:val="en-GB"/>
              </w:rPr>
            </w:pPr>
            <w:r>
              <w:rPr>
                <w:rFonts w:hint="eastAsia"/>
                <w:color w:val="auto"/>
                <w:szCs w:val="21"/>
              </w:rPr>
              <w:t>根据企业生产经验，</w:t>
            </w:r>
            <w:r>
              <w:rPr>
                <w:color w:val="auto"/>
                <w:szCs w:val="21"/>
              </w:rPr>
              <w:t>本项目</w:t>
            </w:r>
            <w:r>
              <w:rPr>
                <w:rFonts w:hint="eastAsia"/>
                <w:color w:val="auto"/>
                <w:szCs w:val="21"/>
              </w:rPr>
              <w:t>需要密炼的</w:t>
            </w:r>
            <w:r>
              <w:rPr>
                <w:color w:val="auto"/>
                <w:szCs w:val="21"/>
              </w:rPr>
              <w:t>混炼胶使用量为</w:t>
            </w:r>
            <w:r>
              <w:rPr>
                <w:rFonts w:hint="eastAsia"/>
                <w:color w:val="auto"/>
                <w:szCs w:val="21"/>
              </w:rPr>
              <w:t>1</w:t>
            </w:r>
            <w:r>
              <w:rPr>
                <w:color w:val="auto"/>
                <w:szCs w:val="21"/>
              </w:rPr>
              <w:t>0t/a，则密炼废气（非甲烷总烃）产生量为0.0</w:t>
            </w:r>
            <w:r>
              <w:rPr>
                <w:rFonts w:hint="eastAsia"/>
                <w:color w:val="auto"/>
                <w:szCs w:val="21"/>
              </w:rPr>
              <w:t>03</w:t>
            </w:r>
            <w:r>
              <w:rPr>
                <w:color w:val="auto"/>
                <w:szCs w:val="21"/>
              </w:rPr>
              <w:t>t/a。根据企业提供资料，项目密炼工序工作时间约为</w:t>
            </w:r>
            <w:r>
              <w:rPr>
                <w:rFonts w:hint="eastAsia"/>
                <w:color w:val="auto"/>
                <w:szCs w:val="21"/>
              </w:rPr>
              <w:t>5</w:t>
            </w:r>
            <w:r>
              <w:rPr>
                <w:color w:val="auto"/>
                <w:szCs w:val="21"/>
              </w:rPr>
              <w:t>00</w:t>
            </w:r>
            <w:r>
              <w:rPr>
                <w:rFonts w:hint="eastAsia"/>
                <w:color w:val="auto"/>
                <w:szCs w:val="21"/>
              </w:rPr>
              <w:t>0</w:t>
            </w:r>
            <w:r>
              <w:rPr>
                <w:color w:val="auto"/>
                <w:szCs w:val="21"/>
              </w:rPr>
              <w:t>h。</w:t>
            </w:r>
          </w:p>
          <w:p>
            <w:pPr>
              <w:pStyle w:val="47"/>
              <w:spacing w:line="360" w:lineRule="auto"/>
              <w:ind w:firstLine="420" w:firstLineChars="200"/>
              <w:jc w:val="both"/>
              <w:rPr>
                <w:rFonts w:ascii="Times New Roman" w:cs="Times New Roman"/>
                <w:color w:val="auto"/>
                <w:sz w:val="21"/>
                <w:szCs w:val="21"/>
              </w:rPr>
            </w:pPr>
            <w:r>
              <w:rPr>
                <w:rFonts w:ascii="Times New Roman" w:cs="Times New Roman"/>
                <w:color w:val="auto"/>
                <w:sz w:val="21"/>
                <w:szCs w:val="21"/>
              </w:rPr>
              <w:t>②开炼废气：</w:t>
            </w:r>
          </w:p>
          <w:p>
            <w:pPr>
              <w:pStyle w:val="47"/>
              <w:spacing w:line="360" w:lineRule="auto"/>
              <w:ind w:firstLine="420" w:firstLineChars="200"/>
              <w:jc w:val="both"/>
              <w:rPr>
                <w:rFonts w:ascii="Times New Roman" w:cs="Times New Roman"/>
                <w:color w:val="auto"/>
                <w:sz w:val="21"/>
                <w:szCs w:val="21"/>
                <w:lang w:bidi="ar"/>
              </w:rPr>
            </w:pPr>
            <w:r>
              <w:rPr>
                <w:rFonts w:ascii="Times New Roman" w:cs="Times New Roman"/>
                <w:color w:val="auto"/>
                <w:sz w:val="21"/>
                <w:szCs w:val="21"/>
              </w:rPr>
              <w:t>参照</w:t>
            </w:r>
            <w:r>
              <w:rPr>
                <w:rFonts w:ascii="Times New Roman" w:cs="Times New Roman"/>
                <w:color w:val="auto"/>
                <w:sz w:val="21"/>
                <w:szCs w:val="21"/>
                <w:lang w:bidi="ar"/>
              </w:rPr>
              <w:t>美国国家环保局（简称EPA）编制的《空气污染物排放系数汇编》（AP-42）中橡胶制品业排放因子，开炼废气中非甲烷总烃产生系数为 215mg/kg胶料，颗粒物产生系数为925mg/kg 胶料。</w:t>
            </w:r>
          </w:p>
          <w:p>
            <w:pPr>
              <w:pStyle w:val="47"/>
              <w:spacing w:line="360" w:lineRule="auto"/>
              <w:ind w:firstLine="420" w:firstLineChars="200"/>
              <w:jc w:val="both"/>
              <w:rPr>
                <w:rFonts w:ascii="Times New Roman" w:cs="Times New Roman"/>
                <w:color w:val="auto"/>
                <w:sz w:val="21"/>
                <w:szCs w:val="21"/>
              </w:rPr>
            </w:pPr>
            <w:r>
              <w:rPr>
                <w:rFonts w:ascii="Times New Roman" w:cs="Times New Roman"/>
                <w:color w:val="auto"/>
                <w:sz w:val="21"/>
                <w:szCs w:val="21"/>
                <w:lang w:bidi="ar"/>
              </w:rPr>
              <w:t>本项目混炼胶使用量为90t/a，则项目开炼工序非甲烷总烃产生量为0.019t/a，颗粒物产生量为0.083t/a。根据企业提供资料，开炼时间约为</w:t>
            </w:r>
            <w:r>
              <w:rPr>
                <w:rFonts w:hint="eastAsia" w:ascii="Times New Roman" w:cs="Times New Roman"/>
                <w:color w:val="auto"/>
                <w:sz w:val="21"/>
                <w:szCs w:val="21"/>
                <w:lang w:bidi="ar"/>
              </w:rPr>
              <w:t>72</w:t>
            </w:r>
            <w:r>
              <w:rPr>
                <w:rFonts w:ascii="Times New Roman" w:cs="Times New Roman"/>
                <w:color w:val="auto"/>
                <w:sz w:val="21"/>
                <w:szCs w:val="21"/>
                <w:lang w:bidi="ar"/>
              </w:rPr>
              <w:t>00h。</w:t>
            </w:r>
          </w:p>
          <w:p>
            <w:pPr>
              <w:spacing w:line="360" w:lineRule="auto"/>
              <w:ind w:firstLine="420" w:firstLineChars="200"/>
              <w:rPr>
                <w:color w:val="auto"/>
                <w:szCs w:val="21"/>
              </w:rPr>
            </w:pPr>
            <w:r>
              <w:rPr>
                <w:color w:val="auto"/>
                <w:szCs w:val="21"/>
              </w:rPr>
              <w:t>③一次成型废气：</w:t>
            </w:r>
          </w:p>
          <w:p>
            <w:pPr>
              <w:adjustRightInd w:val="0"/>
              <w:snapToGrid w:val="0"/>
              <w:spacing w:line="360" w:lineRule="auto"/>
              <w:ind w:firstLine="420" w:firstLineChars="200"/>
              <w:rPr>
                <w:rFonts w:asciiTheme="minorHAnsi" w:hAnsiTheme="minorHAnsi" w:eastAsiaTheme="minorEastAsia" w:cstheme="minorBidi"/>
                <w:color w:val="auto"/>
                <w:szCs w:val="21"/>
              </w:rPr>
            </w:pPr>
            <w:r>
              <w:rPr>
                <w:rFonts w:hint="eastAsia" w:asciiTheme="minorHAnsi" w:hAnsiTheme="minorHAnsi" w:eastAsiaTheme="minorEastAsia" w:cstheme="minorBidi"/>
                <w:color w:val="auto"/>
                <w:szCs w:val="21"/>
              </w:rPr>
              <w:t>参照《橡胶制品生产过程中有机废气的排放系数》（伊尔姆环境资源管理咨 询（上海）有限公司，张芝兰），成型过程中非甲烷总烃产生系数为 0.149kg/t 胶。</w:t>
            </w:r>
          </w:p>
          <w:p>
            <w:pPr>
              <w:adjustRightInd w:val="0"/>
              <w:snapToGrid w:val="0"/>
              <w:spacing w:line="360" w:lineRule="auto"/>
              <w:ind w:firstLine="420" w:firstLineChars="200"/>
              <w:rPr>
                <w:color w:val="auto"/>
                <w:szCs w:val="21"/>
                <w:lang w:val="en-GB"/>
              </w:rPr>
            </w:pPr>
            <w:r>
              <w:rPr>
                <w:color w:val="auto"/>
                <w:szCs w:val="21"/>
              </w:rPr>
              <w:t>本项目混炼胶使用量为90t/a，则</w:t>
            </w:r>
            <w:r>
              <w:rPr>
                <w:rFonts w:hint="eastAsia"/>
                <w:color w:val="auto"/>
                <w:szCs w:val="21"/>
              </w:rPr>
              <w:t>一次成型</w:t>
            </w:r>
            <w:r>
              <w:rPr>
                <w:color w:val="auto"/>
                <w:szCs w:val="21"/>
              </w:rPr>
              <w:t>废气（非甲烷总烃）产生量为0.0</w:t>
            </w:r>
            <w:r>
              <w:rPr>
                <w:rFonts w:hint="eastAsia"/>
                <w:color w:val="auto"/>
                <w:szCs w:val="21"/>
              </w:rPr>
              <w:t>13</w:t>
            </w:r>
            <w:r>
              <w:rPr>
                <w:color w:val="auto"/>
                <w:szCs w:val="21"/>
              </w:rPr>
              <w:t>t/a。根据企业提供资料，项目</w:t>
            </w:r>
            <w:r>
              <w:rPr>
                <w:rFonts w:hint="eastAsia"/>
                <w:color w:val="auto"/>
                <w:szCs w:val="21"/>
              </w:rPr>
              <w:t>一次成型</w:t>
            </w:r>
            <w:r>
              <w:rPr>
                <w:color w:val="auto"/>
                <w:szCs w:val="21"/>
              </w:rPr>
              <w:t>工序工作时间约为</w:t>
            </w:r>
            <w:r>
              <w:rPr>
                <w:rFonts w:hint="eastAsia"/>
                <w:color w:val="auto"/>
                <w:szCs w:val="21"/>
              </w:rPr>
              <w:t>72</w:t>
            </w:r>
            <w:r>
              <w:rPr>
                <w:color w:val="auto"/>
                <w:szCs w:val="21"/>
              </w:rPr>
              <w:t>0</w:t>
            </w:r>
            <w:r>
              <w:rPr>
                <w:rFonts w:hint="eastAsia"/>
                <w:color w:val="auto"/>
                <w:szCs w:val="21"/>
              </w:rPr>
              <w:t>0</w:t>
            </w:r>
            <w:r>
              <w:rPr>
                <w:color w:val="auto"/>
                <w:szCs w:val="21"/>
              </w:rPr>
              <w:t>h。</w:t>
            </w:r>
          </w:p>
          <w:p>
            <w:pPr>
              <w:spacing w:line="360" w:lineRule="auto"/>
              <w:ind w:firstLine="420" w:firstLineChars="200"/>
              <w:rPr>
                <w:color w:val="auto"/>
                <w:szCs w:val="21"/>
              </w:rPr>
            </w:pPr>
            <w:r>
              <w:rPr>
                <w:rFonts w:hint="eastAsia" w:ascii="宋体" w:hAnsi="宋体" w:cs="宋体"/>
                <w:color w:val="auto"/>
                <w:szCs w:val="21"/>
              </w:rPr>
              <w:t>④</w:t>
            </w:r>
            <w:r>
              <w:rPr>
                <w:rFonts w:hint="eastAsia"/>
                <w:color w:val="auto"/>
                <w:szCs w:val="21"/>
              </w:rPr>
              <w:t>二</w:t>
            </w:r>
            <w:r>
              <w:rPr>
                <w:color w:val="auto"/>
                <w:szCs w:val="21"/>
              </w:rPr>
              <w:t>次成型废气：</w:t>
            </w:r>
          </w:p>
          <w:p>
            <w:pPr>
              <w:adjustRightInd w:val="0"/>
              <w:snapToGrid w:val="0"/>
              <w:spacing w:line="360" w:lineRule="auto"/>
              <w:ind w:firstLine="420" w:firstLineChars="200"/>
              <w:rPr>
                <w:rFonts w:asciiTheme="minorHAnsi" w:hAnsiTheme="minorHAnsi" w:eastAsiaTheme="minorEastAsia" w:cstheme="minorBidi"/>
                <w:color w:val="auto"/>
                <w:szCs w:val="21"/>
              </w:rPr>
            </w:pPr>
            <w:r>
              <w:rPr>
                <w:rFonts w:hint="eastAsia" w:asciiTheme="minorHAnsi" w:hAnsiTheme="minorHAnsi" w:eastAsiaTheme="minorEastAsia" w:cstheme="minorBidi"/>
                <w:color w:val="auto"/>
                <w:szCs w:val="21"/>
              </w:rPr>
              <w:t>参照《橡胶制品生产过程中有机废气的排放系数》（伊尔姆环境资源管理咨 询（上海）有限公司，张芝兰），成型过程中非甲烷总烃产生系数为 0.149kg/t 胶。</w:t>
            </w:r>
          </w:p>
          <w:p>
            <w:pPr>
              <w:adjustRightInd w:val="0"/>
              <w:snapToGrid w:val="0"/>
              <w:spacing w:line="360" w:lineRule="auto"/>
              <w:ind w:firstLine="420" w:firstLineChars="200"/>
              <w:rPr>
                <w:color w:val="auto"/>
                <w:szCs w:val="21"/>
                <w:lang w:val="en-GB"/>
              </w:rPr>
            </w:pPr>
            <w:r>
              <w:rPr>
                <w:color w:val="auto"/>
                <w:szCs w:val="21"/>
              </w:rPr>
              <w:t>本项目混炼胶使用量为90t/a，则</w:t>
            </w:r>
            <w:r>
              <w:rPr>
                <w:rFonts w:hint="eastAsia"/>
                <w:color w:val="auto"/>
                <w:szCs w:val="21"/>
              </w:rPr>
              <w:t>一次成型</w:t>
            </w:r>
            <w:r>
              <w:rPr>
                <w:color w:val="auto"/>
                <w:szCs w:val="21"/>
              </w:rPr>
              <w:t>废气（非甲烷总烃）产生量为0.0</w:t>
            </w:r>
            <w:r>
              <w:rPr>
                <w:rFonts w:hint="eastAsia"/>
                <w:color w:val="auto"/>
                <w:szCs w:val="21"/>
              </w:rPr>
              <w:t>13</w:t>
            </w:r>
            <w:r>
              <w:rPr>
                <w:color w:val="auto"/>
                <w:szCs w:val="21"/>
              </w:rPr>
              <w:t>t/a。根据企业提供资料，项目</w:t>
            </w:r>
            <w:r>
              <w:rPr>
                <w:rFonts w:hint="eastAsia"/>
                <w:color w:val="auto"/>
                <w:szCs w:val="21"/>
              </w:rPr>
              <w:t>二次成型</w:t>
            </w:r>
            <w:r>
              <w:rPr>
                <w:color w:val="auto"/>
                <w:szCs w:val="21"/>
              </w:rPr>
              <w:t>工序工作时间约为</w:t>
            </w:r>
            <w:r>
              <w:rPr>
                <w:rFonts w:hint="eastAsia"/>
                <w:color w:val="auto"/>
                <w:szCs w:val="21"/>
              </w:rPr>
              <w:t>72</w:t>
            </w:r>
            <w:r>
              <w:rPr>
                <w:color w:val="auto"/>
                <w:szCs w:val="21"/>
              </w:rPr>
              <w:t>0</w:t>
            </w:r>
            <w:r>
              <w:rPr>
                <w:rFonts w:hint="eastAsia"/>
                <w:color w:val="auto"/>
                <w:szCs w:val="21"/>
              </w:rPr>
              <w:t>0</w:t>
            </w:r>
            <w:r>
              <w:rPr>
                <w:color w:val="auto"/>
                <w:szCs w:val="21"/>
              </w:rPr>
              <w:t>h。</w:t>
            </w:r>
          </w:p>
          <w:p>
            <w:pPr>
              <w:pStyle w:val="47"/>
              <w:spacing w:line="360" w:lineRule="auto"/>
              <w:ind w:firstLine="420" w:firstLineChars="200"/>
              <w:rPr>
                <w:rFonts w:ascii="Times New Roman" w:cs="Times New Roman"/>
                <w:color w:val="auto"/>
                <w:sz w:val="21"/>
                <w:szCs w:val="21"/>
              </w:rPr>
            </w:pPr>
            <w:r>
              <w:rPr>
                <w:rFonts w:hint="eastAsia" w:hAnsi="宋体"/>
                <w:color w:val="auto"/>
                <w:sz w:val="21"/>
                <w:szCs w:val="21"/>
              </w:rPr>
              <w:t>⑤</w:t>
            </w:r>
            <w:r>
              <w:rPr>
                <w:rFonts w:hint="eastAsia" w:ascii="Times New Roman" w:cs="Times New Roman"/>
                <w:color w:val="auto"/>
                <w:sz w:val="21"/>
                <w:szCs w:val="21"/>
              </w:rPr>
              <w:t>恶臭废气</w:t>
            </w:r>
          </w:p>
          <w:p>
            <w:pPr>
              <w:pStyle w:val="47"/>
              <w:spacing w:line="360" w:lineRule="auto"/>
              <w:ind w:firstLine="420" w:firstLineChars="200"/>
              <w:jc w:val="both"/>
              <w:rPr>
                <w:rFonts w:ascii="Times New Roman" w:cs="Times New Roman"/>
                <w:color w:val="auto"/>
                <w:sz w:val="21"/>
                <w:szCs w:val="21"/>
                <w:lang w:bidi="ar"/>
              </w:rPr>
            </w:pPr>
            <w:r>
              <w:rPr>
                <w:rFonts w:hint="eastAsia"/>
                <w:color w:val="auto"/>
                <w:sz w:val="21"/>
                <w:szCs w:val="21"/>
              </w:rPr>
              <w:t>参照</w:t>
            </w:r>
            <w:r>
              <w:rPr>
                <w:rFonts w:hint="eastAsia" w:ascii="Times New Roman" w:cs="Times New Roman"/>
                <w:color w:val="auto"/>
                <w:sz w:val="21"/>
                <w:szCs w:val="21"/>
                <w:lang w:bidi="ar"/>
              </w:rPr>
              <w:t>美国国家环保局（简称EPA）编制的《空气污染物排放系数汇编》（AP-42）中橡胶制品业排放因子，</w:t>
            </w:r>
            <w:r>
              <w:rPr>
                <w:rFonts w:ascii="Times New Roman" w:cs="Times New Roman"/>
                <w:color w:val="auto"/>
                <w:sz w:val="21"/>
                <w:szCs w:val="21"/>
                <w:lang w:bidi="ar"/>
              </w:rPr>
              <w:t>CS</w:t>
            </w:r>
            <w:r>
              <w:rPr>
                <w:rFonts w:ascii="Times New Roman" w:cs="Times New Roman"/>
                <w:color w:val="auto"/>
                <w:sz w:val="21"/>
                <w:szCs w:val="21"/>
                <w:vertAlign w:val="subscript"/>
                <w:lang w:bidi="ar"/>
              </w:rPr>
              <w:t>2</w:t>
            </w:r>
            <w:r>
              <w:rPr>
                <w:rFonts w:ascii="Times New Roman" w:cs="Times New Roman"/>
                <w:color w:val="auto"/>
                <w:sz w:val="21"/>
                <w:szCs w:val="21"/>
                <w:lang w:bidi="ar"/>
              </w:rPr>
              <w:t>产生系数为3.83×10</w:t>
            </w:r>
            <w:r>
              <w:rPr>
                <w:rFonts w:ascii="Times New Roman" w:cs="Times New Roman"/>
                <w:color w:val="auto"/>
                <w:sz w:val="21"/>
                <w:szCs w:val="21"/>
                <w:vertAlign w:val="superscript"/>
                <w:lang w:bidi="ar"/>
              </w:rPr>
              <w:t>-6</w:t>
            </w:r>
            <w:r>
              <w:rPr>
                <w:rFonts w:ascii="Times New Roman" w:cs="Times New Roman"/>
                <w:color w:val="auto"/>
                <w:sz w:val="21"/>
                <w:szCs w:val="21"/>
                <w:lang w:bidi="ar"/>
              </w:rPr>
              <w:t>t/t 胶料</w:t>
            </w:r>
            <w:r>
              <w:rPr>
                <w:rFonts w:hint="eastAsia" w:ascii="Times New Roman" w:cs="Times New Roman"/>
                <w:color w:val="auto"/>
                <w:sz w:val="21"/>
                <w:szCs w:val="21"/>
                <w:lang w:bidi="ar"/>
              </w:rPr>
              <w:t>；</w:t>
            </w:r>
            <w:r>
              <w:rPr>
                <w:rFonts w:ascii="Times New Roman" w:cs="Times New Roman"/>
                <w:color w:val="auto"/>
                <w:sz w:val="21"/>
                <w:szCs w:val="21"/>
              </w:rPr>
              <w:t>根据中国橡胶工业协会《橡胶制品业产排污系数核算》，H</w:t>
            </w:r>
            <w:r>
              <w:rPr>
                <w:rFonts w:ascii="Times New Roman" w:cs="Times New Roman"/>
                <w:color w:val="auto"/>
                <w:sz w:val="21"/>
                <w:szCs w:val="21"/>
                <w:vertAlign w:val="subscript"/>
              </w:rPr>
              <w:t>2</w:t>
            </w:r>
            <w:r>
              <w:rPr>
                <w:rFonts w:ascii="Times New Roman" w:cs="Times New Roman"/>
                <w:color w:val="auto"/>
                <w:sz w:val="21"/>
                <w:szCs w:val="21"/>
              </w:rPr>
              <w:t>S产生量为6.4kg/t硫磺</w:t>
            </w:r>
            <w:r>
              <w:rPr>
                <w:rFonts w:ascii="Times New Roman" w:cs="Times New Roman"/>
                <w:color w:val="auto"/>
                <w:sz w:val="21"/>
                <w:szCs w:val="21"/>
                <w:lang w:bidi="ar"/>
              </w:rPr>
              <w:t>。</w:t>
            </w:r>
          </w:p>
          <w:p>
            <w:pPr>
              <w:pStyle w:val="47"/>
              <w:spacing w:line="360" w:lineRule="auto"/>
              <w:ind w:firstLine="420" w:firstLineChars="200"/>
              <w:rPr>
                <w:rFonts w:ascii="Times New Roman" w:cs="Times New Roman"/>
                <w:color w:val="auto"/>
                <w:sz w:val="21"/>
                <w:szCs w:val="21"/>
              </w:rPr>
            </w:pPr>
            <w:r>
              <w:rPr>
                <w:rFonts w:ascii="Times New Roman" w:cs="Times New Roman"/>
                <w:color w:val="auto"/>
                <w:sz w:val="21"/>
                <w:szCs w:val="21"/>
                <w:lang w:bidi="ar"/>
              </w:rPr>
              <w:t>本项目混炼胶使用量为90t/a，</w:t>
            </w:r>
            <w:r>
              <w:rPr>
                <w:rFonts w:ascii="Times New Roman" w:cs="Times New Roman"/>
                <w:color w:val="auto"/>
                <w:sz w:val="21"/>
                <w:szCs w:val="21"/>
              </w:rPr>
              <w:t>硫磺使用量为0.5t/a，</w:t>
            </w:r>
            <w:r>
              <w:rPr>
                <w:rFonts w:hint="eastAsia" w:ascii="Times New Roman" w:cs="Times New Roman"/>
                <w:color w:val="auto"/>
                <w:sz w:val="21"/>
                <w:szCs w:val="21"/>
                <w:lang w:bidi="ar"/>
              </w:rPr>
              <w:t>则项目</w:t>
            </w:r>
            <w:r>
              <w:rPr>
                <w:rFonts w:ascii="Times New Roman" w:cs="Times New Roman"/>
                <w:color w:val="auto"/>
                <w:sz w:val="21"/>
                <w:szCs w:val="21"/>
              </w:rPr>
              <w:t>硫化氢产生量为0.003t/a</w:t>
            </w:r>
            <w:r>
              <w:rPr>
                <w:rFonts w:hint="eastAsia" w:ascii="Times New Roman" w:cs="Times New Roman"/>
                <w:color w:val="auto"/>
                <w:sz w:val="21"/>
                <w:szCs w:val="21"/>
              </w:rPr>
              <w:t>，</w:t>
            </w:r>
            <w:r>
              <w:rPr>
                <w:rFonts w:ascii="Times New Roman" w:cs="Times New Roman"/>
                <w:color w:val="auto"/>
                <w:sz w:val="21"/>
                <w:szCs w:val="21"/>
                <w:lang w:bidi="ar"/>
              </w:rPr>
              <w:t>CS</w:t>
            </w:r>
            <w:r>
              <w:rPr>
                <w:rFonts w:ascii="Times New Roman" w:cs="Times New Roman"/>
                <w:color w:val="auto"/>
                <w:sz w:val="21"/>
                <w:szCs w:val="21"/>
                <w:vertAlign w:val="subscript"/>
                <w:lang w:bidi="ar"/>
              </w:rPr>
              <w:t>2</w:t>
            </w:r>
            <w:r>
              <w:rPr>
                <w:rFonts w:ascii="Times New Roman" w:cs="Times New Roman"/>
                <w:color w:val="auto"/>
                <w:sz w:val="21"/>
                <w:szCs w:val="21"/>
                <w:lang w:bidi="ar"/>
              </w:rPr>
              <w:t>产生</w:t>
            </w:r>
            <w:r>
              <w:rPr>
                <w:rFonts w:hint="eastAsia" w:ascii="Times New Roman" w:cs="Times New Roman"/>
                <w:color w:val="auto"/>
                <w:sz w:val="21"/>
                <w:szCs w:val="21"/>
                <w:lang w:bidi="ar"/>
              </w:rPr>
              <w:t>量为0.0003t/a。全厂工作时间为7200h。</w:t>
            </w:r>
          </w:p>
          <w:p>
            <w:pPr>
              <w:spacing w:line="360" w:lineRule="auto"/>
              <w:ind w:firstLine="422" w:firstLineChars="200"/>
              <w:rPr>
                <w:b/>
                <w:bCs/>
                <w:color w:val="auto"/>
                <w:kern w:val="0"/>
                <w:szCs w:val="21"/>
              </w:rPr>
            </w:pPr>
            <w:r>
              <w:rPr>
                <w:rFonts w:hint="eastAsia"/>
                <w:b/>
                <w:bCs/>
                <w:color w:val="auto"/>
                <w:kern w:val="0"/>
                <w:szCs w:val="21"/>
              </w:rPr>
              <w:t>2）塑料生产线废气</w:t>
            </w:r>
          </w:p>
          <w:p>
            <w:pPr>
              <w:pStyle w:val="15"/>
              <w:spacing w:before="0" w:after="0" w:line="360" w:lineRule="auto"/>
              <w:ind w:right="0"/>
              <w:rPr>
                <w:color w:val="auto"/>
                <w:sz w:val="21"/>
                <w:szCs w:val="21"/>
              </w:rPr>
            </w:pPr>
            <w:r>
              <w:rPr>
                <w:rFonts w:hint="eastAsia"/>
                <w:color w:val="auto"/>
                <w:sz w:val="21"/>
                <w:szCs w:val="21"/>
              </w:rPr>
              <w:t xml:space="preserve">        本项目注塑制品使用的原料PP、P</w:t>
            </w:r>
            <w:r>
              <w:rPr>
                <w:rFonts w:hint="eastAsia"/>
                <w:color w:val="auto"/>
                <w:sz w:val="21"/>
                <w:szCs w:val="21"/>
                <w:lang w:val="en-US" w:eastAsia="zh-CN"/>
              </w:rPr>
              <w:t>E</w:t>
            </w:r>
            <w:r>
              <w:rPr>
                <w:rFonts w:hint="eastAsia"/>
                <w:color w:val="auto"/>
                <w:sz w:val="21"/>
                <w:szCs w:val="21"/>
              </w:rPr>
              <w:t>塑料粒子。不同塑料粒子的注塑温度及分解和工艺废气污染物产生情况见下表。</w:t>
            </w:r>
          </w:p>
          <w:p>
            <w:pPr>
              <w:jc w:val="center"/>
              <w:rPr>
                <w:b/>
                <w:bCs/>
                <w:color w:val="auto"/>
                <w:kern w:val="0"/>
                <w:szCs w:val="21"/>
              </w:rPr>
            </w:pPr>
            <w:r>
              <w:rPr>
                <w:rFonts w:hint="eastAsia"/>
                <w:b/>
                <w:bCs/>
                <w:color w:val="auto"/>
                <w:kern w:val="0"/>
                <w:szCs w:val="21"/>
              </w:rPr>
              <w:t>表4-1  本项目塑料种类注塑工序的控制参数和污染物产生情况</w:t>
            </w:r>
          </w:p>
          <w:tbl>
            <w:tblPr>
              <w:tblStyle w:val="3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57"/>
              <w:gridCol w:w="2295"/>
              <w:gridCol w:w="2978"/>
              <w:gridCol w:w="231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57" w:type="dxa"/>
                  <w:tcBorders>
                    <w:tl2br w:val="nil"/>
                    <w:tr2bl w:val="nil"/>
                  </w:tcBorders>
                  <w:vAlign w:val="center"/>
                </w:tcPr>
                <w:p>
                  <w:pPr>
                    <w:pStyle w:val="15"/>
                    <w:spacing w:before="0" w:after="0" w:line="240" w:lineRule="auto"/>
                    <w:ind w:right="0"/>
                    <w:jc w:val="center"/>
                    <w:rPr>
                      <w:b/>
                      <w:bCs/>
                      <w:color w:val="auto"/>
                      <w:szCs w:val="18"/>
                    </w:rPr>
                  </w:pPr>
                  <w:r>
                    <w:rPr>
                      <w:rFonts w:hint="eastAsia"/>
                      <w:b/>
                      <w:bCs/>
                      <w:color w:val="auto"/>
                      <w:szCs w:val="18"/>
                    </w:rPr>
                    <w:t>塑料种类</w:t>
                  </w:r>
                </w:p>
              </w:tc>
              <w:tc>
                <w:tcPr>
                  <w:tcW w:w="2295" w:type="dxa"/>
                  <w:tcBorders>
                    <w:tl2br w:val="nil"/>
                    <w:tr2bl w:val="nil"/>
                  </w:tcBorders>
                  <w:vAlign w:val="center"/>
                </w:tcPr>
                <w:p>
                  <w:pPr>
                    <w:pStyle w:val="15"/>
                    <w:spacing w:before="0" w:after="0" w:line="240" w:lineRule="auto"/>
                    <w:ind w:right="0"/>
                    <w:jc w:val="center"/>
                    <w:rPr>
                      <w:b/>
                      <w:bCs/>
                      <w:color w:val="auto"/>
                      <w:szCs w:val="18"/>
                    </w:rPr>
                  </w:pPr>
                  <w:r>
                    <w:rPr>
                      <w:rFonts w:hint="eastAsia"/>
                      <w:b/>
                      <w:bCs/>
                      <w:color w:val="auto"/>
                      <w:szCs w:val="18"/>
                    </w:rPr>
                    <w:t>注塑工序控制温度℃</w:t>
                  </w:r>
                </w:p>
              </w:tc>
              <w:tc>
                <w:tcPr>
                  <w:tcW w:w="2978" w:type="dxa"/>
                  <w:tcBorders>
                    <w:tl2br w:val="nil"/>
                    <w:tr2bl w:val="nil"/>
                  </w:tcBorders>
                  <w:vAlign w:val="center"/>
                </w:tcPr>
                <w:p>
                  <w:pPr>
                    <w:pStyle w:val="15"/>
                    <w:spacing w:before="0" w:after="0" w:line="240" w:lineRule="auto"/>
                    <w:ind w:right="0"/>
                    <w:jc w:val="center"/>
                    <w:rPr>
                      <w:b/>
                      <w:bCs/>
                      <w:color w:val="auto"/>
                      <w:szCs w:val="18"/>
                    </w:rPr>
                  </w:pPr>
                  <w:r>
                    <w:rPr>
                      <w:rFonts w:hint="eastAsia"/>
                      <w:b/>
                      <w:bCs/>
                      <w:color w:val="auto"/>
                      <w:szCs w:val="18"/>
                    </w:rPr>
                    <w:t>注塑产物</w:t>
                  </w:r>
                </w:p>
              </w:tc>
              <w:tc>
                <w:tcPr>
                  <w:tcW w:w="2310" w:type="dxa"/>
                  <w:tcBorders>
                    <w:tl2br w:val="nil"/>
                    <w:tr2bl w:val="nil"/>
                  </w:tcBorders>
                  <w:vAlign w:val="center"/>
                </w:tcPr>
                <w:p>
                  <w:pPr>
                    <w:pStyle w:val="15"/>
                    <w:spacing w:before="0" w:after="0" w:line="240" w:lineRule="auto"/>
                    <w:ind w:right="0"/>
                    <w:jc w:val="center"/>
                    <w:rPr>
                      <w:b/>
                      <w:bCs/>
                      <w:color w:val="auto"/>
                      <w:szCs w:val="18"/>
                    </w:rPr>
                  </w:pPr>
                  <w:r>
                    <w:rPr>
                      <w:rFonts w:hint="eastAsia"/>
                      <w:b/>
                      <w:bCs/>
                      <w:color w:val="auto"/>
                      <w:szCs w:val="18"/>
                    </w:rPr>
                    <w:t>分解温度℃</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57" w:type="dxa"/>
                  <w:tcBorders>
                    <w:tl2br w:val="nil"/>
                    <w:tr2bl w:val="nil"/>
                  </w:tcBorders>
                  <w:vAlign w:val="center"/>
                </w:tcPr>
                <w:p>
                  <w:pPr>
                    <w:pStyle w:val="87"/>
                    <w:spacing w:line="240" w:lineRule="auto"/>
                    <w:rPr>
                      <w:color w:val="auto"/>
                      <w:sz w:val="18"/>
                      <w:szCs w:val="18"/>
                    </w:rPr>
                  </w:pPr>
                  <w:r>
                    <w:rPr>
                      <w:rFonts w:hint="eastAsia"/>
                      <w:color w:val="auto"/>
                      <w:sz w:val="18"/>
                      <w:szCs w:val="18"/>
                    </w:rPr>
                    <w:t>PP</w:t>
                  </w:r>
                </w:p>
              </w:tc>
              <w:tc>
                <w:tcPr>
                  <w:tcW w:w="2295" w:type="dxa"/>
                  <w:tcBorders>
                    <w:tl2br w:val="nil"/>
                    <w:tr2bl w:val="nil"/>
                  </w:tcBorders>
                  <w:vAlign w:val="center"/>
                </w:tcPr>
                <w:p>
                  <w:pPr>
                    <w:widowControl/>
                    <w:snapToGrid w:val="0"/>
                    <w:jc w:val="center"/>
                    <w:rPr>
                      <w:color w:val="auto"/>
                      <w:sz w:val="18"/>
                      <w:szCs w:val="18"/>
                    </w:rPr>
                  </w:pPr>
                  <w:r>
                    <w:rPr>
                      <w:rFonts w:hint="eastAsia"/>
                      <w:color w:val="auto"/>
                      <w:sz w:val="18"/>
                      <w:szCs w:val="18"/>
                    </w:rPr>
                    <w:t>180</w:t>
                  </w:r>
                </w:p>
              </w:tc>
              <w:tc>
                <w:tcPr>
                  <w:tcW w:w="2978" w:type="dxa"/>
                  <w:tcBorders>
                    <w:tl2br w:val="nil"/>
                    <w:tr2bl w:val="nil"/>
                  </w:tcBorders>
                  <w:vAlign w:val="center"/>
                </w:tcPr>
                <w:p>
                  <w:pPr>
                    <w:widowControl/>
                    <w:snapToGrid w:val="0"/>
                    <w:jc w:val="center"/>
                    <w:rPr>
                      <w:color w:val="auto"/>
                      <w:sz w:val="18"/>
                      <w:szCs w:val="18"/>
                    </w:rPr>
                  </w:pPr>
                  <w:r>
                    <w:rPr>
                      <w:rFonts w:hint="eastAsia"/>
                      <w:color w:val="auto"/>
                      <w:sz w:val="18"/>
                      <w:szCs w:val="18"/>
                    </w:rPr>
                    <w:t>非甲烷总烃</w:t>
                  </w:r>
                </w:p>
              </w:tc>
              <w:tc>
                <w:tcPr>
                  <w:tcW w:w="2310" w:type="dxa"/>
                  <w:tcBorders>
                    <w:tl2br w:val="nil"/>
                    <w:tr2bl w:val="nil"/>
                  </w:tcBorders>
                  <w:vAlign w:val="center"/>
                </w:tcPr>
                <w:p>
                  <w:pPr>
                    <w:pStyle w:val="15"/>
                    <w:spacing w:before="0" w:after="0" w:line="240" w:lineRule="auto"/>
                    <w:ind w:right="0"/>
                    <w:jc w:val="center"/>
                    <w:rPr>
                      <w:color w:val="auto"/>
                      <w:szCs w:val="18"/>
                    </w:rPr>
                  </w:pPr>
                  <w:r>
                    <w:rPr>
                      <w:rFonts w:hint="eastAsia"/>
                      <w:color w:val="auto"/>
                      <w:szCs w:val="18"/>
                    </w:rPr>
                    <w:t>350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57" w:type="dxa"/>
                  <w:tcBorders>
                    <w:tl2br w:val="nil"/>
                    <w:tr2bl w:val="nil"/>
                  </w:tcBorders>
                  <w:vAlign w:val="center"/>
                </w:tcPr>
                <w:p>
                  <w:pPr>
                    <w:pStyle w:val="87"/>
                    <w:spacing w:line="240" w:lineRule="auto"/>
                    <w:rPr>
                      <w:rFonts w:hint="eastAsia" w:eastAsia="宋体"/>
                      <w:color w:val="auto"/>
                      <w:sz w:val="18"/>
                      <w:szCs w:val="18"/>
                      <w:lang w:eastAsia="zh-CN"/>
                    </w:rPr>
                  </w:pPr>
                  <w:r>
                    <w:rPr>
                      <w:rFonts w:hint="eastAsia"/>
                      <w:color w:val="auto"/>
                      <w:sz w:val="18"/>
                      <w:szCs w:val="18"/>
                    </w:rPr>
                    <w:t>P</w:t>
                  </w:r>
                  <w:r>
                    <w:rPr>
                      <w:rFonts w:hint="eastAsia"/>
                      <w:color w:val="auto"/>
                      <w:sz w:val="18"/>
                      <w:szCs w:val="18"/>
                      <w:lang w:val="en-US" w:eastAsia="zh-CN"/>
                    </w:rPr>
                    <w:t>E</w:t>
                  </w:r>
                </w:p>
              </w:tc>
              <w:tc>
                <w:tcPr>
                  <w:tcW w:w="2295" w:type="dxa"/>
                  <w:tcBorders>
                    <w:tl2br w:val="nil"/>
                    <w:tr2bl w:val="nil"/>
                  </w:tcBorders>
                  <w:vAlign w:val="center"/>
                </w:tcPr>
                <w:p>
                  <w:pPr>
                    <w:widowControl/>
                    <w:snapToGrid w:val="0"/>
                    <w:jc w:val="center"/>
                    <w:rPr>
                      <w:color w:val="auto"/>
                      <w:sz w:val="18"/>
                      <w:szCs w:val="18"/>
                    </w:rPr>
                  </w:pPr>
                  <w:r>
                    <w:rPr>
                      <w:rFonts w:hint="eastAsia"/>
                      <w:color w:val="auto"/>
                      <w:sz w:val="18"/>
                      <w:szCs w:val="18"/>
                    </w:rPr>
                    <w:t>180</w:t>
                  </w:r>
                </w:p>
              </w:tc>
              <w:tc>
                <w:tcPr>
                  <w:tcW w:w="2978" w:type="dxa"/>
                  <w:tcBorders>
                    <w:tl2br w:val="nil"/>
                    <w:tr2bl w:val="nil"/>
                  </w:tcBorders>
                  <w:vAlign w:val="center"/>
                </w:tcPr>
                <w:p>
                  <w:pPr>
                    <w:widowControl/>
                    <w:snapToGrid w:val="0"/>
                    <w:jc w:val="center"/>
                    <w:rPr>
                      <w:color w:val="auto"/>
                      <w:sz w:val="18"/>
                      <w:szCs w:val="18"/>
                    </w:rPr>
                  </w:pPr>
                  <w:r>
                    <w:rPr>
                      <w:rFonts w:hint="eastAsia"/>
                      <w:color w:val="auto"/>
                      <w:sz w:val="18"/>
                      <w:szCs w:val="18"/>
                    </w:rPr>
                    <w:t>非甲烷总烃</w:t>
                  </w:r>
                </w:p>
              </w:tc>
              <w:tc>
                <w:tcPr>
                  <w:tcW w:w="2310" w:type="dxa"/>
                  <w:tcBorders>
                    <w:tl2br w:val="nil"/>
                    <w:tr2bl w:val="nil"/>
                  </w:tcBorders>
                  <w:vAlign w:val="center"/>
                </w:tcPr>
                <w:p>
                  <w:pPr>
                    <w:pStyle w:val="15"/>
                    <w:spacing w:before="0" w:after="0" w:line="240" w:lineRule="auto"/>
                    <w:ind w:right="0"/>
                    <w:jc w:val="center"/>
                    <w:rPr>
                      <w:rFonts w:hint="default" w:eastAsia="宋体"/>
                      <w:color w:val="auto"/>
                      <w:szCs w:val="18"/>
                      <w:lang w:val="en-US" w:eastAsia="zh-CN"/>
                    </w:rPr>
                  </w:pPr>
                  <w:r>
                    <w:rPr>
                      <w:rFonts w:hint="eastAsia"/>
                      <w:color w:val="auto"/>
                      <w:szCs w:val="18"/>
                      <w:lang w:val="en-US" w:eastAsia="zh-CN"/>
                    </w:rPr>
                    <w:t>240</w:t>
                  </w:r>
                </w:p>
              </w:tc>
            </w:tr>
          </w:tbl>
          <w:p>
            <w:pPr>
              <w:pStyle w:val="15"/>
              <w:spacing w:before="0" w:after="0" w:line="360" w:lineRule="auto"/>
              <w:ind w:right="0"/>
              <w:rPr>
                <w:color w:val="auto"/>
                <w:sz w:val="21"/>
                <w:szCs w:val="21"/>
              </w:rPr>
            </w:pPr>
            <w:r>
              <w:rPr>
                <w:rFonts w:hint="eastAsia"/>
                <w:color w:val="auto"/>
                <w:sz w:val="21"/>
                <w:szCs w:val="21"/>
              </w:rPr>
              <w:t xml:space="preserve">        由上表可知，本项目注塑工序加热温度均低于塑料粒子的分解温度，分解的单体量极少。</w:t>
            </w:r>
          </w:p>
          <w:p>
            <w:pPr>
              <w:pStyle w:val="15"/>
              <w:spacing w:before="0" w:after="0" w:line="360" w:lineRule="auto"/>
              <w:ind w:right="0" w:firstLine="420" w:firstLineChars="200"/>
              <w:rPr>
                <w:color w:val="auto"/>
                <w:sz w:val="21"/>
                <w:szCs w:val="21"/>
              </w:rPr>
            </w:pPr>
            <w:r>
              <w:rPr>
                <w:color w:val="auto"/>
                <w:sz w:val="21"/>
                <w:szCs w:val="21"/>
              </w:rPr>
              <w:t>本项目PP、P</w:t>
            </w:r>
            <w:r>
              <w:rPr>
                <w:rFonts w:hint="eastAsia"/>
                <w:color w:val="auto"/>
                <w:sz w:val="21"/>
                <w:szCs w:val="21"/>
                <w:lang w:val="en-US" w:eastAsia="zh-CN"/>
              </w:rPr>
              <w:t>E</w:t>
            </w:r>
            <w:r>
              <w:rPr>
                <w:color w:val="auto"/>
                <w:sz w:val="21"/>
                <w:szCs w:val="21"/>
              </w:rPr>
              <w:t>塑料粒子各使用量为</w:t>
            </w:r>
            <w:r>
              <w:rPr>
                <w:rFonts w:hint="eastAsia"/>
                <w:color w:val="auto"/>
                <w:sz w:val="21"/>
                <w:szCs w:val="21"/>
              </w:rPr>
              <w:t>1</w:t>
            </w:r>
            <w:r>
              <w:rPr>
                <w:color w:val="auto"/>
                <w:sz w:val="21"/>
                <w:szCs w:val="21"/>
              </w:rPr>
              <w:t>5t/a，共计30t/a。</w:t>
            </w:r>
          </w:p>
          <w:p>
            <w:pPr>
              <w:pStyle w:val="15"/>
              <w:spacing w:before="0" w:after="0" w:line="360" w:lineRule="auto"/>
              <w:ind w:right="0" w:firstLine="420" w:firstLineChars="200"/>
              <w:rPr>
                <w:color w:val="auto"/>
                <w:sz w:val="21"/>
                <w:szCs w:val="21"/>
              </w:rPr>
            </w:pPr>
            <w:r>
              <w:rPr>
                <w:color w:val="auto"/>
                <w:sz w:val="21"/>
                <w:szCs w:val="21"/>
              </w:rPr>
              <w:t>非甲烷总烃</w:t>
            </w:r>
            <w:r>
              <w:rPr>
                <w:rFonts w:hint="eastAsia"/>
                <w:color w:val="auto"/>
                <w:sz w:val="21"/>
                <w:szCs w:val="21"/>
              </w:rPr>
              <w:t>参照《空气污染物排放和控制手册》（美国国家环保局）中推荐的公式，非甲烷总烃的排放系数为0.35kg/t原料，</w:t>
            </w:r>
            <w:r>
              <w:rPr>
                <w:color w:val="auto"/>
                <w:sz w:val="21"/>
                <w:szCs w:val="21"/>
              </w:rPr>
              <w:t>本项目各塑料粒子使用量为30t/a，则本项目塑料件生产线非甲烷总烃产生量为0.0</w:t>
            </w:r>
            <w:r>
              <w:rPr>
                <w:rFonts w:hint="eastAsia"/>
                <w:color w:val="auto"/>
                <w:sz w:val="21"/>
                <w:szCs w:val="21"/>
              </w:rPr>
              <w:t>11</w:t>
            </w:r>
            <w:r>
              <w:rPr>
                <w:color w:val="auto"/>
                <w:sz w:val="21"/>
                <w:szCs w:val="21"/>
              </w:rPr>
              <w:t>t/a。</w:t>
            </w:r>
            <w:r>
              <w:rPr>
                <w:rStyle w:val="45"/>
                <w:rFonts w:hint="eastAsia"/>
                <w:color w:val="auto"/>
              </w:rPr>
              <w:t>根据企业提供资料，注塑年工作时间约为6500h。</w:t>
            </w:r>
          </w:p>
          <w:p>
            <w:pPr>
              <w:pStyle w:val="15"/>
              <w:spacing w:before="0" w:after="0" w:line="360" w:lineRule="auto"/>
              <w:ind w:right="0" w:firstLine="422" w:firstLineChars="200"/>
              <w:rPr>
                <w:color w:val="auto"/>
                <w:sz w:val="21"/>
                <w:szCs w:val="21"/>
              </w:rPr>
            </w:pPr>
            <w:r>
              <w:rPr>
                <w:rFonts w:hint="eastAsia"/>
                <w:b/>
                <w:bCs/>
                <w:color w:val="auto"/>
                <w:sz w:val="21"/>
                <w:szCs w:val="21"/>
              </w:rPr>
              <w:t>综上所述，</w:t>
            </w:r>
            <w:r>
              <w:rPr>
                <w:rFonts w:hint="eastAsia"/>
                <w:color w:val="auto"/>
                <w:sz w:val="21"/>
                <w:szCs w:val="21"/>
              </w:rPr>
              <w:t>全厂非甲烷总烃产生量约为0.083t/a，颗粒物产生量为0.083t/a，H</w:t>
            </w:r>
            <w:r>
              <w:rPr>
                <w:rFonts w:hint="eastAsia"/>
                <w:color w:val="auto"/>
                <w:sz w:val="21"/>
                <w:szCs w:val="21"/>
                <w:vertAlign w:val="subscript"/>
              </w:rPr>
              <w:t>2</w:t>
            </w:r>
            <w:r>
              <w:rPr>
                <w:rFonts w:hint="eastAsia"/>
                <w:color w:val="auto"/>
                <w:sz w:val="21"/>
                <w:szCs w:val="21"/>
              </w:rPr>
              <w:t>S产生量约为0.003t/a，CS</w:t>
            </w:r>
            <w:r>
              <w:rPr>
                <w:rFonts w:hint="eastAsia"/>
                <w:color w:val="auto"/>
                <w:sz w:val="21"/>
                <w:szCs w:val="21"/>
                <w:vertAlign w:val="subscript"/>
              </w:rPr>
              <w:t>2</w:t>
            </w:r>
            <w:r>
              <w:rPr>
                <w:rFonts w:hint="eastAsia"/>
                <w:color w:val="auto"/>
                <w:sz w:val="21"/>
                <w:szCs w:val="21"/>
              </w:rPr>
              <w:t>产生量约为0.0003t/a。</w:t>
            </w:r>
          </w:p>
          <w:p>
            <w:pPr>
              <w:pStyle w:val="15"/>
              <w:spacing w:before="0" w:after="0" w:line="360" w:lineRule="auto"/>
              <w:ind w:right="0" w:firstLine="420" w:firstLineChars="200"/>
              <w:rPr>
                <w:color w:val="auto"/>
                <w:sz w:val="21"/>
                <w:szCs w:val="21"/>
              </w:rPr>
            </w:pPr>
            <w:r>
              <w:rPr>
                <w:rFonts w:hint="eastAsia"/>
                <w:color w:val="auto"/>
                <w:sz w:val="21"/>
                <w:szCs w:val="21"/>
              </w:rPr>
              <w:t>企业拟对橡胶件生产线密闭混合、开炼、成型工序以及塑料件生产线注塑工序上方设置集气罩，各工序产生的废气经集气罩收集后经布袋除尘+</w:t>
            </w:r>
            <w:r>
              <w:rPr>
                <w:color w:val="auto"/>
                <w:sz w:val="21"/>
                <w:szCs w:val="21"/>
              </w:rPr>
              <w:t>二级活性炭吸附装置处理</w:t>
            </w:r>
            <w:r>
              <w:rPr>
                <w:rFonts w:hint="eastAsia"/>
                <w:color w:val="auto"/>
                <w:sz w:val="21"/>
                <w:szCs w:val="21"/>
              </w:rPr>
              <w:t>处理后经1根</w:t>
            </w:r>
            <w:r>
              <w:rPr>
                <w:rFonts w:hint="eastAsia"/>
                <w:color w:val="auto"/>
                <w:sz w:val="21"/>
                <w:szCs w:val="21"/>
                <w:lang w:val="en-US" w:eastAsia="zh-CN"/>
              </w:rPr>
              <w:t>25</w:t>
            </w:r>
            <w:r>
              <w:rPr>
                <w:rFonts w:hint="eastAsia"/>
                <w:color w:val="auto"/>
                <w:sz w:val="21"/>
                <w:szCs w:val="21"/>
              </w:rPr>
              <w:t>米高排气筒（DA001）排放，</w:t>
            </w:r>
            <w:r>
              <w:rPr>
                <w:color w:val="auto"/>
                <w:sz w:val="21"/>
                <w:szCs w:val="21"/>
              </w:rPr>
              <w:t>处理后的废气达《橡胶制品工业污染物排放标准》(GB27632-2011)中表5标准</w:t>
            </w:r>
            <w:r>
              <w:rPr>
                <w:rFonts w:hint="eastAsia"/>
                <w:color w:val="auto"/>
                <w:sz w:val="21"/>
                <w:szCs w:val="21"/>
              </w:rPr>
              <w:t>，</w:t>
            </w:r>
            <w:r>
              <w:rPr>
                <w:color w:val="auto"/>
                <w:sz w:val="21"/>
                <w:szCs w:val="21"/>
              </w:rPr>
              <w:t>少量</w:t>
            </w:r>
            <w:r>
              <w:rPr>
                <w:rFonts w:hint="eastAsia"/>
                <w:color w:val="auto"/>
                <w:sz w:val="21"/>
                <w:szCs w:val="21"/>
              </w:rPr>
              <w:t>未收集的污染物</w:t>
            </w:r>
            <w:r>
              <w:rPr>
                <w:color w:val="auto"/>
                <w:sz w:val="21"/>
                <w:szCs w:val="21"/>
              </w:rPr>
              <w:t>以无组织形式排放</w:t>
            </w:r>
            <w:r>
              <w:rPr>
                <w:rFonts w:hint="eastAsia"/>
                <w:color w:val="auto"/>
                <w:sz w:val="21"/>
                <w:szCs w:val="21"/>
              </w:rPr>
              <w:t>。</w:t>
            </w:r>
          </w:p>
          <w:p>
            <w:pPr>
              <w:spacing w:line="360" w:lineRule="auto"/>
              <w:ind w:firstLine="420" w:firstLineChars="200"/>
              <w:rPr>
                <w:color w:val="auto"/>
                <w:kern w:val="0"/>
                <w:szCs w:val="21"/>
              </w:rPr>
            </w:pPr>
            <w:r>
              <w:rPr>
                <w:rFonts w:hint="eastAsia"/>
                <w:color w:val="auto"/>
                <w:kern w:val="0"/>
                <w:szCs w:val="21"/>
              </w:rPr>
              <w:t>集气罩收集效率按90%计，年工作时间7200h，</w:t>
            </w:r>
            <w:r>
              <w:rPr>
                <w:color w:val="auto"/>
                <w:szCs w:val="21"/>
              </w:rPr>
              <w:t>装置总风量</w:t>
            </w:r>
            <w:r>
              <w:rPr>
                <w:rFonts w:hint="eastAsia"/>
                <w:color w:val="auto"/>
                <w:szCs w:val="21"/>
              </w:rPr>
              <w:t>26</w:t>
            </w:r>
            <w:r>
              <w:rPr>
                <w:color w:val="auto"/>
                <w:szCs w:val="21"/>
              </w:rPr>
              <w:t>000m</w:t>
            </w:r>
            <w:r>
              <w:rPr>
                <w:color w:val="auto"/>
                <w:szCs w:val="21"/>
                <w:vertAlign w:val="superscript"/>
              </w:rPr>
              <w:t>3</w:t>
            </w:r>
            <w:r>
              <w:rPr>
                <w:color w:val="auto"/>
                <w:szCs w:val="21"/>
              </w:rPr>
              <w:t>/h，</w:t>
            </w:r>
            <w:r>
              <w:rPr>
                <w:rFonts w:hint="eastAsia"/>
                <w:color w:val="auto"/>
                <w:kern w:val="0"/>
                <w:szCs w:val="21"/>
              </w:rPr>
              <w:t>则DA001排气筒：</w:t>
            </w:r>
          </w:p>
          <w:p>
            <w:pPr>
              <w:autoSpaceDE w:val="0"/>
              <w:autoSpaceDN w:val="0"/>
              <w:spacing w:line="360" w:lineRule="auto"/>
              <w:ind w:firstLine="420" w:firstLineChars="200"/>
              <w:rPr>
                <w:color w:val="auto"/>
                <w:kern w:val="0"/>
                <w:szCs w:val="21"/>
              </w:rPr>
            </w:pPr>
            <w:r>
              <w:rPr>
                <w:rFonts w:hint="eastAsia"/>
                <w:color w:val="auto"/>
                <w:kern w:val="0"/>
                <w:szCs w:val="21"/>
              </w:rPr>
              <w:t>有组织废气和无组织废气产生情况见下表。</w:t>
            </w:r>
          </w:p>
          <w:p>
            <w:pPr>
              <w:adjustRightInd w:val="0"/>
              <w:snapToGrid w:val="0"/>
              <w:ind w:firstLine="422" w:firstLineChars="200"/>
              <w:jc w:val="center"/>
              <w:rPr>
                <w:b/>
                <w:bCs/>
                <w:color w:val="auto"/>
                <w:kern w:val="0"/>
                <w:szCs w:val="21"/>
              </w:rPr>
            </w:pPr>
          </w:p>
          <w:p>
            <w:pPr>
              <w:pStyle w:val="47"/>
              <w:rPr>
                <w:b/>
                <w:bCs/>
                <w:color w:val="auto"/>
                <w:szCs w:val="21"/>
              </w:rPr>
            </w:pPr>
          </w:p>
          <w:p>
            <w:pPr>
              <w:pStyle w:val="47"/>
              <w:rPr>
                <w:b/>
                <w:bCs/>
                <w:color w:val="auto"/>
                <w:szCs w:val="21"/>
              </w:rPr>
            </w:pPr>
          </w:p>
          <w:p>
            <w:pPr>
              <w:adjustRightInd w:val="0"/>
              <w:snapToGrid w:val="0"/>
              <w:ind w:firstLine="422" w:firstLineChars="200"/>
              <w:jc w:val="center"/>
              <w:rPr>
                <w:b/>
                <w:bCs/>
                <w:color w:val="auto"/>
                <w:kern w:val="0"/>
                <w:szCs w:val="21"/>
              </w:rPr>
            </w:pPr>
          </w:p>
          <w:p>
            <w:pPr>
              <w:adjustRightInd w:val="0"/>
              <w:snapToGrid w:val="0"/>
              <w:ind w:firstLine="422" w:firstLineChars="200"/>
              <w:jc w:val="center"/>
              <w:rPr>
                <w:b/>
                <w:bCs/>
                <w:color w:val="auto"/>
                <w:kern w:val="0"/>
                <w:szCs w:val="21"/>
              </w:rPr>
            </w:pPr>
            <w:r>
              <w:rPr>
                <w:b/>
                <w:bCs/>
                <w:color w:val="auto"/>
                <w:kern w:val="0"/>
                <w:szCs w:val="21"/>
              </w:rPr>
              <w:t>表4-</w:t>
            </w:r>
            <w:r>
              <w:rPr>
                <w:rFonts w:hint="eastAsia"/>
                <w:b/>
                <w:bCs/>
                <w:color w:val="auto"/>
                <w:kern w:val="0"/>
                <w:szCs w:val="21"/>
              </w:rPr>
              <w:t>2</w:t>
            </w:r>
            <w:r>
              <w:rPr>
                <w:b/>
                <w:bCs/>
                <w:color w:val="auto"/>
                <w:kern w:val="0"/>
                <w:szCs w:val="21"/>
              </w:rPr>
              <w:t xml:space="preserve">  项目有组织废气</w:t>
            </w:r>
            <w:r>
              <w:rPr>
                <w:rFonts w:hint="eastAsia"/>
                <w:b/>
                <w:bCs/>
                <w:color w:val="auto"/>
                <w:kern w:val="0"/>
                <w:szCs w:val="21"/>
              </w:rPr>
              <w:t>及无组织废气</w:t>
            </w:r>
            <w:r>
              <w:rPr>
                <w:b/>
                <w:bCs/>
                <w:color w:val="auto"/>
                <w:kern w:val="0"/>
                <w:szCs w:val="21"/>
              </w:rPr>
              <w:t>产生情况一览表</w:t>
            </w:r>
          </w:p>
          <w:tbl>
            <w:tblPr>
              <w:tblStyle w:val="38"/>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51"/>
              <w:gridCol w:w="1230"/>
              <w:gridCol w:w="1065"/>
              <w:gridCol w:w="1035"/>
              <w:gridCol w:w="1380"/>
              <w:gridCol w:w="1110"/>
              <w:gridCol w:w="1350"/>
              <w:gridCol w:w="111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8" w:hRule="atLeast"/>
                <w:jc w:val="center"/>
              </w:trPr>
              <w:tc>
                <w:tcPr>
                  <w:tcW w:w="951" w:type="dxa"/>
                  <w:vMerge w:val="restart"/>
                  <w:tcBorders>
                    <w:tl2br w:val="nil"/>
                    <w:tr2bl w:val="nil"/>
                  </w:tcBorders>
                  <w:vAlign w:val="center"/>
                </w:tcPr>
                <w:p>
                  <w:pPr>
                    <w:jc w:val="center"/>
                    <w:rPr>
                      <w:color w:val="auto"/>
                      <w:kern w:val="0"/>
                      <w:sz w:val="18"/>
                      <w:szCs w:val="18"/>
                    </w:rPr>
                  </w:pPr>
                  <w:r>
                    <w:rPr>
                      <w:b/>
                      <w:bCs/>
                      <w:color w:val="auto"/>
                      <w:sz w:val="18"/>
                      <w:szCs w:val="18"/>
                    </w:rPr>
                    <w:t>废气产污环节</w:t>
                  </w:r>
                </w:p>
              </w:tc>
              <w:tc>
                <w:tcPr>
                  <w:tcW w:w="1230" w:type="dxa"/>
                  <w:vMerge w:val="restart"/>
                  <w:tcBorders>
                    <w:tl2br w:val="nil"/>
                    <w:tr2bl w:val="nil"/>
                  </w:tcBorders>
                  <w:vAlign w:val="center"/>
                </w:tcPr>
                <w:p>
                  <w:pPr>
                    <w:jc w:val="center"/>
                    <w:rPr>
                      <w:color w:val="auto"/>
                      <w:kern w:val="0"/>
                      <w:sz w:val="18"/>
                      <w:szCs w:val="18"/>
                    </w:rPr>
                  </w:pPr>
                  <w:r>
                    <w:rPr>
                      <w:b/>
                      <w:bCs/>
                      <w:color w:val="auto"/>
                      <w:sz w:val="18"/>
                      <w:szCs w:val="18"/>
                    </w:rPr>
                    <w:t>污染物种类</w:t>
                  </w:r>
                </w:p>
              </w:tc>
              <w:tc>
                <w:tcPr>
                  <w:tcW w:w="1065" w:type="dxa"/>
                  <w:vMerge w:val="restart"/>
                  <w:tcBorders>
                    <w:tl2br w:val="nil"/>
                    <w:tr2bl w:val="nil"/>
                  </w:tcBorders>
                  <w:vAlign w:val="center"/>
                </w:tcPr>
                <w:p>
                  <w:pPr>
                    <w:jc w:val="center"/>
                    <w:rPr>
                      <w:b/>
                      <w:bCs/>
                      <w:color w:val="auto"/>
                      <w:sz w:val="18"/>
                      <w:szCs w:val="18"/>
                    </w:rPr>
                  </w:pPr>
                  <w:r>
                    <w:rPr>
                      <w:rFonts w:hint="eastAsia"/>
                      <w:b/>
                      <w:bCs/>
                      <w:color w:val="auto"/>
                      <w:sz w:val="18"/>
                      <w:szCs w:val="18"/>
                    </w:rPr>
                    <w:t>工作时间（h）</w:t>
                  </w:r>
                </w:p>
              </w:tc>
              <w:tc>
                <w:tcPr>
                  <w:tcW w:w="1035" w:type="dxa"/>
                  <w:vMerge w:val="restart"/>
                  <w:tcBorders>
                    <w:tl2br w:val="nil"/>
                    <w:tr2bl w:val="nil"/>
                  </w:tcBorders>
                  <w:vAlign w:val="center"/>
                </w:tcPr>
                <w:p>
                  <w:pPr>
                    <w:autoSpaceDE w:val="0"/>
                    <w:autoSpaceDN w:val="0"/>
                    <w:jc w:val="center"/>
                    <w:rPr>
                      <w:b/>
                      <w:bCs/>
                      <w:color w:val="auto"/>
                      <w:kern w:val="0"/>
                      <w:sz w:val="18"/>
                      <w:szCs w:val="18"/>
                    </w:rPr>
                  </w:pPr>
                  <w:r>
                    <w:rPr>
                      <w:rFonts w:hint="eastAsia"/>
                      <w:b/>
                      <w:bCs/>
                      <w:color w:val="auto"/>
                      <w:kern w:val="0"/>
                      <w:sz w:val="18"/>
                      <w:szCs w:val="18"/>
                    </w:rPr>
                    <w:t>总产生量（</w:t>
                  </w:r>
                  <w:r>
                    <w:rPr>
                      <w:b/>
                      <w:bCs/>
                      <w:color w:val="auto"/>
                      <w:sz w:val="18"/>
                      <w:szCs w:val="18"/>
                    </w:rPr>
                    <w:t>t/a</w:t>
                  </w:r>
                  <w:r>
                    <w:rPr>
                      <w:rFonts w:hint="eastAsia"/>
                      <w:b/>
                      <w:bCs/>
                      <w:color w:val="auto"/>
                      <w:kern w:val="0"/>
                      <w:sz w:val="18"/>
                      <w:szCs w:val="18"/>
                    </w:rPr>
                    <w:t>）</w:t>
                  </w:r>
                </w:p>
              </w:tc>
              <w:tc>
                <w:tcPr>
                  <w:tcW w:w="2490" w:type="dxa"/>
                  <w:gridSpan w:val="2"/>
                  <w:tcBorders>
                    <w:tl2br w:val="nil"/>
                    <w:tr2bl w:val="nil"/>
                  </w:tcBorders>
                  <w:vAlign w:val="center"/>
                </w:tcPr>
                <w:p>
                  <w:pPr>
                    <w:autoSpaceDE w:val="0"/>
                    <w:autoSpaceDN w:val="0"/>
                    <w:jc w:val="center"/>
                    <w:rPr>
                      <w:b/>
                      <w:bCs/>
                      <w:color w:val="auto"/>
                      <w:kern w:val="0"/>
                      <w:sz w:val="18"/>
                      <w:szCs w:val="18"/>
                    </w:rPr>
                  </w:pPr>
                  <w:r>
                    <w:rPr>
                      <w:rFonts w:hint="eastAsia"/>
                      <w:b/>
                      <w:bCs/>
                      <w:color w:val="auto"/>
                      <w:kern w:val="0"/>
                      <w:sz w:val="18"/>
                      <w:szCs w:val="18"/>
                    </w:rPr>
                    <w:t>有组织</w:t>
                  </w:r>
                </w:p>
              </w:tc>
              <w:tc>
                <w:tcPr>
                  <w:tcW w:w="2469" w:type="dxa"/>
                  <w:gridSpan w:val="2"/>
                  <w:tcBorders>
                    <w:tl2br w:val="nil"/>
                    <w:tr2bl w:val="nil"/>
                  </w:tcBorders>
                  <w:vAlign w:val="center"/>
                </w:tcPr>
                <w:p>
                  <w:pPr>
                    <w:autoSpaceDE w:val="0"/>
                    <w:autoSpaceDN w:val="0"/>
                    <w:jc w:val="center"/>
                    <w:rPr>
                      <w:b/>
                      <w:bCs/>
                      <w:color w:val="auto"/>
                      <w:kern w:val="0"/>
                      <w:sz w:val="18"/>
                      <w:szCs w:val="18"/>
                    </w:rPr>
                  </w:pPr>
                  <w:r>
                    <w:rPr>
                      <w:rFonts w:hint="eastAsia"/>
                      <w:b/>
                      <w:bCs/>
                      <w:color w:val="auto"/>
                      <w:kern w:val="0"/>
                      <w:sz w:val="18"/>
                      <w:szCs w:val="18"/>
                    </w:rPr>
                    <w:t>无组织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8" w:hRule="atLeast"/>
                <w:jc w:val="center"/>
              </w:trPr>
              <w:tc>
                <w:tcPr>
                  <w:tcW w:w="951" w:type="dxa"/>
                  <w:vMerge w:val="continue"/>
                  <w:tcBorders>
                    <w:tl2br w:val="nil"/>
                    <w:tr2bl w:val="nil"/>
                  </w:tcBorders>
                  <w:vAlign w:val="center"/>
                </w:tcPr>
                <w:p>
                  <w:pPr>
                    <w:autoSpaceDE w:val="0"/>
                    <w:autoSpaceDN w:val="0"/>
                    <w:jc w:val="center"/>
                    <w:rPr>
                      <w:color w:val="auto"/>
                    </w:rPr>
                  </w:pPr>
                </w:p>
              </w:tc>
              <w:tc>
                <w:tcPr>
                  <w:tcW w:w="1230" w:type="dxa"/>
                  <w:vMerge w:val="continue"/>
                  <w:tcBorders>
                    <w:tl2br w:val="nil"/>
                    <w:tr2bl w:val="nil"/>
                  </w:tcBorders>
                  <w:vAlign w:val="center"/>
                </w:tcPr>
                <w:p>
                  <w:pPr>
                    <w:autoSpaceDE w:val="0"/>
                    <w:autoSpaceDN w:val="0"/>
                    <w:jc w:val="center"/>
                    <w:rPr>
                      <w:color w:val="auto"/>
                    </w:rPr>
                  </w:pPr>
                </w:p>
              </w:tc>
              <w:tc>
                <w:tcPr>
                  <w:tcW w:w="1065" w:type="dxa"/>
                  <w:vMerge w:val="continue"/>
                  <w:tcBorders>
                    <w:tl2br w:val="nil"/>
                    <w:tr2bl w:val="nil"/>
                  </w:tcBorders>
                  <w:vAlign w:val="center"/>
                </w:tcPr>
                <w:p>
                  <w:pPr>
                    <w:autoSpaceDE w:val="0"/>
                    <w:autoSpaceDN w:val="0"/>
                    <w:jc w:val="center"/>
                    <w:rPr>
                      <w:color w:val="auto"/>
                    </w:rPr>
                  </w:pPr>
                </w:p>
              </w:tc>
              <w:tc>
                <w:tcPr>
                  <w:tcW w:w="1035" w:type="dxa"/>
                  <w:vMerge w:val="continue"/>
                  <w:tcBorders>
                    <w:tl2br w:val="nil"/>
                    <w:tr2bl w:val="nil"/>
                  </w:tcBorders>
                  <w:vAlign w:val="center"/>
                </w:tcPr>
                <w:p>
                  <w:pPr>
                    <w:autoSpaceDE w:val="0"/>
                    <w:autoSpaceDN w:val="0"/>
                    <w:jc w:val="center"/>
                    <w:rPr>
                      <w:color w:val="auto"/>
                      <w:kern w:val="0"/>
                      <w:sz w:val="18"/>
                      <w:szCs w:val="18"/>
                    </w:rPr>
                  </w:pPr>
                </w:p>
              </w:tc>
              <w:tc>
                <w:tcPr>
                  <w:tcW w:w="1380" w:type="dxa"/>
                  <w:tcBorders>
                    <w:tl2br w:val="nil"/>
                    <w:tr2bl w:val="nil"/>
                  </w:tcBorders>
                  <w:vAlign w:val="center"/>
                </w:tcPr>
                <w:p>
                  <w:pPr>
                    <w:autoSpaceDE w:val="0"/>
                    <w:autoSpaceDN w:val="0"/>
                    <w:jc w:val="center"/>
                    <w:rPr>
                      <w:b/>
                      <w:bCs/>
                      <w:color w:val="auto"/>
                      <w:sz w:val="18"/>
                      <w:szCs w:val="18"/>
                    </w:rPr>
                  </w:pPr>
                  <w:r>
                    <w:rPr>
                      <w:b/>
                      <w:bCs/>
                      <w:color w:val="auto"/>
                      <w:sz w:val="18"/>
                      <w:szCs w:val="18"/>
                    </w:rPr>
                    <w:t>产生</w:t>
                  </w:r>
                  <w:r>
                    <w:rPr>
                      <w:rFonts w:hint="eastAsia"/>
                      <w:b/>
                      <w:bCs/>
                      <w:color w:val="auto"/>
                      <w:sz w:val="18"/>
                      <w:szCs w:val="18"/>
                    </w:rPr>
                    <w:t>量</w:t>
                  </w:r>
                  <w:r>
                    <w:rPr>
                      <w:b/>
                      <w:bCs/>
                      <w:color w:val="auto"/>
                      <w:sz w:val="18"/>
                      <w:szCs w:val="18"/>
                    </w:rPr>
                    <w:t>（t/a）</w:t>
                  </w:r>
                </w:p>
              </w:tc>
              <w:tc>
                <w:tcPr>
                  <w:tcW w:w="1110" w:type="dxa"/>
                  <w:tcBorders>
                    <w:tl2br w:val="nil"/>
                    <w:tr2bl w:val="nil"/>
                  </w:tcBorders>
                  <w:vAlign w:val="center"/>
                </w:tcPr>
                <w:p>
                  <w:pPr>
                    <w:autoSpaceDE w:val="0"/>
                    <w:autoSpaceDN w:val="0"/>
                    <w:jc w:val="center"/>
                    <w:rPr>
                      <w:color w:val="auto"/>
                      <w:kern w:val="0"/>
                      <w:sz w:val="18"/>
                      <w:szCs w:val="18"/>
                    </w:rPr>
                  </w:pPr>
                  <w:r>
                    <w:rPr>
                      <w:b/>
                      <w:bCs/>
                      <w:color w:val="auto"/>
                      <w:sz w:val="18"/>
                      <w:szCs w:val="18"/>
                    </w:rPr>
                    <w:t>速率(kg/h)</w:t>
                  </w:r>
                </w:p>
              </w:tc>
              <w:tc>
                <w:tcPr>
                  <w:tcW w:w="1350" w:type="dxa"/>
                  <w:tcBorders>
                    <w:tl2br w:val="nil"/>
                    <w:tr2bl w:val="nil"/>
                  </w:tcBorders>
                  <w:vAlign w:val="center"/>
                </w:tcPr>
                <w:p>
                  <w:pPr>
                    <w:autoSpaceDE w:val="0"/>
                    <w:autoSpaceDN w:val="0"/>
                    <w:jc w:val="center"/>
                    <w:rPr>
                      <w:color w:val="auto"/>
                      <w:kern w:val="0"/>
                      <w:sz w:val="18"/>
                      <w:szCs w:val="18"/>
                    </w:rPr>
                  </w:pPr>
                  <w:r>
                    <w:rPr>
                      <w:b/>
                      <w:bCs/>
                      <w:color w:val="auto"/>
                      <w:sz w:val="18"/>
                      <w:szCs w:val="18"/>
                    </w:rPr>
                    <w:t>产生量（t/a）</w:t>
                  </w:r>
                </w:p>
              </w:tc>
              <w:tc>
                <w:tcPr>
                  <w:tcW w:w="1119" w:type="dxa"/>
                  <w:tcBorders>
                    <w:tl2br w:val="nil"/>
                    <w:tr2bl w:val="nil"/>
                  </w:tcBorders>
                  <w:vAlign w:val="center"/>
                </w:tcPr>
                <w:p>
                  <w:pPr>
                    <w:autoSpaceDE w:val="0"/>
                    <w:autoSpaceDN w:val="0"/>
                    <w:jc w:val="center"/>
                    <w:rPr>
                      <w:color w:val="auto"/>
                      <w:kern w:val="0"/>
                      <w:sz w:val="18"/>
                      <w:szCs w:val="18"/>
                    </w:rPr>
                  </w:pPr>
                  <w:r>
                    <w:rPr>
                      <w:b/>
                      <w:bCs/>
                      <w:color w:val="auto"/>
                      <w:sz w:val="18"/>
                      <w:szCs w:val="18"/>
                    </w:rPr>
                    <w:t>速率(kg/h)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tcBorders>
                    <w:tl2br w:val="nil"/>
                    <w:tr2bl w:val="nil"/>
                  </w:tcBorders>
                  <w:vAlign w:val="center"/>
                </w:tcPr>
                <w:p>
                  <w:pPr>
                    <w:adjustRightInd w:val="0"/>
                    <w:snapToGrid w:val="0"/>
                    <w:jc w:val="center"/>
                    <w:rPr>
                      <w:color w:val="auto"/>
                      <w:kern w:val="0"/>
                      <w:sz w:val="18"/>
                      <w:szCs w:val="18"/>
                    </w:rPr>
                  </w:pPr>
                  <w:r>
                    <w:rPr>
                      <w:rFonts w:hint="eastAsia"/>
                      <w:bCs/>
                      <w:color w:val="auto"/>
                      <w:sz w:val="18"/>
                      <w:szCs w:val="18"/>
                    </w:rPr>
                    <w:t>密炼废气</w:t>
                  </w:r>
                </w:p>
              </w:tc>
              <w:tc>
                <w:tcPr>
                  <w:tcW w:w="1230" w:type="dxa"/>
                  <w:tcBorders>
                    <w:tl2br w:val="nil"/>
                    <w:tr2bl w:val="nil"/>
                  </w:tcBorders>
                  <w:vAlign w:val="center"/>
                </w:tcPr>
                <w:p>
                  <w:pPr>
                    <w:widowControl/>
                    <w:jc w:val="center"/>
                    <w:rPr>
                      <w:color w:val="auto"/>
                      <w:kern w:val="0"/>
                      <w:sz w:val="18"/>
                      <w:szCs w:val="18"/>
                    </w:rPr>
                  </w:pPr>
                  <w:r>
                    <w:rPr>
                      <w:rFonts w:hint="eastAsia"/>
                      <w:color w:val="auto"/>
                      <w:sz w:val="18"/>
                      <w:szCs w:val="18"/>
                    </w:rPr>
                    <w:t>非甲烷总烃</w:t>
                  </w:r>
                </w:p>
              </w:tc>
              <w:tc>
                <w:tcPr>
                  <w:tcW w:w="106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5000</w:t>
                  </w: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0.003</w:t>
                  </w:r>
                </w:p>
              </w:tc>
              <w:tc>
                <w:tcPr>
                  <w:tcW w:w="138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0.0027</w:t>
                  </w:r>
                </w:p>
              </w:tc>
              <w:tc>
                <w:tcPr>
                  <w:tcW w:w="111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0.00054</w:t>
                  </w:r>
                </w:p>
              </w:tc>
              <w:tc>
                <w:tcPr>
                  <w:tcW w:w="135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0.0003</w:t>
                  </w:r>
                </w:p>
              </w:tc>
              <w:tc>
                <w:tcPr>
                  <w:tcW w:w="1119"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tcBorders>
                    <w:tl2br w:val="nil"/>
                    <w:tr2bl w:val="nil"/>
                  </w:tcBorders>
                  <w:vAlign w:val="center"/>
                </w:tcPr>
                <w:p>
                  <w:pPr>
                    <w:adjustRightInd w:val="0"/>
                    <w:snapToGrid w:val="0"/>
                    <w:jc w:val="center"/>
                    <w:rPr>
                      <w:color w:val="auto"/>
                      <w:kern w:val="0"/>
                      <w:sz w:val="18"/>
                      <w:szCs w:val="18"/>
                    </w:rPr>
                  </w:pPr>
                  <w:r>
                    <w:rPr>
                      <w:rFonts w:hint="eastAsia"/>
                      <w:bCs/>
                      <w:color w:val="auto"/>
                      <w:sz w:val="18"/>
                      <w:szCs w:val="18"/>
                    </w:rPr>
                    <w:t>一次成型废气</w:t>
                  </w:r>
                </w:p>
              </w:tc>
              <w:tc>
                <w:tcPr>
                  <w:tcW w:w="1230" w:type="dxa"/>
                  <w:tcBorders>
                    <w:tl2br w:val="nil"/>
                    <w:tr2bl w:val="nil"/>
                  </w:tcBorders>
                  <w:vAlign w:val="center"/>
                </w:tcPr>
                <w:p>
                  <w:pPr>
                    <w:widowControl/>
                    <w:jc w:val="center"/>
                    <w:rPr>
                      <w:color w:val="auto"/>
                      <w:kern w:val="0"/>
                      <w:sz w:val="18"/>
                      <w:szCs w:val="18"/>
                    </w:rPr>
                  </w:pPr>
                  <w:r>
                    <w:rPr>
                      <w:rFonts w:hint="eastAsia"/>
                      <w:color w:val="auto"/>
                      <w:sz w:val="18"/>
                      <w:szCs w:val="18"/>
                    </w:rPr>
                    <w:t>非甲烷总烃</w:t>
                  </w:r>
                </w:p>
              </w:tc>
              <w:tc>
                <w:tcPr>
                  <w:tcW w:w="106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7200</w:t>
                  </w: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0.013</w:t>
                  </w:r>
                </w:p>
              </w:tc>
              <w:tc>
                <w:tcPr>
                  <w:tcW w:w="138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0.0117</w:t>
                  </w:r>
                </w:p>
              </w:tc>
              <w:tc>
                <w:tcPr>
                  <w:tcW w:w="111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0.0016</w:t>
                  </w:r>
                </w:p>
              </w:tc>
              <w:tc>
                <w:tcPr>
                  <w:tcW w:w="135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0.0013</w:t>
                  </w:r>
                </w:p>
              </w:tc>
              <w:tc>
                <w:tcPr>
                  <w:tcW w:w="1119"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tcBorders>
                    <w:tl2br w:val="nil"/>
                    <w:tr2bl w:val="nil"/>
                  </w:tcBorders>
                  <w:vAlign w:val="center"/>
                </w:tcPr>
                <w:p>
                  <w:pPr>
                    <w:adjustRightInd w:val="0"/>
                    <w:snapToGrid w:val="0"/>
                    <w:jc w:val="center"/>
                    <w:rPr>
                      <w:color w:val="auto"/>
                      <w:kern w:val="0"/>
                      <w:sz w:val="18"/>
                      <w:szCs w:val="18"/>
                    </w:rPr>
                  </w:pPr>
                  <w:r>
                    <w:rPr>
                      <w:rFonts w:hint="eastAsia"/>
                      <w:bCs/>
                      <w:color w:val="auto"/>
                      <w:sz w:val="18"/>
                      <w:szCs w:val="18"/>
                    </w:rPr>
                    <w:t>二次成型废气</w:t>
                  </w:r>
                </w:p>
              </w:tc>
              <w:tc>
                <w:tcPr>
                  <w:tcW w:w="1230" w:type="dxa"/>
                  <w:tcBorders>
                    <w:tl2br w:val="nil"/>
                    <w:tr2bl w:val="nil"/>
                  </w:tcBorders>
                  <w:vAlign w:val="center"/>
                </w:tcPr>
                <w:p>
                  <w:pPr>
                    <w:widowControl/>
                    <w:jc w:val="center"/>
                    <w:rPr>
                      <w:color w:val="auto"/>
                      <w:kern w:val="0"/>
                      <w:sz w:val="18"/>
                      <w:szCs w:val="18"/>
                    </w:rPr>
                  </w:pPr>
                  <w:r>
                    <w:rPr>
                      <w:rFonts w:hint="eastAsia"/>
                      <w:color w:val="auto"/>
                      <w:sz w:val="18"/>
                      <w:szCs w:val="18"/>
                    </w:rPr>
                    <w:t>非甲烷总烃</w:t>
                  </w:r>
                </w:p>
              </w:tc>
              <w:tc>
                <w:tcPr>
                  <w:tcW w:w="106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7200</w:t>
                  </w: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0.013</w:t>
                  </w:r>
                </w:p>
              </w:tc>
              <w:tc>
                <w:tcPr>
                  <w:tcW w:w="138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0.0117</w:t>
                  </w:r>
                </w:p>
              </w:tc>
              <w:tc>
                <w:tcPr>
                  <w:tcW w:w="111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0.0016</w:t>
                  </w:r>
                </w:p>
              </w:tc>
              <w:tc>
                <w:tcPr>
                  <w:tcW w:w="135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0.0013</w:t>
                  </w:r>
                </w:p>
              </w:tc>
              <w:tc>
                <w:tcPr>
                  <w:tcW w:w="1119"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tcBorders>
                    <w:tl2br w:val="nil"/>
                    <w:tr2bl w:val="nil"/>
                  </w:tcBorders>
                  <w:vAlign w:val="center"/>
                </w:tcPr>
                <w:p>
                  <w:pPr>
                    <w:jc w:val="center"/>
                    <w:rPr>
                      <w:bCs/>
                      <w:color w:val="auto"/>
                      <w:sz w:val="18"/>
                      <w:szCs w:val="18"/>
                    </w:rPr>
                  </w:pPr>
                  <w:r>
                    <w:rPr>
                      <w:rFonts w:hint="eastAsia"/>
                      <w:color w:val="auto"/>
                      <w:sz w:val="18"/>
                      <w:szCs w:val="18"/>
                    </w:rPr>
                    <w:t>注塑废气</w:t>
                  </w:r>
                </w:p>
              </w:tc>
              <w:tc>
                <w:tcPr>
                  <w:tcW w:w="1230" w:type="dxa"/>
                  <w:tcBorders>
                    <w:tl2br w:val="nil"/>
                    <w:tr2bl w:val="nil"/>
                  </w:tcBorders>
                  <w:vAlign w:val="center"/>
                </w:tcPr>
                <w:p>
                  <w:pPr>
                    <w:jc w:val="center"/>
                    <w:rPr>
                      <w:color w:val="auto"/>
                      <w:sz w:val="18"/>
                      <w:szCs w:val="18"/>
                    </w:rPr>
                  </w:pPr>
                  <w:r>
                    <w:rPr>
                      <w:rFonts w:hint="eastAsia"/>
                      <w:color w:val="auto"/>
                      <w:sz w:val="18"/>
                      <w:szCs w:val="18"/>
                    </w:rPr>
                    <w:t>非甲烷总烃</w:t>
                  </w:r>
                </w:p>
              </w:tc>
              <w:tc>
                <w:tcPr>
                  <w:tcW w:w="106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6500</w:t>
                  </w: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0.011</w:t>
                  </w:r>
                </w:p>
              </w:tc>
              <w:tc>
                <w:tcPr>
                  <w:tcW w:w="138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0.0099</w:t>
                  </w:r>
                </w:p>
              </w:tc>
              <w:tc>
                <w:tcPr>
                  <w:tcW w:w="111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0.0015</w:t>
                  </w:r>
                </w:p>
              </w:tc>
              <w:tc>
                <w:tcPr>
                  <w:tcW w:w="135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0.0011</w:t>
                  </w:r>
                </w:p>
              </w:tc>
              <w:tc>
                <w:tcPr>
                  <w:tcW w:w="1119"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vMerge w:val="restart"/>
                  <w:tcBorders>
                    <w:tl2br w:val="nil"/>
                    <w:tr2bl w:val="nil"/>
                  </w:tcBorders>
                  <w:vAlign w:val="center"/>
                </w:tcPr>
                <w:p>
                  <w:pPr>
                    <w:adjustRightInd w:val="0"/>
                    <w:snapToGrid w:val="0"/>
                    <w:jc w:val="center"/>
                    <w:rPr>
                      <w:color w:val="auto"/>
                      <w:kern w:val="0"/>
                      <w:sz w:val="18"/>
                      <w:szCs w:val="18"/>
                    </w:rPr>
                  </w:pPr>
                  <w:r>
                    <w:rPr>
                      <w:rFonts w:hint="eastAsia"/>
                      <w:bCs/>
                      <w:color w:val="auto"/>
                      <w:sz w:val="18"/>
                      <w:szCs w:val="18"/>
                    </w:rPr>
                    <w:t>开炼废气</w:t>
                  </w:r>
                </w:p>
              </w:tc>
              <w:tc>
                <w:tcPr>
                  <w:tcW w:w="1230" w:type="dxa"/>
                  <w:tcBorders>
                    <w:tl2br w:val="nil"/>
                    <w:tr2bl w:val="nil"/>
                  </w:tcBorders>
                  <w:vAlign w:val="center"/>
                </w:tcPr>
                <w:p>
                  <w:pPr>
                    <w:widowControl/>
                    <w:jc w:val="center"/>
                    <w:rPr>
                      <w:color w:val="auto"/>
                      <w:kern w:val="0"/>
                      <w:sz w:val="18"/>
                      <w:szCs w:val="18"/>
                    </w:rPr>
                  </w:pPr>
                  <w:r>
                    <w:rPr>
                      <w:rFonts w:hint="eastAsia"/>
                      <w:color w:val="auto"/>
                      <w:sz w:val="18"/>
                      <w:szCs w:val="18"/>
                    </w:rPr>
                    <w:t>非甲烷总烃</w:t>
                  </w:r>
                </w:p>
              </w:tc>
              <w:tc>
                <w:tcPr>
                  <w:tcW w:w="1065" w:type="dxa"/>
                  <w:vMerge w:val="restart"/>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7200</w:t>
                  </w: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0.019</w:t>
                  </w:r>
                </w:p>
              </w:tc>
              <w:tc>
                <w:tcPr>
                  <w:tcW w:w="138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0.0171</w:t>
                  </w:r>
                </w:p>
              </w:tc>
              <w:tc>
                <w:tcPr>
                  <w:tcW w:w="111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0.0024</w:t>
                  </w:r>
                </w:p>
              </w:tc>
              <w:tc>
                <w:tcPr>
                  <w:tcW w:w="135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0.0019</w:t>
                  </w:r>
                </w:p>
              </w:tc>
              <w:tc>
                <w:tcPr>
                  <w:tcW w:w="1119"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vMerge w:val="continue"/>
                  <w:tcBorders>
                    <w:tl2br w:val="nil"/>
                    <w:tr2bl w:val="nil"/>
                  </w:tcBorders>
                  <w:vAlign w:val="center"/>
                </w:tcPr>
                <w:p>
                  <w:pPr>
                    <w:jc w:val="center"/>
                    <w:rPr>
                      <w:color w:val="auto"/>
                      <w:kern w:val="0"/>
                      <w:sz w:val="18"/>
                      <w:szCs w:val="18"/>
                    </w:rPr>
                  </w:pPr>
                </w:p>
              </w:tc>
              <w:tc>
                <w:tcPr>
                  <w:tcW w:w="1230" w:type="dxa"/>
                  <w:tcBorders>
                    <w:tl2br w:val="nil"/>
                    <w:tr2bl w:val="nil"/>
                  </w:tcBorders>
                  <w:vAlign w:val="center"/>
                </w:tcPr>
                <w:p>
                  <w:pPr>
                    <w:widowControl/>
                    <w:jc w:val="center"/>
                    <w:rPr>
                      <w:color w:val="auto"/>
                      <w:kern w:val="0"/>
                      <w:sz w:val="18"/>
                      <w:szCs w:val="18"/>
                    </w:rPr>
                  </w:pPr>
                  <w:r>
                    <w:rPr>
                      <w:rFonts w:hint="eastAsia"/>
                      <w:color w:val="auto"/>
                      <w:sz w:val="18"/>
                      <w:szCs w:val="18"/>
                    </w:rPr>
                    <w:t>颗粒物</w:t>
                  </w:r>
                </w:p>
              </w:tc>
              <w:tc>
                <w:tcPr>
                  <w:tcW w:w="1065" w:type="dxa"/>
                  <w:vMerge w:val="continue"/>
                  <w:tcBorders>
                    <w:tl2br w:val="nil"/>
                    <w:tr2bl w:val="nil"/>
                  </w:tcBorders>
                  <w:vAlign w:val="center"/>
                </w:tcPr>
                <w:p>
                  <w:pPr>
                    <w:autoSpaceDE w:val="0"/>
                    <w:autoSpaceDN w:val="0"/>
                    <w:jc w:val="center"/>
                    <w:rPr>
                      <w:color w:val="auto"/>
                      <w:kern w:val="0"/>
                      <w:sz w:val="18"/>
                      <w:szCs w:val="18"/>
                    </w:rPr>
                  </w:pP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0.083</w:t>
                  </w:r>
                </w:p>
              </w:tc>
              <w:tc>
                <w:tcPr>
                  <w:tcW w:w="138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0.0747</w:t>
                  </w:r>
                </w:p>
              </w:tc>
              <w:tc>
                <w:tcPr>
                  <w:tcW w:w="111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0.0125</w:t>
                  </w:r>
                </w:p>
              </w:tc>
              <w:tc>
                <w:tcPr>
                  <w:tcW w:w="135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0.0083</w:t>
                  </w:r>
                </w:p>
              </w:tc>
              <w:tc>
                <w:tcPr>
                  <w:tcW w:w="1119"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vMerge w:val="restart"/>
                  <w:tcBorders>
                    <w:tl2br w:val="nil"/>
                    <w:tr2bl w:val="nil"/>
                  </w:tcBorders>
                  <w:vAlign w:val="center"/>
                </w:tcPr>
                <w:p>
                  <w:pPr>
                    <w:adjustRightInd w:val="0"/>
                    <w:snapToGrid w:val="0"/>
                    <w:jc w:val="center"/>
                    <w:rPr>
                      <w:color w:val="auto"/>
                      <w:kern w:val="0"/>
                      <w:sz w:val="18"/>
                      <w:szCs w:val="18"/>
                    </w:rPr>
                  </w:pPr>
                  <w:r>
                    <w:rPr>
                      <w:rFonts w:hint="eastAsia"/>
                      <w:bCs/>
                      <w:color w:val="auto"/>
                      <w:sz w:val="18"/>
                      <w:szCs w:val="18"/>
                    </w:rPr>
                    <w:t>恶臭废气</w:t>
                  </w:r>
                </w:p>
              </w:tc>
              <w:tc>
                <w:tcPr>
                  <w:tcW w:w="1230" w:type="dxa"/>
                  <w:tcBorders>
                    <w:tl2br w:val="nil"/>
                    <w:tr2bl w:val="nil"/>
                  </w:tcBorders>
                  <w:vAlign w:val="center"/>
                </w:tcPr>
                <w:p>
                  <w:pPr>
                    <w:widowControl/>
                    <w:jc w:val="center"/>
                    <w:rPr>
                      <w:color w:val="auto"/>
                      <w:kern w:val="0"/>
                      <w:sz w:val="18"/>
                      <w:szCs w:val="18"/>
                    </w:rPr>
                  </w:pPr>
                  <w:r>
                    <w:rPr>
                      <w:rFonts w:hint="eastAsia"/>
                      <w:color w:val="auto"/>
                      <w:sz w:val="18"/>
                      <w:szCs w:val="18"/>
                    </w:rPr>
                    <w:t>CS</w:t>
                  </w:r>
                  <w:r>
                    <w:rPr>
                      <w:rFonts w:hint="eastAsia"/>
                      <w:color w:val="auto"/>
                      <w:sz w:val="18"/>
                      <w:szCs w:val="18"/>
                      <w:vertAlign w:val="subscript"/>
                    </w:rPr>
                    <w:t>2</w:t>
                  </w:r>
                </w:p>
              </w:tc>
              <w:tc>
                <w:tcPr>
                  <w:tcW w:w="106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7200</w:t>
                  </w: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0.0003</w:t>
                  </w:r>
                </w:p>
              </w:tc>
              <w:tc>
                <w:tcPr>
                  <w:tcW w:w="138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0.00027</w:t>
                  </w:r>
                </w:p>
              </w:tc>
              <w:tc>
                <w:tcPr>
                  <w:tcW w:w="111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0.00004</w:t>
                  </w:r>
                </w:p>
              </w:tc>
              <w:tc>
                <w:tcPr>
                  <w:tcW w:w="135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0.00003</w:t>
                  </w:r>
                </w:p>
              </w:tc>
              <w:tc>
                <w:tcPr>
                  <w:tcW w:w="1119"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vMerge w:val="continue"/>
                  <w:tcBorders>
                    <w:tl2br w:val="nil"/>
                    <w:tr2bl w:val="nil"/>
                  </w:tcBorders>
                  <w:vAlign w:val="center"/>
                </w:tcPr>
                <w:p>
                  <w:pPr>
                    <w:jc w:val="center"/>
                    <w:rPr>
                      <w:color w:val="auto"/>
                      <w:kern w:val="0"/>
                      <w:sz w:val="18"/>
                      <w:szCs w:val="18"/>
                    </w:rPr>
                  </w:pPr>
                </w:p>
              </w:tc>
              <w:tc>
                <w:tcPr>
                  <w:tcW w:w="1230" w:type="dxa"/>
                  <w:tcBorders>
                    <w:tl2br w:val="nil"/>
                    <w:tr2bl w:val="nil"/>
                  </w:tcBorders>
                  <w:vAlign w:val="center"/>
                </w:tcPr>
                <w:p>
                  <w:pPr>
                    <w:jc w:val="center"/>
                    <w:rPr>
                      <w:color w:val="auto"/>
                      <w:kern w:val="0"/>
                      <w:sz w:val="18"/>
                      <w:szCs w:val="18"/>
                    </w:rPr>
                  </w:pPr>
                  <w:r>
                    <w:rPr>
                      <w:rFonts w:hint="eastAsia"/>
                      <w:color w:val="auto"/>
                      <w:sz w:val="18"/>
                      <w:szCs w:val="18"/>
                    </w:rPr>
                    <w:t>硫化氢</w:t>
                  </w:r>
                </w:p>
              </w:tc>
              <w:tc>
                <w:tcPr>
                  <w:tcW w:w="106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7200</w:t>
                  </w: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0.003</w:t>
                  </w:r>
                </w:p>
              </w:tc>
              <w:tc>
                <w:tcPr>
                  <w:tcW w:w="138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0.0027</w:t>
                  </w:r>
                </w:p>
              </w:tc>
              <w:tc>
                <w:tcPr>
                  <w:tcW w:w="111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0.0004</w:t>
                  </w:r>
                </w:p>
              </w:tc>
              <w:tc>
                <w:tcPr>
                  <w:tcW w:w="135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0.0003</w:t>
                  </w:r>
                </w:p>
              </w:tc>
              <w:tc>
                <w:tcPr>
                  <w:tcW w:w="1119"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vMerge w:val="restart"/>
                  <w:tcBorders>
                    <w:tl2br w:val="nil"/>
                    <w:tr2bl w:val="nil"/>
                  </w:tcBorders>
                  <w:vAlign w:val="center"/>
                </w:tcPr>
                <w:p>
                  <w:pPr>
                    <w:jc w:val="center"/>
                    <w:rPr>
                      <w:color w:val="auto"/>
                      <w:kern w:val="0"/>
                      <w:sz w:val="18"/>
                      <w:szCs w:val="18"/>
                    </w:rPr>
                  </w:pPr>
                  <w:r>
                    <w:rPr>
                      <w:rFonts w:hint="eastAsia"/>
                      <w:color w:val="auto"/>
                      <w:kern w:val="0"/>
                      <w:sz w:val="18"/>
                      <w:szCs w:val="18"/>
                    </w:rPr>
                    <w:t>合计*</w:t>
                  </w:r>
                </w:p>
              </w:tc>
              <w:tc>
                <w:tcPr>
                  <w:tcW w:w="1230" w:type="dxa"/>
                  <w:tcBorders>
                    <w:tl2br w:val="nil"/>
                    <w:tr2bl w:val="nil"/>
                  </w:tcBorders>
                  <w:vAlign w:val="center"/>
                </w:tcPr>
                <w:p>
                  <w:pPr>
                    <w:widowControl/>
                    <w:jc w:val="center"/>
                    <w:rPr>
                      <w:color w:val="auto"/>
                      <w:sz w:val="18"/>
                      <w:szCs w:val="18"/>
                    </w:rPr>
                  </w:pPr>
                  <w:r>
                    <w:rPr>
                      <w:rFonts w:hint="eastAsia"/>
                      <w:color w:val="auto"/>
                      <w:sz w:val="18"/>
                      <w:szCs w:val="18"/>
                    </w:rPr>
                    <w:t>非甲烷总烃</w:t>
                  </w:r>
                </w:p>
              </w:tc>
              <w:tc>
                <w:tcPr>
                  <w:tcW w:w="1065" w:type="dxa"/>
                  <w:tcBorders>
                    <w:tl2br w:val="nil"/>
                    <w:tr2bl w:val="nil"/>
                  </w:tcBorders>
                  <w:vAlign w:val="center"/>
                </w:tcPr>
                <w:p>
                  <w:pPr>
                    <w:autoSpaceDE w:val="0"/>
                    <w:autoSpaceDN w:val="0"/>
                    <w:jc w:val="center"/>
                    <w:rPr>
                      <w:color w:val="auto"/>
                      <w:kern w:val="0"/>
                      <w:sz w:val="18"/>
                      <w:szCs w:val="18"/>
                    </w:rPr>
                  </w:pPr>
                  <w:r>
                    <w:rPr>
                      <w:rFonts w:hint="eastAsia"/>
                      <w:color w:val="auto"/>
                      <w:sz w:val="18"/>
                      <w:szCs w:val="18"/>
                    </w:rPr>
                    <w:t>/</w:t>
                  </w: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sz w:val="18"/>
                      <w:szCs w:val="18"/>
                    </w:rPr>
                    <w:t>/</w:t>
                  </w:r>
                </w:p>
              </w:tc>
              <w:tc>
                <w:tcPr>
                  <w:tcW w:w="1380" w:type="dxa"/>
                  <w:tcBorders>
                    <w:tl2br w:val="nil"/>
                    <w:tr2bl w:val="nil"/>
                  </w:tcBorders>
                  <w:vAlign w:val="center"/>
                </w:tcPr>
                <w:p>
                  <w:pPr>
                    <w:widowControl/>
                    <w:jc w:val="center"/>
                    <w:textAlignment w:val="center"/>
                    <w:rPr>
                      <w:color w:val="auto"/>
                      <w:kern w:val="0"/>
                      <w:sz w:val="18"/>
                      <w:szCs w:val="18"/>
                    </w:rPr>
                  </w:pPr>
                  <w:r>
                    <w:rPr>
                      <w:color w:val="auto"/>
                      <w:kern w:val="0"/>
                      <w:sz w:val="18"/>
                      <w:szCs w:val="18"/>
                    </w:rPr>
                    <w:t>0.0747</w:t>
                  </w:r>
                </w:p>
              </w:tc>
              <w:tc>
                <w:tcPr>
                  <w:tcW w:w="1110" w:type="dxa"/>
                  <w:tcBorders>
                    <w:tl2br w:val="nil"/>
                    <w:tr2bl w:val="nil"/>
                  </w:tcBorders>
                  <w:vAlign w:val="center"/>
                </w:tcPr>
                <w:p>
                  <w:pPr>
                    <w:widowControl/>
                    <w:jc w:val="center"/>
                    <w:textAlignment w:val="center"/>
                    <w:rPr>
                      <w:color w:val="auto"/>
                      <w:kern w:val="0"/>
                      <w:sz w:val="18"/>
                      <w:szCs w:val="18"/>
                    </w:rPr>
                  </w:pPr>
                  <w:r>
                    <w:rPr>
                      <w:rFonts w:hint="eastAsia"/>
                      <w:color w:val="auto"/>
                      <w:kern w:val="0"/>
                      <w:sz w:val="18"/>
                      <w:szCs w:val="18"/>
                    </w:rPr>
                    <w:t>0.00764</w:t>
                  </w:r>
                </w:p>
              </w:tc>
              <w:tc>
                <w:tcPr>
                  <w:tcW w:w="1350" w:type="dxa"/>
                  <w:tcBorders>
                    <w:tl2br w:val="nil"/>
                    <w:tr2bl w:val="nil"/>
                  </w:tcBorders>
                  <w:vAlign w:val="center"/>
                </w:tcPr>
                <w:p>
                  <w:pPr>
                    <w:widowControl/>
                    <w:jc w:val="center"/>
                    <w:textAlignment w:val="center"/>
                    <w:rPr>
                      <w:color w:val="auto"/>
                      <w:kern w:val="0"/>
                      <w:sz w:val="18"/>
                      <w:szCs w:val="18"/>
                    </w:rPr>
                  </w:pPr>
                  <w:r>
                    <w:rPr>
                      <w:color w:val="auto"/>
                      <w:kern w:val="0"/>
                      <w:sz w:val="18"/>
                      <w:szCs w:val="18"/>
                    </w:rPr>
                    <w:t>0.0083</w:t>
                  </w:r>
                </w:p>
              </w:tc>
              <w:tc>
                <w:tcPr>
                  <w:tcW w:w="1119" w:type="dxa"/>
                  <w:tcBorders>
                    <w:tl2br w:val="nil"/>
                    <w:tr2bl w:val="nil"/>
                  </w:tcBorders>
                  <w:vAlign w:val="center"/>
                </w:tcPr>
                <w:p>
                  <w:pPr>
                    <w:widowControl/>
                    <w:jc w:val="center"/>
                    <w:textAlignment w:val="center"/>
                    <w:rPr>
                      <w:color w:val="auto"/>
                      <w:kern w:val="0"/>
                      <w:sz w:val="18"/>
                      <w:szCs w:val="18"/>
                    </w:rPr>
                  </w:pPr>
                  <w:r>
                    <w:rPr>
                      <w:rFonts w:hint="eastAsia"/>
                      <w:color w:val="auto"/>
                      <w:kern w:val="0"/>
                      <w:sz w:val="18"/>
                      <w:szCs w:val="18"/>
                    </w:rPr>
                    <w:t>0.00096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vMerge w:val="continue"/>
                  <w:tcBorders>
                    <w:tl2br w:val="nil"/>
                    <w:tr2bl w:val="nil"/>
                  </w:tcBorders>
                  <w:vAlign w:val="center"/>
                </w:tcPr>
                <w:p>
                  <w:pPr>
                    <w:jc w:val="center"/>
                    <w:rPr>
                      <w:color w:val="auto"/>
                      <w:kern w:val="0"/>
                      <w:sz w:val="18"/>
                      <w:szCs w:val="18"/>
                    </w:rPr>
                  </w:pPr>
                </w:p>
              </w:tc>
              <w:tc>
                <w:tcPr>
                  <w:tcW w:w="1230" w:type="dxa"/>
                  <w:tcBorders>
                    <w:tl2br w:val="nil"/>
                    <w:tr2bl w:val="nil"/>
                  </w:tcBorders>
                  <w:vAlign w:val="center"/>
                </w:tcPr>
                <w:p>
                  <w:pPr>
                    <w:widowControl/>
                    <w:jc w:val="center"/>
                    <w:rPr>
                      <w:color w:val="auto"/>
                      <w:sz w:val="18"/>
                      <w:szCs w:val="18"/>
                    </w:rPr>
                  </w:pPr>
                  <w:r>
                    <w:rPr>
                      <w:rFonts w:hint="eastAsia"/>
                      <w:color w:val="auto"/>
                      <w:sz w:val="18"/>
                      <w:szCs w:val="18"/>
                    </w:rPr>
                    <w:t>颗粒物</w:t>
                  </w:r>
                </w:p>
              </w:tc>
              <w:tc>
                <w:tcPr>
                  <w:tcW w:w="1065" w:type="dxa"/>
                  <w:tcBorders>
                    <w:tl2br w:val="nil"/>
                    <w:tr2bl w:val="nil"/>
                  </w:tcBorders>
                  <w:vAlign w:val="center"/>
                </w:tcPr>
                <w:p>
                  <w:pPr>
                    <w:autoSpaceDE w:val="0"/>
                    <w:autoSpaceDN w:val="0"/>
                    <w:jc w:val="center"/>
                    <w:rPr>
                      <w:color w:val="auto"/>
                      <w:kern w:val="0"/>
                      <w:sz w:val="18"/>
                      <w:szCs w:val="18"/>
                    </w:rPr>
                  </w:pPr>
                  <w:r>
                    <w:rPr>
                      <w:rFonts w:hint="eastAsia"/>
                      <w:color w:val="auto"/>
                      <w:sz w:val="18"/>
                      <w:szCs w:val="18"/>
                    </w:rPr>
                    <w:t>/</w:t>
                  </w: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sz w:val="18"/>
                      <w:szCs w:val="18"/>
                    </w:rPr>
                    <w:t>/</w:t>
                  </w:r>
                </w:p>
              </w:tc>
              <w:tc>
                <w:tcPr>
                  <w:tcW w:w="138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0.0747</w:t>
                  </w:r>
                </w:p>
              </w:tc>
              <w:tc>
                <w:tcPr>
                  <w:tcW w:w="111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0.0125</w:t>
                  </w:r>
                </w:p>
              </w:tc>
              <w:tc>
                <w:tcPr>
                  <w:tcW w:w="135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0.0083</w:t>
                  </w:r>
                </w:p>
              </w:tc>
              <w:tc>
                <w:tcPr>
                  <w:tcW w:w="1119"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vMerge w:val="continue"/>
                  <w:tcBorders>
                    <w:tl2br w:val="nil"/>
                    <w:tr2bl w:val="nil"/>
                  </w:tcBorders>
                  <w:vAlign w:val="center"/>
                </w:tcPr>
                <w:p>
                  <w:pPr>
                    <w:jc w:val="center"/>
                    <w:rPr>
                      <w:color w:val="auto"/>
                      <w:kern w:val="0"/>
                      <w:sz w:val="18"/>
                      <w:szCs w:val="18"/>
                    </w:rPr>
                  </w:pPr>
                </w:p>
              </w:tc>
              <w:tc>
                <w:tcPr>
                  <w:tcW w:w="1230" w:type="dxa"/>
                  <w:tcBorders>
                    <w:tl2br w:val="nil"/>
                    <w:tr2bl w:val="nil"/>
                  </w:tcBorders>
                  <w:vAlign w:val="center"/>
                </w:tcPr>
                <w:p>
                  <w:pPr>
                    <w:widowControl/>
                    <w:jc w:val="center"/>
                    <w:rPr>
                      <w:color w:val="auto"/>
                      <w:sz w:val="18"/>
                      <w:szCs w:val="18"/>
                    </w:rPr>
                  </w:pPr>
                  <w:r>
                    <w:rPr>
                      <w:rFonts w:hint="eastAsia"/>
                      <w:color w:val="auto"/>
                      <w:sz w:val="18"/>
                      <w:szCs w:val="18"/>
                    </w:rPr>
                    <w:t>CS</w:t>
                  </w:r>
                  <w:r>
                    <w:rPr>
                      <w:rFonts w:hint="eastAsia"/>
                      <w:color w:val="auto"/>
                      <w:sz w:val="18"/>
                      <w:szCs w:val="18"/>
                      <w:vertAlign w:val="subscript"/>
                    </w:rPr>
                    <w:t>2</w:t>
                  </w:r>
                </w:p>
              </w:tc>
              <w:tc>
                <w:tcPr>
                  <w:tcW w:w="1065" w:type="dxa"/>
                  <w:tcBorders>
                    <w:tl2br w:val="nil"/>
                    <w:tr2bl w:val="nil"/>
                  </w:tcBorders>
                  <w:vAlign w:val="center"/>
                </w:tcPr>
                <w:p>
                  <w:pPr>
                    <w:autoSpaceDE w:val="0"/>
                    <w:autoSpaceDN w:val="0"/>
                    <w:jc w:val="center"/>
                    <w:rPr>
                      <w:color w:val="auto"/>
                      <w:kern w:val="0"/>
                      <w:sz w:val="18"/>
                      <w:szCs w:val="18"/>
                    </w:rPr>
                  </w:pPr>
                  <w:r>
                    <w:rPr>
                      <w:rFonts w:hint="eastAsia"/>
                      <w:color w:val="auto"/>
                      <w:sz w:val="18"/>
                      <w:szCs w:val="18"/>
                    </w:rPr>
                    <w:t>/</w:t>
                  </w: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sz w:val="18"/>
                      <w:szCs w:val="18"/>
                    </w:rPr>
                    <w:t>/</w:t>
                  </w:r>
                </w:p>
              </w:tc>
              <w:tc>
                <w:tcPr>
                  <w:tcW w:w="138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0.00027</w:t>
                  </w:r>
                </w:p>
              </w:tc>
              <w:tc>
                <w:tcPr>
                  <w:tcW w:w="111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0.00004</w:t>
                  </w:r>
                </w:p>
              </w:tc>
              <w:tc>
                <w:tcPr>
                  <w:tcW w:w="135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0.00003</w:t>
                  </w:r>
                </w:p>
              </w:tc>
              <w:tc>
                <w:tcPr>
                  <w:tcW w:w="1119"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51" w:type="dxa"/>
                  <w:vMerge w:val="continue"/>
                  <w:tcBorders>
                    <w:tl2br w:val="nil"/>
                    <w:tr2bl w:val="nil"/>
                  </w:tcBorders>
                  <w:vAlign w:val="center"/>
                </w:tcPr>
                <w:p>
                  <w:pPr>
                    <w:jc w:val="center"/>
                    <w:rPr>
                      <w:color w:val="auto"/>
                      <w:kern w:val="0"/>
                      <w:sz w:val="18"/>
                      <w:szCs w:val="18"/>
                    </w:rPr>
                  </w:pPr>
                </w:p>
              </w:tc>
              <w:tc>
                <w:tcPr>
                  <w:tcW w:w="1230" w:type="dxa"/>
                  <w:tcBorders>
                    <w:tl2br w:val="nil"/>
                    <w:tr2bl w:val="nil"/>
                  </w:tcBorders>
                  <w:vAlign w:val="center"/>
                </w:tcPr>
                <w:p>
                  <w:pPr>
                    <w:jc w:val="center"/>
                    <w:rPr>
                      <w:color w:val="auto"/>
                      <w:sz w:val="18"/>
                      <w:szCs w:val="18"/>
                    </w:rPr>
                  </w:pPr>
                  <w:r>
                    <w:rPr>
                      <w:rFonts w:hint="eastAsia"/>
                      <w:color w:val="auto"/>
                      <w:sz w:val="18"/>
                      <w:szCs w:val="18"/>
                    </w:rPr>
                    <w:t>硫化氢</w:t>
                  </w:r>
                </w:p>
              </w:tc>
              <w:tc>
                <w:tcPr>
                  <w:tcW w:w="1065" w:type="dxa"/>
                  <w:tcBorders>
                    <w:tl2br w:val="nil"/>
                    <w:tr2bl w:val="nil"/>
                  </w:tcBorders>
                  <w:vAlign w:val="center"/>
                </w:tcPr>
                <w:p>
                  <w:pPr>
                    <w:autoSpaceDE w:val="0"/>
                    <w:autoSpaceDN w:val="0"/>
                    <w:jc w:val="center"/>
                    <w:rPr>
                      <w:color w:val="auto"/>
                      <w:kern w:val="0"/>
                      <w:sz w:val="18"/>
                      <w:szCs w:val="18"/>
                    </w:rPr>
                  </w:pPr>
                  <w:r>
                    <w:rPr>
                      <w:rFonts w:hint="eastAsia"/>
                      <w:color w:val="auto"/>
                      <w:sz w:val="18"/>
                      <w:szCs w:val="18"/>
                    </w:rPr>
                    <w:t>/</w:t>
                  </w:r>
                </w:p>
              </w:tc>
              <w:tc>
                <w:tcPr>
                  <w:tcW w:w="1035" w:type="dxa"/>
                  <w:tcBorders>
                    <w:tl2br w:val="nil"/>
                    <w:tr2bl w:val="nil"/>
                  </w:tcBorders>
                  <w:vAlign w:val="center"/>
                </w:tcPr>
                <w:p>
                  <w:pPr>
                    <w:autoSpaceDE w:val="0"/>
                    <w:autoSpaceDN w:val="0"/>
                    <w:jc w:val="center"/>
                    <w:rPr>
                      <w:color w:val="auto"/>
                      <w:kern w:val="0"/>
                      <w:sz w:val="18"/>
                      <w:szCs w:val="18"/>
                    </w:rPr>
                  </w:pPr>
                  <w:r>
                    <w:rPr>
                      <w:rFonts w:hint="eastAsia"/>
                      <w:color w:val="auto"/>
                      <w:sz w:val="18"/>
                      <w:szCs w:val="18"/>
                    </w:rPr>
                    <w:t>/</w:t>
                  </w:r>
                </w:p>
              </w:tc>
              <w:tc>
                <w:tcPr>
                  <w:tcW w:w="138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0.0027</w:t>
                  </w:r>
                </w:p>
              </w:tc>
              <w:tc>
                <w:tcPr>
                  <w:tcW w:w="111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0.0004</w:t>
                  </w:r>
                </w:p>
              </w:tc>
              <w:tc>
                <w:tcPr>
                  <w:tcW w:w="1350"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0.0003</w:t>
                  </w:r>
                </w:p>
              </w:tc>
              <w:tc>
                <w:tcPr>
                  <w:tcW w:w="1119" w:type="dxa"/>
                  <w:tcBorders>
                    <w:tl2br w:val="nil"/>
                    <w:tr2bl w:val="nil"/>
                  </w:tcBorders>
                  <w:vAlign w:val="center"/>
                </w:tcPr>
                <w:p>
                  <w:pPr>
                    <w:autoSpaceDE w:val="0"/>
                    <w:autoSpaceDN w:val="0"/>
                    <w:jc w:val="center"/>
                    <w:rPr>
                      <w:color w:val="auto"/>
                      <w:kern w:val="0"/>
                      <w:sz w:val="18"/>
                      <w:szCs w:val="18"/>
                    </w:rPr>
                  </w:pPr>
                  <w:r>
                    <w:rPr>
                      <w:rFonts w:hint="eastAsia"/>
                      <w:color w:val="auto"/>
                      <w:kern w:val="0"/>
                      <w:sz w:val="18"/>
                      <w:szCs w:val="18"/>
                    </w:rPr>
                    <w:t>0.00004</w:t>
                  </w:r>
                </w:p>
              </w:tc>
            </w:tr>
          </w:tbl>
          <w:p>
            <w:pPr>
              <w:spacing w:line="360" w:lineRule="auto"/>
              <w:rPr>
                <w:b/>
                <w:bCs/>
                <w:color w:val="auto"/>
                <w:kern w:val="0"/>
                <w:sz w:val="18"/>
                <w:szCs w:val="18"/>
              </w:rPr>
            </w:pPr>
            <w:r>
              <w:rPr>
                <w:b/>
                <w:bCs/>
                <w:color w:val="auto"/>
                <w:kern w:val="0"/>
                <w:sz w:val="18"/>
                <w:szCs w:val="18"/>
              </w:rPr>
              <w:t>注：*按照各工序同时进行情况下核算最大排放速率；</w:t>
            </w:r>
          </w:p>
          <w:p>
            <w:pPr>
              <w:autoSpaceDE w:val="0"/>
              <w:autoSpaceDN w:val="0"/>
              <w:spacing w:line="360" w:lineRule="auto"/>
              <w:rPr>
                <w:color w:val="auto"/>
                <w:kern w:val="0"/>
                <w:szCs w:val="21"/>
              </w:rPr>
            </w:pPr>
          </w:p>
          <w:p>
            <w:pPr>
              <w:autoSpaceDE w:val="0"/>
              <w:autoSpaceDN w:val="0"/>
              <w:spacing w:line="360" w:lineRule="auto"/>
              <w:ind w:firstLine="420" w:firstLineChars="200"/>
              <w:rPr>
                <w:color w:val="auto"/>
                <w:kern w:val="0"/>
                <w:szCs w:val="21"/>
              </w:rPr>
            </w:pPr>
            <w:r>
              <w:rPr>
                <w:color w:val="auto"/>
                <w:kern w:val="0"/>
                <w:szCs w:val="21"/>
              </w:rPr>
              <w:t>废气收集、处理及排放方式情况见表4-</w:t>
            </w:r>
            <w:r>
              <w:rPr>
                <w:rFonts w:hint="eastAsia"/>
                <w:color w:val="auto"/>
                <w:kern w:val="0"/>
                <w:szCs w:val="21"/>
              </w:rPr>
              <w:t>3</w:t>
            </w:r>
            <w:r>
              <w:rPr>
                <w:color w:val="auto"/>
                <w:kern w:val="0"/>
                <w:szCs w:val="21"/>
              </w:rPr>
              <w:t>。</w:t>
            </w:r>
          </w:p>
        </w:tc>
      </w:tr>
    </w:tbl>
    <w:p>
      <w:pPr>
        <w:adjustRightInd w:val="0"/>
        <w:snapToGrid w:val="0"/>
        <w:spacing w:line="360" w:lineRule="auto"/>
        <w:rPr>
          <w:b/>
          <w:color w:val="auto"/>
          <w:kern w:val="0"/>
          <w:sz w:val="28"/>
          <w:szCs w:val="28"/>
        </w:rPr>
        <w:sectPr>
          <w:pgSz w:w="11907" w:h="16840"/>
          <w:pgMar w:top="1440" w:right="1080" w:bottom="1440" w:left="1080" w:header="851" w:footer="851" w:gutter="0"/>
          <w:cols w:space="720" w:num="1"/>
          <w:docGrid w:linePitch="312" w:charSpace="0"/>
        </w:sectPr>
      </w:pPr>
    </w:p>
    <w:tbl>
      <w:tblPr>
        <w:tblStyle w:val="37"/>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391"/>
        <w:gridCol w:w="1442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786" w:hRule="atLeast"/>
          <w:jc w:val="center"/>
        </w:trPr>
        <w:tc>
          <w:tcPr>
            <w:tcW w:w="352" w:type="dxa"/>
            <w:tcBorders>
              <w:top w:val="single" w:color="auto" w:sz="4" w:space="0"/>
              <w:left w:val="single" w:color="auto" w:sz="4" w:space="0"/>
              <w:bottom w:val="single" w:color="auto" w:sz="4" w:space="0"/>
            </w:tcBorders>
            <w:tcMar>
              <w:left w:w="28" w:type="dxa"/>
              <w:right w:w="28" w:type="dxa"/>
            </w:tcMar>
            <w:vAlign w:val="center"/>
          </w:tcPr>
          <w:p>
            <w:pPr>
              <w:adjustRightInd w:val="0"/>
              <w:snapToGrid w:val="0"/>
              <w:jc w:val="center"/>
              <w:rPr>
                <w:bCs/>
                <w:color w:val="auto"/>
                <w:szCs w:val="21"/>
              </w:rPr>
            </w:pPr>
            <w:r>
              <w:rPr>
                <w:bCs/>
                <w:color w:val="auto"/>
                <w:szCs w:val="21"/>
              </w:rPr>
              <w:t>运营</w:t>
            </w:r>
          </w:p>
          <w:p>
            <w:pPr>
              <w:adjustRightInd w:val="0"/>
              <w:snapToGrid w:val="0"/>
              <w:jc w:val="center"/>
              <w:rPr>
                <w:bCs/>
                <w:color w:val="auto"/>
                <w:szCs w:val="21"/>
              </w:rPr>
            </w:pPr>
            <w:r>
              <w:rPr>
                <w:bCs/>
                <w:color w:val="auto"/>
                <w:szCs w:val="21"/>
              </w:rPr>
              <w:t>期环</w:t>
            </w:r>
          </w:p>
          <w:p>
            <w:pPr>
              <w:adjustRightInd w:val="0"/>
              <w:snapToGrid w:val="0"/>
              <w:jc w:val="center"/>
              <w:rPr>
                <w:bCs/>
                <w:color w:val="auto"/>
                <w:szCs w:val="21"/>
              </w:rPr>
            </w:pPr>
            <w:r>
              <w:rPr>
                <w:bCs/>
                <w:color w:val="auto"/>
                <w:szCs w:val="21"/>
              </w:rPr>
              <w:t>境影</w:t>
            </w:r>
          </w:p>
          <w:p>
            <w:pPr>
              <w:adjustRightInd w:val="0"/>
              <w:snapToGrid w:val="0"/>
              <w:jc w:val="center"/>
              <w:rPr>
                <w:bCs/>
                <w:color w:val="auto"/>
                <w:szCs w:val="21"/>
              </w:rPr>
            </w:pPr>
            <w:r>
              <w:rPr>
                <w:bCs/>
                <w:color w:val="auto"/>
                <w:szCs w:val="21"/>
              </w:rPr>
              <w:t>响和</w:t>
            </w:r>
          </w:p>
          <w:p>
            <w:pPr>
              <w:adjustRightInd w:val="0"/>
              <w:snapToGrid w:val="0"/>
              <w:jc w:val="center"/>
              <w:rPr>
                <w:bCs/>
                <w:color w:val="auto"/>
                <w:szCs w:val="21"/>
              </w:rPr>
            </w:pPr>
            <w:r>
              <w:rPr>
                <w:bCs/>
                <w:color w:val="auto"/>
                <w:szCs w:val="21"/>
              </w:rPr>
              <w:t>保护</w:t>
            </w:r>
          </w:p>
          <w:p>
            <w:pPr>
              <w:adjustRightInd w:val="0"/>
              <w:snapToGrid w:val="0"/>
              <w:jc w:val="center"/>
              <w:rPr>
                <w:bCs/>
                <w:color w:val="auto"/>
                <w:szCs w:val="21"/>
              </w:rPr>
            </w:pPr>
            <w:r>
              <w:rPr>
                <w:bCs/>
                <w:color w:val="auto"/>
                <w:szCs w:val="21"/>
              </w:rPr>
              <w:t>措施</w:t>
            </w:r>
          </w:p>
        </w:tc>
        <w:tc>
          <w:tcPr>
            <w:tcW w:w="13005" w:type="dxa"/>
            <w:tcBorders>
              <w:top w:val="single" w:color="auto" w:sz="4" w:space="0"/>
              <w:bottom w:val="single" w:color="auto" w:sz="4" w:space="0"/>
              <w:right w:val="single" w:color="auto" w:sz="4" w:space="0"/>
            </w:tcBorders>
          </w:tcPr>
          <w:p>
            <w:pPr>
              <w:jc w:val="center"/>
              <w:rPr>
                <w:b/>
                <w:bCs/>
                <w:color w:val="auto"/>
                <w:kern w:val="0"/>
                <w:szCs w:val="21"/>
              </w:rPr>
            </w:pPr>
            <w:r>
              <w:rPr>
                <w:b/>
                <w:bCs/>
                <w:color w:val="auto"/>
                <w:kern w:val="0"/>
                <w:szCs w:val="21"/>
              </w:rPr>
              <w:t>表4-</w:t>
            </w:r>
            <w:r>
              <w:rPr>
                <w:rFonts w:hint="eastAsia"/>
                <w:b/>
                <w:bCs/>
                <w:color w:val="auto"/>
                <w:kern w:val="0"/>
                <w:szCs w:val="21"/>
              </w:rPr>
              <w:t>3</w:t>
            </w:r>
            <w:r>
              <w:rPr>
                <w:b/>
                <w:bCs/>
                <w:color w:val="auto"/>
                <w:kern w:val="0"/>
                <w:szCs w:val="21"/>
              </w:rPr>
              <w:t xml:space="preserve">  废气源强核算、收集、处理、排放方式情况一览表</w:t>
            </w:r>
          </w:p>
          <w:tbl>
            <w:tblPr>
              <w:tblStyle w:val="37"/>
              <w:tblW w:w="4996"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94"/>
              <w:gridCol w:w="935"/>
              <w:gridCol w:w="998"/>
              <w:gridCol w:w="949"/>
              <w:gridCol w:w="3041"/>
              <w:gridCol w:w="929"/>
              <w:gridCol w:w="818"/>
              <w:gridCol w:w="855"/>
              <w:gridCol w:w="977"/>
              <w:gridCol w:w="1033"/>
              <w:gridCol w:w="911"/>
              <w:gridCol w:w="848"/>
              <w:gridCol w:w="80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5" w:type="pct"/>
                  <w:vMerge w:val="restart"/>
                  <w:vAlign w:val="center"/>
                </w:tcPr>
                <w:p>
                  <w:pPr>
                    <w:jc w:val="center"/>
                    <w:rPr>
                      <w:b/>
                      <w:bCs/>
                      <w:color w:val="auto"/>
                      <w:sz w:val="18"/>
                      <w:szCs w:val="18"/>
                    </w:rPr>
                  </w:pPr>
                  <w:r>
                    <w:rPr>
                      <w:b/>
                      <w:bCs/>
                      <w:color w:val="auto"/>
                      <w:sz w:val="18"/>
                      <w:szCs w:val="18"/>
                    </w:rPr>
                    <w:t>污染源</w:t>
                  </w:r>
                </w:p>
              </w:tc>
              <w:tc>
                <w:tcPr>
                  <w:tcW w:w="329" w:type="pct"/>
                  <w:vMerge w:val="restart"/>
                  <w:vAlign w:val="center"/>
                </w:tcPr>
                <w:p>
                  <w:pPr>
                    <w:jc w:val="center"/>
                    <w:rPr>
                      <w:b/>
                      <w:bCs/>
                      <w:color w:val="auto"/>
                      <w:sz w:val="18"/>
                      <w:szCs w:val="18"/>
                    </w:rPr>
                  </w:pPr>
                  <w:r>
                    <w:rPr>
                      <w:b/>
                      <w:bCs/>
                      <w:color w:val="auto"/>
                      <w:sz w:val="18"/>
                      <w:szCs w:val="18"/>
                    </w:rPr>
                    <w:t>污染源</w:t>
                  </w:r>
                </w:p>
                <w:p>
                  <w:pPr>
                    <w:jc w:val="center"/>
                    <w:rPr>
                      <w:b/>
                      <w:bCs/>
                      <w:color w:val="auto"/>
                      <w:sz w:val="18"/>
                      <w:szCs w:val="18"/>
                    </w:rPr>
                  </w:pPr>
                  <w:r>
                    <w:rPr>
                      <w:b/>
                      <w:bCs/>
                      <w:color w:val="auto"/>
                      <w:sz w:val="18"/>
                      <w:szCs w:val="18"/>
                    </w:rPr>
                    <w:t>编号</w:t>
                  </w:r>
                </w:p>
              </w:tc>
              <w:tc>
                <w:tcPr>
                  <w:tcW w:w="351" w:type="pct"/>
                  <w:vMerge w:val="restart"/>
                  <w:vAlign w:val="center"/>
                </w:tcPr>
                <w:p>
                  <w:pPr>
                    <w:widowControl/>
                    <w:jc w:val="center"/>
                    <w:rPr>
                      <w:b/>
                      <w:bCs/>
                      <w:color w:val="auto"/>
                      <w:kern w:val="0"/>
                      <w:sz w:val="18"/>
                      <w:szCs w:val="18"/>
                    </w:rPr>
                  </w:pPr>
                  <w:r>
                    <w:rPr>
                      <w:b/>
                      <w:bCs/>
                      <w:color w:val="auto"/>
                      <w:kern w:val="0"/>
                      <w:sz w:val="18"/>
                      <w:szCs w:val="18"/>
                    </w:rPr>
                    <w:t>污染物</w:t>
                  </w:r>
                </w:p>
                <w:p>
                  <w:pPr>
                    <w:widowControl/>
                    <w:jc w:val="center"/>
                    <w:rPr>
                      <w:b/>
                      <w:bCs/>
                      <w:color w:val="auto"/>
                      <w:kern w:val="0"/>
                      <w:sz w:val="18"/>
                      <w:szCs w:val="18"/>
                    </w:rPr>
                  </w:pPr>
                  <w:r>
                    <w:rPr>
                      <w:b/>
                      <w:bCs/>
                      <w:color w:val="auto"/>
                      <w:kern w:val="0"/>
                      <w:sz w:val="18"/>
                      <w:szCs w:val="18"/>
                    </w:rPr>
                    <w:t>种类</w:t>
                  </w:r>
                </w:p>
              </w:tc>
              <w:tc>
                <w:tcPr>
                  <w:tcW w:w="334" w:type="pct"/>
                  <w:vMerge w:val="restart"/>
                  <w:vAlign w:val="center"/>
                </w:tcPr>
                <w:p>
                  <w:pPr>
                    <w:widowControl/>
                    <w:jc w:val="center"/>
                    <w:rPr>
                      <w:b/>
                      <w:bCs/>
                      <w:color w:val="auto"/>
                      <w:kern w:val="0"/>
                      <w:sz w:val="18"/>
                      <w:szCs w:val="18"/>
                    </w:rPr>
                  </w:pPr>
                  <w:r>
                    <w:rPr>
                      <w:b/>
                      <w:bCs/>
                      <w:color w:val="auto"/>
                      <w:kern w:val="0"/>
                      <w:sz w:val="18"/>
                      <w:szCs w:val="18"/>
                    </w:rPr>
                    <w:t>污染源强核算（t/a）</w:t>
                  </w:r>
                </w:p>
              </w:tc>
              <w:tc>
                <w:tcPr>
                  <w:tcW w:w="1070" w:type="pct"/>
                  <w:vMerge w:val="restart"/>
                  <w:vAlign w:val="center"/>
                </w:tcPr>
                <w:p>
                  <w:pPr>
                    <w:widowControl/>
                    <w:jc w:val="center"/>
                    <w:rPr>
                      <w:b/>
                      <w:bCs/>
                      <w:color w:val="auto"/>
                      <w:kern w:val="0"/>
                      <w:sz w:val="18"/>
                      <w:szCs w:val="18"/>
                    </w:rPr>
                  </w:pPr>
                  <w:r>
                    <w:rPr>
                      <w:b/>
                      <w:bCs/>
                      <w:color w:val="auto"/>
                      <w:kern w:val="0"/>
                      <w:sz w:val="18"/>
                      <w:szCs w:val="18"/>
                    </w:rPr>
                    <w:t>源强核算依据</w:t>
                  </w:r>
                </w:p>
              </w:tc>
              <w:tc>
                <w:tcPr>
                  <w:tcW w:w="327" w:type="pct"/>
                  <w:vMerge w:val="restart"/>
                  <w:vAlign w:val="center"/>
                </w:tcPr>
                <w:p>
                  <w:pPr>
                    <w:widowControl/>
                    <w:jc w:val="center"/>
                    <w:rPr>
                      <w:b/>
                      <w:bCs/>
                      <w:color w:val="auto"/>
                      <w:kern w:val="0"/>
                      <w:sz w:val="18"/>
                      <w:szCs w:val="18"/>
                    </w:rPr>
                  </w:pPr>
                  <w:r>
                    <w:rPr>
                      <w:b/>
                      <w:bCs/>
                      <w:color w:val="auto"/>
                      <w:kern w:val="0"/>
                      <w:sz w:val="18"/>
                      <w:szCs w:val="18"/>
                    </w:rPr>
                    <w:t>废气收集方式</w:t>
                  </w:r>
                </w:p>
              </w:tc>
              <w:tc>
                <w:tcPr>
                  <w:tcW w:w="288" w:type="pct"/>
                  <w:vMerge w:val="restart"/>
                  <w:vAlign w:val="center"/>
                </w:tcPr>
                <w:p>
                  <w:pPr>
                    <w:jc w:val="center"/>
                    <w:rPr>
                      <w:b/>
                      <w:bCs/>
                      <w:color w:val="auto"/>
                      <w:sz w:val="18"/>
                      <w:szCs w:val="18"/>
                    </w:rPr>
                  </w:pPr>
                  <w:r>
                    <w:rPr>
                      <w:b/>
                      <w:bCs/>
                      <w:color w:val="auto"/>
                      <w:sz w:val="18"/>
                      <w:szCs w:val="18"/>
                    </w:rPr>
                    <w:t>收集</w:t>
                  </w:r>
                </w:p>
                <w:p>
                  <w:pPr>
                    <w:jc w:val="center"/>
                    <w:rPr>
                      <w:b/>
                      <w:bCs/>
                      <w:color w:val="auto"/>
                      <w:sz w:val="18"/>
                      <w:szCs w:val="18"/>
                    </w:rPr>
                  </w:pPr>
                  <w:r>
                    <w:rPr>
                      <w:b/>
                      <w:bCs/>
                      <w:color w:val="auto"/>
                      <w:sz w:val="18"/>
                      <w:szCs w:val="18"/>
                    </w:rPr>
                    <w:t>效率（%）</w:t>
                  </w:r>
                </w:p>
              </w:tc>
              <w:tc>
                <w:tcPr>
                  <w:tcW w:w="1009" w:type="pct"/>
                  <w:gridSpan w:val="3"/>
                  <w:vAlign w:val="center"/>
                </w:tcPr>
                <w:p>
                  <w:pPr>
                    <w:jc w:val="center"/>
                    <w:rPr>
                      <w:b/>
                      <w:bCs/>
                      <w:color w:val="auto"/>
                      <w:sz w:val="18"/>
                      <w:szCs w:val="18"/>
                    </w:rPr>
                  </w:pPr>
                  <w:r>
                    <w:rPr>
                      <w:b/>
                      <w:bCs/>
                      <w:color w:val="auto"/>
                      <w:sz w:val="18"/>
                      <w:szCs w:val="18"/>
                    </w:rPr>
                    <w:t>治理措施</w:t>
                  </w:r>
                </w:p>
              </w:tc>
              <w:tc>
                <w:tcPr>
                  <w:tcW w:w="321" w:type="pct"/>
                  <w:vMerge w:val="restart"/>
                  <w:vAlign w:val="center"/>
                </w:tcPr>
                <w:p>
                  <w:pPr>
                    <w:jc w:val="center"/>
                    <w:rPr>
                      <w:b/>
                      <w:bCs/>
                      <w:color w:val="auto"/>
                      <w:sz w:val="18"/>
                      <w:szCs w:val="18"/>
                    </w:rPr>
                  </w:pPr>
                  <w:r>
                    <w:rPr>
                      <w:b/>
                      <w:bCs/>
                      <w:color w:val="auto"/>
                      <w:sz w:val="18"/>
                      <w:szCs w:val="18"/>
                    </w:rPr>
                    <w:t>风量</w:t>
                  </w:r>
                </w:p>
                <w:p>
                  <w:pPr>
                    <w:jc w:val="center"/>
                    <w:rPr>
                      <w:b/>
                      <w:bCs/>
                      <w:color w:val="auto"/>
                      <w:sz w:val="18"/>
                      <w:szCs w:val="18"/>
                    </w:rPr>
                  </w:pPr>
                  <w:r>
                    <w:rPr>
                      <w:b/>
                      <w:bCs/>
                      <w:color w:val="auto"/>
                      <w:sz w:val="18"/>
                      <w:szCs w:val="18"/>
                    </w:rPr>
                    <w:t>m</w:t>
                  </w:r>
                  <w:r>
                    <w:rPr>
                      <w:b/>
                      <w:bCs/>
                      <w:color w:val="auto"/>
                      <w:sz w:val="18"/>
                      <w:szCs w:val="18"/>
                      <w:vertAlign w:val="superscript"/>
                    </w:rPr>
                    <w:t>3</w:t>
                  </w:r>
                  <w:r>
                    <w:rPr>
                      <w:b/>
                      <w:bCs/>
                      <w:color w:val="auto"/>
                      <w:sz w:val="18"/>
                      <w:szCs w:val="18"/>
                    </w:rPr>
                    <w:t>/h</w:t>
                  </w:r>
                </w:p>
              </w:tc>
              <w:tc>
                <w:tcPr>
                  <w:tcW w:w="583" w:type="pct"/>
                  <w:gridSpan w:val="2"/>
                  <w:vAlign w:val="center"/>
                </w:tcPr>
                <w:p>
                  <w:pPr>
                    <w:jc w:val="center"/>
                    <w:rPr>
                      <w:b/>
                      <w:bCs/>
                      <w:color w:val="auto"/>
                      <w:sz w:val="18"/>
                      <w:szCs w:val="18"/>
                    </w:rPr>
                  </w:pPr>
                  <w:r>
                    <w:rPr>
                      <w:b/>
                      <w:bCs/>
                      <w:color w:val="auto"/>
                      <w:sz w:val="18"/>
                      <w:szCs w:val="18"/>
                    </w:rPr>
                    <w:t>排放形式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5" w:type="pct"/>
                  <w:vMerge w:val="continue"/>
                  <w:vAlign w:val="center"/>
                </w:tcPr>
                <w:p>
                  <w:pPr>
                    <w:jc w:val="center"/>
                    <w:rPr>
                      <w:b/>
                      <w:bCs/>
                      <w:color w:val="auto"/>
                      <w:sz w:val="18"/>
                      <w:szCs w:val="18"/>
                    </w:rPr>
                  </w:pPr>
                </w:p>
              </w:tc>
              <w:tc>
                <w:tcPr>
                  <w:tcW w:w="329" w:type="pct"/>
                  <w:vMerge w:val="continue"/>
                  <w:vAlign w:val="center"/>
                </w:tcPr>
                <w:p>
                  <w:pPr>
                    <w:jc w:val="center"/>
                    <w:rPr>
                      <w:b/>
                      <w:bCs/>
                      <w:color w:val="auto"/>
                      <w:sz w:val="18"/>
                      <w:szCs w:val="18"/>
                    </w:rPr>
                  </w:pPr>
                </w:p>
              </w:tc>
              <w:tc>
                <w:tcPr>
                  <w:tcW w:w="351" w:type="pct"/>
                  <w:vMerge w:val="continue"/>
                  <w:vAlign w:val="center"/>
                </w:tcPr>
                <w:p>
                  <w:pPr>
                    <w:widowControl/>
                    <w:jc w:val="center"/>
                    <w:rPr>
                      <w:b/>
                      <w:bCs/>
                      <w:color w:val="auto"/>
                      <w:kern w:val="0"/>
                      <w:sz w:val="18"/>
                      <w:szCs w:val="18"/>
                    </w:rPr>
                  </w:pPr>
                </w:p>
              </w:tc>
              <w:tc>
                <w:tcPr>
                  <w:tcW w:w="334" w:type="pct"/>
                  <w:vMerge w:val="continue"/>
                  <w:vAlign w:val="center"/>
                </w:tcPr>
                <w:p>
                  <w:pPr>
                    <w:widowControl/>
                    <w:jc w:val="center"/>
                    <w:rPr>
                      <w:b/>
                      <w:bCs/>
                      <w:color w:val="auto"/>
                      <w:kern w:val="0"/>
                      <w:sz w:val="18"/>
                      <w:szCs w:val="18"/>
                    </w:rPr>
                  </w:pPr>
                </w:p>
              </w:tc>
              <w:tc>
                <w:tcPr>
                  <w:tcW w:w="1070" w:type="pct"/>
                  <w:vMerge w:val="continue"/>
                  <w:vAlign w:val="center"/>
                </w:tcPr>
                <w:p>
                  <w:pPr>
                    <w:widowControl/>
                    <w:jc w:val="center"/>
                    <w:rPr>
                      <w:b/>
                      <w:bCs/>
                      <w:color w:val="auto"/>
                      <w:kern w:val="0"/>
                      <w:sz w:val="18"/>
                      <w:szCs w:val="18"/>
                    </w:rPr>
                  </w:pPr>
                </w:p>
              </w:tc>
              <w:tc>
                <w:tcPr>
                  <w:tcW w:w="327" w:type="pct"/>
                  <w:vMerge w:val="continue"/>
                  <w:vAlign w:val="center"/>
                </w:tcPr>
                <w:p>
                  <w:pPr>
                    <w:widowControl/>
                    <w:jc w:val="center"/>
                    <w:rPr>
                      <w:b/>
                      <w:bCs/>
                      <w:color w:val="auto"/>
                      <w:kern w:val="0"/>
                      <w:sz w:val="18"/>
                      <w:szCs w:val="18"/>
                    </w:rPr>
                  </w:pPr>
                </w:p>
              </w:tc>
              <w:tc>
                <w:tcPr>
                  <w:tcW w:w="288" w:type="pct"/>
                  <w:vMerge w:val="continue"/>
                  <w:vAlign w:val="center"/>
                </w:tcPr>
                <w:p>
                  <w:pPr>
                    <w:jc w:val="center"/>
                    <w:rPr>
                      <w:b/>
                      <w:bCs/>
                      <w:color w:val="auto"/>
                      <w:sz w:val="18"/>
                      <w:szCs w:val="18"/>
                    </w:rPr>
                  </w:pPr>
                </w:p>
              </w:tc>
              <w:tc>
                <w:tcPr>
                  <w:tcW w:w="301" w:type="pct"/>
                  <w:vAlign w:val="center"/>
                </w:tcPr>
                <w:p>
                  <w:pPr>
                    <w:jc w:val="center"/>
                    <w:rPr>
                      <w:b/>
                      <w:bCs/>
                      <w:color w:val="auto"/>
                      <w:sz w:val="18"/>
                      <w:szCs w:val="18"/>
                    </w:rPr>
                  </w:pPr>
                  <w:r>
                    <w:rPr>
                      <w:b/>
                      <w:bCs/>
                      <w:color w:val="auto"/>
                      <w:sz w:val="18"/>
                      <w:szCs w:val="18"/>
                    </w:rPr>
                    <w:t>治理工艺</w:t>
                  </w:r>
                </w:p>
              </w:tc>
              <w:tc>
                <w:tcPr>
                  <w:tcW w:w="344" w:type="pct"/>
                  <w:vAlign w:val="center"/>
                </w:tcPr>
                <w:p>
                  <w:pPr>
                    <w:jc w:val="center"/>
                    <w:rPr>
                      <w:b/>
                      <w:bCs/>
                      <w:color w:val="auto"/>
                      <w:sz w:val="18"/>
                      <w:szCs w:val="18"/>
                    </w:rPr>
                  </w:pPr>
                  <w:r>
                    <w:rPr>
                      <w:b/>
                      <w:bCs/>
                      <w:color w:val="auto"/>
                      <w:sz w:val="18"/>
                      <w:szCs w:val="18"/>
                    </w:rPr>
                    <w:t>去除效率（%）</w:t>
                  </w:r>
                </w:p>
              </w:tc>
              <w:tc>
                <w:tcPr>
                  <w:tcW w:w="364" w:type="pct"/>
                  <w:vAlign w:val="center"/>
                </w:tcPr>
                <w:p>
                  <w:pPr>
                    <w:jc w:val="center"/>
                    <w:rPr>
                      <w:b/>
                      <w:bCs/>
                      <w:color w:val="auto"/>
                      <w:sz w:val="18"/>
                      <w:szCs w:val="18"/>
                    </w:rPr>
                  </w:pPr>
                  <w:r>
                    <w:rPr>
                      <w:b/>
                      <w:bCs/>
                      <w:color w:val="auto"/>
                      <w:sz w:val="18"/>
                      <w:szCs w:val="18"/>
                    </w:rPr>
                    <w:t>是否为可行技术</w:t>
                  </w:r>
                </w:p>
              </w:tc>
              <w:tc>
                <w:tcPr>
                  <w:tcW w:w="321" w:type="pct"/>
                  <w:vMerge w:val="continue"/>
                  <w:vAlign w:val="center"/>
                </w:tcPr>
                <w:p>
                  <w:pPr>
                    <w:jc w:val="center"/>
                    <w:rPr>
                      <w:b/>
                      <w:bCs/>
                      <w:color w:val="auto"/>
                      <w:sz w:val="18"/>
                      <w:szCs w:val="18"/>
                    </w:rPr>
                  </w:pPr>
                </w:p>
              </w:tc>
              <w:tc>
                <w:tcPr>
                  <w:tcW w:w="299" w:type="pct"/>
                  <w:vAlign w:val="center"/>
                </w:tcPr>
                <w:p>
                  <w:pPr>
                    <w:jc w:val="center"/>
                    <w:rPr>
                      <w:b/>
                      <w:bCs/>
                      <w:color w:val="auto"/>
                      <w:sz w:val="18"/>
                      <w:szCs w:val="18"/>
                    </w:rPr>
                  </w:pPr>
                  <w:r>
                    <w:rPr>
                      <w:b/>
                      <w:bCs/>
                      <w:color w:val="auto"/>
                      <w:sz w:val="18"/>
                      <w:szCs w:val="18"/>
                    </w:rPr>
                    <w:t>有组织</w:t>
                  </w:r>
                </w:p>
              </w:tc>
              <w:tc>
                <w:tcPr>
                  <w:tcW w:w="284" w:type="pct"/>
                  <w:vAlign w:val="center"/>
                </w:tcPr>
                <w:p>
                  <w:pPr>
                    <w:jc w:val="center"/>
                    <w:rPr>
                      <w:b/>
                      <w:bCs/>
                      <w:color w:val="auto"/>
                      <w:sz w:val="18"/>
                      <w:szCs w:val="18"/>
                    </w:rPr>
                  </w:pPr>
                  <w:r>
                    <w:rPr>
                      <w:b/>
                      <w:bCs/>
                      <w:color w:val="auto"/>
                      <w:sz w:val="18"/>
                      <w:szCs w:val="18"/>
                    </w:rPr>
                    <w:t>无组织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5" w:type="pct"/>
                  <w:vAlign w:val="center"/>
                </w:tcPr>
                <w:p>
                  <w:pPr>
                    <w:adjustRightInd w:val="0"/>
                    <w:snapToGrid w:val="0"/>
                    <w:jc w:val="center"/>
                    <w:rPr>
                      <w:color w:val="auto"/>
                      <w:sz w:val="18"/>
                      <w:szCs w:val="18"/>
                    </w:rPr>
                  </w:pPr>
                  <w:r>
                    <w:rPr>
                      <w:rFonts w:hint="eastAsia"/>
                      <w:bCs/>
                      <w:color w:val="auto"/>
                      <w:sz w:val="18"/>
                      <w:szCs w:val="18"/>
                    </w:rPr>
                    <w:t>密炼废气</w:t>
                  </w:r>
                </w:p>
              </w:tc>
              <w:tc>
                <w:tcPr>
                  <w:tcW w:w="329" w:type="pct"/>
                  <w:vAlign w:val="center"/>
                </w:tcPr>
                <w:p>
                  <w:pPr>
                    <w:adjustRightInd w:val="0"/>
                    <w:snapToGrid w:val="0"/>
                    <w:jc w:val="center"/>
                    <w:rPr>
                      <w:color w:val="auto"/>
                      <w:sz w:val="18"/>
                      <w:szCs w:val="18"/>
                    </w:rPr>
                  </w:pPr>
                  <w:r>
                    <w:rPr>
                      <w:rFonts w:hint="eastAsia"/>
                      <w:bCs/>
                      <w:color w:val="auto"/>
                      <w:sz w:val="18"/>
                      <w:szCs w:val="18"/>
                    </w:rPr>
                    <w:t>G1-1</w:t>
                  </w:r>
                </w:p>
              </w:tc>
              <w:tc>
                <w:tcPr>
                  <w:tcW w:w="351" w:type="pct"/>
                  <w:vAlign w:val="center"/>
                </w:tcPr>
                <w:p>
                  <w:pPr>
                    <w:widowControl/>
                    <w:jc w:val="center"/>
                    <w:rPr>
                      <w:color w:val="auto"/>
                      <w:kern w:val="0"/>
                      <w:sz w:val="18"/>
                      <w:szCs w:val="18"/>
                    </w:rPr>
                  </w:pPr>
                  <w:r>
                    <w:rPr>
                      <w:rFonts w:hint="eastAsia"/>
                      <w:color w:val="auto"/>
                      <w:sz w:val="18"/>
                      <w:szCs w:val="18"/>
                    </w:rPr>
                    <w:t>非甲烷总烃</w:t>
                  </w:r>
                </w:p>
              </w:tc>
              <w:tc>
                <w:tcPr>
                  <w:tcW w:w="334" w:type="pct"/>
                  <w:vAlign w:val="center"/>
                </w:tcPr>
                <w:p>
                  <w:pPr>
                    <w:widowControl/>
                    <w:jc w:val="center"/>
                    <w:rPr>
                      <w:color w:val="auto"/>
                      <w:kern w:val="0"/>
                      <w:sz w:val="18"/>
                      <w:szCs w:val="18"/>
                    </w:rPr>
                  </w:pPr>
                  <w:r>
                    <w:rPr>
                      <w:rFonts w:hint="eastAsia"/>
                      <w:color w:val="auto"/>
                      <w:kern w:val="0"/>
                      <w:sz w:val="18"/>
                      <w:szCs w:val="18"/>
                    </w:rPr>
                    <w:t>0.003</w:t>
                  </w:r>
                </w:p>
              </w:tc>
              <w:tc>
                <w:tcPr>
                  <w:tcW w:w="1070" w:type="pct"/>
                  <w:vAlign w:val="center"/>
                </w:tcPr>
                <w:p>
                  <w:pPr>
                    <w:widowControl/>
                    <w:jc w:val="center"/>
                    <w:rPr>
                      <w:color w:val="auto"/>
                      <w:sz w:val="18"/>
                      <w:szCs w:val="18"/>
                    </w:rPr>
                  </w:pPr>
                  <w:r>
                    <w:rPr>
                      <w:rFonts w:hint="eastAsia"/>
                      <w:color w:val="auto"/>
                      <w:sz w:val="18"/>
                      <w:szCs w:val="18"/>
                    </w:rPr>
                    <w:t>《橡胶制品生产过程中有机废气的排放系数》（橡胶工业，2006 年第53 卷），密炼工序总目标有机物的产生量约 299mg/kg</w:t>
                  </w:r>
                </w:p>
              </w:tc>
              <w:tc>
                <w:tcPr>
                  <w:tcW w:w="327" w:type="pct"/>
                  <w:vAlign w:val="center"/>
                </w:tcPr>
                <w:p>
                  <w:pPr>
                    <w:widowControl/>
                    <w:jc w:val="center"/>
                    <w:rPr>
                      <w:color w:val="auto"/>
                      <w:kern w:val="0"/>
                      <w:sz w:val="18"/>
                      <w:szCs w:val="18"/>
                    </w:rPr>
                  </w:pPr>
                  <w:r>
                    <w:rPr>
                      <w:rFonts w:hint="eastAsia"/>
                      <w:color w:val="auto"/>
                      <w:kern w:val="0"/>
                      <w:sz w:val="18"/>
                      <w:szCs w:val="18"/>
                    </w:rPr>
                    <w:t>集气罩收集</w:t>
                  </w:r>
                </w:p>
              </w:tc>
              <w:tc>
                <w:tcPr>
                  <w:tcW w:w="288" w:type="pct"/>
                  <w:vAlign w:val="center"/>
                </w:tcPr>
                <w:p>
                  <w:pPr>
                    <w:widowControl/>
                    <w:jc w:val="center"/>
                    <w:rPr>
                      <w:color w:val="auto"/>
                      <w:kern w:val="0"/>
                      <w:sz w:val="18"/>
                      <w:szCs w:val="18"/>
                    </w:rPr>
                  </w:pPr>
                  <w:r>
                    <w:rPr>
                      <w:color w:val="auto"/>
                      <w:sz w:val="18"/>
                      <w:szCs w:val="18"/>
                    </w:rPr>
                    <w:t>9</w:t>
                  </w:r>
                  <w:r>
                    <w:rPr>
                      <w:rFonts w:hint="eastAsia"/>
                      <w:color w:val="auto"/>
                      <w:sz w:val="18"/>
                      <w:szCs w:val="18"/>
                    </w:rPr>
                    <w:t>0</w:t>
                  </w:r>
                </w:p>
              </w:tc>
              <w:tc>
                <w:tcPr>
                  <w:tcW w:w="301" w:type="pct"/>
                  <w:vMerge w:val="restart"/>
                  <w:vAlign w:val="center"/>
                </w:tcPr>
                <w:p>
                  <w:pPr>
                    <w:jc w:val="center"/>
                    <w:rPr>
                      <w:color w:val="auto"/>
                      <w:kern w:val="0"/>
                      <w:sz w:val="18"/>
                      <w:szCs w:val="18"/>
                    </w:rPr>
                  </w:pPr>
                  <w:r>
                    <w:rPr>
                      <w:rFonts w:hint="eastAsia"/>
                      <w:color w:val="auto"/>
                      <w:kern w:val="0"/>
                      <w:sz w:val="18"/>
                      <w:szCs w:val="18"/>
                    </w:rPr>
                    <w:t>布袋除尘+二级活性炭吸附装置</w:t>
                  </w:r>
                </w:p>
              </w:tc>
              <w:tc>
                <w:tcPr>
                  <w:tcW w:w="344" w:type="pct"/>
                  <w:vAlign w:val="center"/>
                </w:tcPr>
                <w:p>
                  <w:pPr>
                    <w:jc w:val="center"/>
                    <w:rPr>
                      <w:color w:val="auto"/>
                      <w:sz w:val="18"/>
                      <w:szCs w:val="18"/>
                    </w:rPr>
                  </w:pPr>
                  <w:r>
                    <w:rPr>
                      <w:rFonts w:hint="eastAsia"/>
                      <w:color w:val="auto"/>
                      <w:sz w:val="18"/>
                      <w:szCs w:val="18"/>
                    </w:rPr>
                    <w:t>9</w:t>
                  </w:r>
                  <w:r>
                    <w:rPr>
                      <w:color w:val="auto"/>
                      <w:sz w:val="18"/>
                      <w:szCs w:val="18"/>
                    </w:rPr>
                    <w:t>0</w:t>
                  </w:r>
                </w:p>
              </w:tc>
              <w:tc>
                <w:tcPr>
                  <w:tcW w:w="364" w:type="pct"/>
                  <w:vAlign w:val="center"/>
                </w:tcPr>
                <w:p>
                  <w:pPr>
                    <w:jc w:val="center"/>
                    <w:rPr>
                      <w:color w:val="auto"/>
                      <w:sz w:val="18"/>
                      <w:szCs w:val="18"/>
                    </w:rPr>
                  </w:pPr>
                  <w:r>
                    <w:rPr>
                      <w:rFonts w:hint="eastAsia"/>
                      <w:color w:val="auto"/>
                      <w:sz w:val="18"/>
                      <w:szCs w:val="18"/>
                    </w:rPr>
                    <w:t>是</w:t>
                  </w:r>
                </w:p>
              </w:tc>
              <w:tc>
                <w:tcPr>
                  <w:tcW w:w="321" w:type="pct"/>
                  <w:vMerge w:val="restart"/>
                  <w:vAlign w:val="center"/>
                </w:tcPr>
                <w:p>
                  <w:pPr>
                    <w:jc w:val="center"/>
                    <w:rPr>
                      <w:color w:val="auto"/>
                      <w:sz w:val="18"/>
                      <w:szCs w:val="18"/>
                    </w:rPr>
                  </w:pPr>
                  <w:r>
                    <w:rPr>
                      <w:rFonts w:hint="eastAsia"/>
                      <w:color w:val="auto"/>
                      <w:sz w:val="18"/>
                      <w:szCs w:val="18"/>
                    </w:rPr>
                    <w:t>26000</w:t>
                  </w:r>
                </w:p>
              </w:tc>
              <w:tc>
                <w:tcPr>
                  <w:tcW w:w="299" w:type="pct"/>
                  <w:vAlign w:val="center"/>
                </w:tcPr>
                <w:p>
                  <w:pPr>
                    <w:jc w:val="center"/>
                    <w:rPr>
                      <w:color w:val="auto"/>
                      <w:sz w:val="18"/>
                      <w:szCs w:val="18"/>
                    </w:rPr>
                  </w:pPr>
                  <w:r>
                    <w:rPr>
                      <w:color w:val="auto"/>
                      <w:sz w:val="18"/>
                      <w:szCs w:val="18"/>
                    </w:rPr>
                    <w:t>是</w:t>
                  </w:r>
                </w:p>
              </w:tc>
              <w:tc>
                <w:tcPr>
                  <w:tcW w:w="284" w:type="pct"/>
                  <w:vAlign w:val="center"/>
                </w:tcPr>
                <w:p>
                  <w:pPr>
                    <w:jc w:val="center"/>
                    <w:rPr>
                      <w:color w:val="auto"/>
                      <w:sz w:val="18"/>
                      <w:szCs w:val="18"/>
                    </w:rPr>
                  </w:pPr>
                  <w:r>
                    <w:rPr>
                      <w:rFonts w:hint="eastAsia"/>
                      <w:color w:val="auto"/>
                      <w:sz w:val="18"/>
                      <w:szCs w:val="18"/>
                    </w:rPr>
                    <w:t>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5" w:type="pct"/>
                  <w:vMerge w:val="restart"/>
                  <w:vAlign w:val="center"/>
                </w:tcPr>
                <w:p>
                  <w:pPr>
                    <w:adjustRightInd w:val="0"/>
                    <w:snapToGrid w:val="0"/>
                    <w:jc w:val="center"/>
                    <w:rPr>
                      <w:bCs/>
                      <w:color w:val="auto"/>
                      <w:sz w:val="18"/>
                      <w:szCs w:val="18"/>
                    </w:rPr>
                  </w:pPr>
                  <w:r>
                    <w:rPr>
                      <w:rFonts w:hint="eastAsia"/>
                      <w:bCs/>
                      <w:color w:val="auto"/>
                      <w:sz w:val="18"/>
                      <w:szCs w:val="18"/>
                    </w:rPr>
                    <w:t>开炼废气</w:t>
                  </w:r>
                </w:p>
              </w:tc>
              <w:tc>
                <w:tcPr>
                  <w:tcW w:w="329" w:type="pct"/>
                  <w:vMerge w:val="restart"/>
                  <w:vAlign w:val="center"/>
                </w:tcPr>
                <w:p>
                  <w:pPr>
                    <w:adjustRightInd w:val="0"/>
                    <w:snapToGrid w:val="0"/>
                    <w:jc w:val="center"/>
                    <w:rPr>
                      <w:bCs/>
                      <w:color w:val="auto"/>
                      <w:sz w:val="18"/>
                      <w:szCs w:val="18"/>
                    </w:rPr>
                  </w:pPr>
                  <w:r>
                    <w:rPr>
                      <w:rFonts w:hint="eastAsia"/>
                      <w:bCs/>
                      <w:color w:val="auto"/>
                      <w:sz w:val="18"/>
                      <w:szCs w:val="18"/>
                    </w:rPr>
                    <w:t>G1-2</w:t>
                  </w:r>
                </w:p>
              </w:tc>
              <w:tc>
                <w:tcPr>
                  <w:tcW w:w="351" w:type="pct"/>
                  <w:vAlign w:val="center"/>
                </w:tcPr>
                <w:p>
                  <w:pPr>
                    <w:widowControl/>
                    <w:jc w:val="center"/>
                    <w:rPr>
                      <w:color w:val="auto"/>
                      <w:sz w:val="18"/>
                      <w:szCs w:val="18"/>
                    </w:rPr>
                  </w:pPr>
                  <w:r>
                    <w:rPr>
                      <w:rFonts w:hint="eastAsia"/>
                      <w:color w:val="auto"/>
                      <w:sz w:val="18"/>
                      <w:szCs w:val="18"/>
                    </w:rPr>
                    <w:t>非甲烷总烃</w:t>
                  </w:r>
                </w:p>
              </w:tc>
              <w:tc>
                <w:tcPr>
                  <w:tcW w:w="334" w:type="pct"/>
                  <w:vAlign w:val="center"/>
                </w:tcPr>
                <w:p>
                  <w:pPr>
                    <w:widowControl/>
                    <w:jc w:val="center"/>
                    <w:rPr>
                      <w:color w:val="auto"/>
                      <w:kern w:val="0"/>
                      <w:sz w:val="18"/>
                      <w:szCs w:val="18"/>
                    </w:rPr>
                  </w:pPr>
                  <w:r>
                    <w:rPr>
                      <w:rFonts w:hint="eastAsia"/>
                      <w:color w:val="auto"/>
                      <w:kern w:val="0"/>
                      <w:sz w:val="18"/>
                      <w:szCs w:val="18"/>
                    </w:rPr>
                    <w:t>0.019</w:t>
                  </w:r>
                </w:p>
              </w:tc>
              <w:tc>
                <w:tcPr>
                  <w:tcW w:w="1070" w:type="pct"/>
                  <w:vMerge w:val="restart"/>
                  <w:vAlign w:val="center"/>
                </w:tcPr>
                <w:p>
                  <w:pPr>
                    <w:widowControl/>
                    <w:jc w:val="center"/>
                    <w:rPr>
                      <w:color w:val="auto"/>
                      <w:sz w:val="18"/>
                      <w:szCs w:val="18"/>
                    </w:rPr>
                  </w:pPr>
                  <w:r>
                    <w:rPr>
                      <w:rFonts w:hint="eastAsia"/>
                      <w:color w:val="auto"/>
                      <w:sz w:val="18"/>
                      <w:szCs w:val="18"/>
                    </w:rPr>
                    <w:t>参照美国国家环保局（简称EPA）编制的《空气污染物排放系数汇编》（AP-42）中橡胶制品业排放因子，开炼废气中非甲烷总烃产生系数为 215mg/kg胶料，颗粒物产生系数为925mg/kg 胶料</w:t>
                  </w:r>
                </w:p>
              </w:tc>
              <w:tc>
                <w:tcPr>
                  <w:tcW w:w="929" w:type="dxa"/>
                  <w:vAlign w:val="center"/>
                </w:tcPr>
                <w:p>
                  <w:pPr>
                    <w:widowControl/>
                    <w:jc w:val="center"/>
                    <w:rPr>
                      <w:color w:val="auto"/>
                      <w:kern w:val="0"/>
                      <w:sz w:val="18"/>
                      <w:szCs w:val="18"/>
                    </w:rPr>
                  </w:pPr>
                  <w:r>
                    <w:rPr>
                      <w:rFonts w:hint="eastAsia"/>
                      <w:color w:val="auto"/>
                      <w:kern w:val="0"/>
                      <w:sz w:val="18"/>
                      <w:szCs w:val="18"/>
                    </w:rPr>
                    <w:t>集气罩收集</w:t>
                  </w:r>
                </w:p>
              </w:tc>
              <w:tc>
                <w:tcPr>
                  <w:tcW w:w="818" w:type="dxa"/>
                  <w:vAlign w:val="center"/>
                </w:tcPr>
                <w:p>
                  <w:pPr>
                    <w:widowControl/>
                    <w:jc w:val="center"/>
                    <w:rPr>
                      <w:color w:val="auto"/>
                      <w:sz w:val="18"/>
                      <w:szCs w:val="18"/>
                    </w:rPr>
                  </w:pPr>
                  <w:r>
                    <w:rPr>
                      <w:color w:val="auto"/>
                      <w:sz w:val="18"/>
                      <w:szCs w:val="18"/>
                    </w:rPr>
                    <w:t>9</w:t>
                  </w:r>
                  <w:r>
                    <w:rPr>
                      <w:rFonts w:hint="eastAsia"/>
                      <w:color w:val="auto"/>
                      <w:sz w:val="18"/>
                      <w:szCs w:val="18"/>
                    </w:rPr>
                    <w:t>0</w:t>
                  </w:r>
                </w:p>
              </w:tc>
              <w:tc>
                <w:tcPr>
                  <w:tcW w:w="301" w:type="pct"/>
                  <w:vMerge w:val="continue"/>
                  <w:vAlign w:val="center"/>
                </w:tcPr>
                <w:p>
                  <w:pPr>
                    <w:jc w:val="center"/>
                    <w:rPr>
                      <w:color w:val="auto"/>
                      <w:kern w:val="0"/>
                      <w:sz w:val="18"/>
                      <w:szCs w:val="18"/>
                    </w:rPr>
                  </w:pPr>
                </w:p>
              </w:tc>
              <w:tc>
                <w:tcPr>
                  <w:tcW w:w="344" w:type="pct"/>
                  <w:vAlign w:val="center"/>
                </w:tcPr>
                <w:p>
                  <w:pPr>
                    <w:jc w:val="center"/>
                    <w:rPr>
                      <w:color w:val="auto"/>
                      <w:sz w:val="18"/>
                      <w:szCs w:val="18"/>
                    </w:rPr>
                  </w:pPr>
                  <w:r>
                    <w:rPr>
                      <w:rFonts w:hint="eastAsia"/>
                      <w:color w:val="auto"/>
                      <w:sz w:val="18"/>
                      <w:szCs w:val="18"/>
                    </w:rPr>
                    <w:t>9</w:t>
                  </w:r>
                  <w:r>
                    <w:rPr>
                      <w:color w:val="auto"/>
                      <w:sz w:val="18"/>
                      <w:szCs w:val="18"/>
                    </w:rPr>
                    <w:t>0</w:t>
                  </w:r>
                </w:p>
              </w:tc>
              <w:tc>
                <w:tcPr>
                  <w:tcW w:w="364" w:type="pct"/>
                  <w:vAlign w:val="center"/>
                </w:tcPr>
                <w:p>
                  <w:pPr>
                    <w:jc w:val="center"/>
                    <w:rPr>
                      <w:color w:val="auto"/>
                      <w:sz w:val="18"/>
                      <w:szCs w:val="18"/>
                    </w:rPr>
                  </w:pPr>
                  <w:r>
                    <w:rPr>
                      <w:rFonts w:hint="eastAsia"/>
                      <w:color w:val="auto"/>
                      <w:sz w:val="18"/>
                      <w:szCs w:val="18"/>
                    </w:rPr>
                    <w:t>是</w:t>
                  </w:r>
                </w:p>
              </w:tc>
              <w:tc>
                <w:tcPr>
                  <w:tcW w:w="321" w:type="pct"/>
                  <w:vMerge w:val="continue"/>
                  <w:vAlign w:val="center"/>
                </w:tcPr>
                <w:p>
                  <w:pPr>
                    <w:jc w:val="center"/>
                    <w:rPr>
                      <w:color w:val="auto"/>
                      <w:sz w:val="18"/>
                      <w:szCs w:val="18"/>
                    </w:rPr>
                  </w:pPr>
                </w:p>
              </w:tc>
              <w:tc>
                <w:tcPr>
                  <w:tcW w:w="299" w:type="pct"/>
                  <w:vAlign w:val="center"/>
                </w:tcPr>
                <w:p>
                  <w:pPr>
                    <w:jc w:val="center"/>
                    <w:rPr>
                      <w:color w:val="auto"/>
                      <w:sz w:val="18"/>
                      <w:szCs w:val="18"/>
                    </w:rPr>
                  </w:pPr>
                  <w:r>
                    <w:rPr>
                      <w:color w:val="auto"/>
                      <w:sz w:val="18"/>
                      <w:szCs w:val="18"/>
                    </w:rPr>
                    <w:t>是</w:t>
                  </w:r>
                </w:p>
              </w:tc>
              <w:tc>
                <w:tcPr>
                  <w:tcW w:w="284" w:type="pct"/>
                  <w:vAlign w:val="center"/>
                </w:tcPr>
                <w:p>
                  <w:pPr>
                    <w:jc w:val="center"/>
                    <w:rPr>
                      <w:color w:val="auto"/>
                      <w:sz w:val="18"/>
                      <w:szCs w:val="18"/>
                    </w:rPr>
                  </w:pPr>
                  <w:r>
                    <w:rPr>
                      <w:color w:val="auto"/>
                      <w:sz w:val="18"/>
                      <w:szCs w:val="18"/>
                    </w:rPr>
                    <w:t>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5" w:type="pct"/>
                  <w:vMerge w:val="continue"/>
                  <w:vAlign w:val="center"/>
                </w:tcPr>
                <w:p>
                  <w:pPr>
                    <w:adjustRightInd w:val="0"/>
                    <w:snapToGrid w:val="0"/>
                    <w:jc w:val="center"/>
                    <w:rPr>
                      <w:bCs/>
                      <w:color w:val="auto"/>
                      <w:sz w:val="18"/>
                      <w:szCs w:val="18"/>
                    </w:rPr>
                  </w:pPr>
                </w:p>
              </w:tc>
              <w:tc>
                <w:tcPr>
                  <w:tcW w:w="329" w:type="pct"/>
                  <w:vMerge w:val="continue"/>
                  <w:vAlign w:val="center"/>
                </w:tcPr>
                <w:p>
                  <w:pPr>
                    <w:adjustRightInd w:val="0"/>
                    <w:snapToGrid w:val="0"/>
                    <w:jc w:val="center"/>
                    <w:rPr>
                      <w:bCs/>
                      <w:color w:val="auto"/>
                      <w:sz w:val="18"/>
                      <w:szCs w:val="18"/>
                    </w:rPr>
                  </w:pPr>
                </w:p>
              </w:tc>
              <w:tc>
                <w:tcPr>
                  <w:tcW w:w="351" w:type="pct"/>
                  <w:vAlign w:val="center"/>
                </w:tcPr>
                <w:p>
                  <w:pPr>
                    <w:widowControl/>
                    <w:jc w:val="center"/>
                    <w:rPr>
                      <w:color w:val="auto"/>
                      <w:sz w:val="18"/>
                      <w:szCs w:val="18"/>
                    </w:rPr>
                  </w:pPr>
                  <w:r>
                    <w:rPr>
                      <w:rFonts w:hint="eastAsia"/>
                      <w:color w:val="auto"/>
                      <w:sz w:val="18"/>
                      <w:szCs w:val="18"/>
                    </w:rPr>
                    <w:t>颗粒物</w:t>
                  </w:r>
                </w:p>
              </w:tc>
              <w:tc>
                <w:tcPr>
                  <w:tcW w:w="334" w:type="pct"/>
                  <w:vAlign w:val="center"/>
                </w:tcPr>
                <w:p>
                  <w:pPr>
                    <w:widowControl/>
                    <w:jc w:val="center"/>
                    <w:rPr>
                      <w:color w:val="auto"/>
                      <w:kern w:val="0"/>
                      <w:sz w:val="18"/>
                      <w:szCs w:val="18"/>
                    </w:rPr>
                  </w:pPr>
                  <w:r>
                    <w:rPr>
                      <w:rFonts w:hint="eastAsia"/>
                      <w:color w:val="auto"/>
                      <w:kern w:val="0"/>
                      <w:sz w:val="18"/>
                      <w:szCs w:val="18"/>
                    </w:rPr>
                    <w:t>0.083</w:t>
                  </w:r>
                </w:p>
              </w:tc>
              <w:tc>
                <w:tcPr>
                  <w:tcW w:w="1070" w:type="pct"/>
                  <w:vMerge w:val="continue"/>
                  <w:vAlign w:val="center"/>
                </w:tcPr>
                <w:p>
                  <w:pPr>
                    <w:widowControl/>
                    <w:jc w:val="center"/>
                    <w:rPr>
                      <w:color w:val="auto"/>
                      <w:sz w:val="18"/>
                      <w:szCs w:val="18"/>
                    </w:rPr>
                  </w:pPr>
                </w:p>
              </w:tc>
              <w:tc>
                <w:tcPr>
                  <w:tcW w:w="929" w:type="dxa"/>
                  <w:vAlign w:val="center"/>
                </w:tcPr>
                <w:p>
                  <w:pPr>
                    <w:widowControl/>
                    <w:jc w:val="center"/>
                    <w:rPr>
                      <w:color w:val="auto"/>
                      <w:kern w:val="0"/>
                      <w:sz w:val="18"/>
                      <w:szCs w:val="18"/>
                    </w:rPr>
                  </w:pPr>
                  <w:r>
                    <w:rPr>
                      <w:rFonts w:hint="eastAsia"/>
                      <w:color w:val="auto"/>
                      <w:kern w:val="0"/>
                      <w:sz w:val="18"/>
                      <w:szCs w:val="18"/>
                    </w:rPr>
                    <w:t>集气罩收集</w:t>
                  </w:r>
                </w:p>
              </w:tc>
              <w:tc>
                <w:tcPr>
                  <w:tcW w:w="818" w:type="dxa"/>
                  <w:vAlign w:val="center"/>
                </w:tcPr>
                <w:p>
                  <w:pPr>
                    <w:widowControl/>
                    <w:jc w:val="center"/>
                    <w:rPr>
                      <w:color w:val="auto"/>
                      <w:sz w:val="18"/>
                      <w:szCs w:val="18"/>
                    </w:rPr>
                  </w:pPr>
                  <w:r>
                    <w:rPr>
                      <w:color w:val="auto"/>
                      <w:sz w:val="18"/>
                      <w:szCs w:val="18"/>
                    </w:rPr>
                    <w:t>9</w:t>
                  </w:r>
                  <w:r>
                    <w:rPr>
                      <w:rFonts w:hint="eastAsia"/>
                      <w:color w:val="auto"/>
                      <w:sz w:val="18"/>
                      <w:szCs w:val="18"/>
                    </w:rPr>
                    <w:t>0</w:t>
                  </w:r>
                </w:p>
              </w:tc>
              <w:tc>
                <w:tcPr>
                  <w:tcW w:w="301" w:type="pct"/>
                  <w:vMerge w:val="continue"/>
                  <w:vAlign w:val="center"/>
                </w:tcPr>
                <w:p>
                  <w:pPr>
                    <w:jc w:val="center"/>
                    <w:rPr>
                      <w:color w:val="auto"/>
                      <w:kern w:val="0"/>
                      <w:sz w:val="18"/>
                      <w:szCs w:val="18"/>
                    </w:rPr>
                  </w:pPr>
                </w:p>
              </w:tc>
              <w:tc>
                <w:tcPr>
                  <w:tcW w:w="344" w:type="pct"/>
                  <w:vAlign w:val="center"/>
                </w:tcPr>
                <w:p>
                  <w:pPr>
                    <w:jc w:val="center"/>
                    <w:rPr>
                      <w:color w:val="auto"/>
                      <w:sz w:val="18"/>
                      <w:szCs w:val="18"/>
                    </w:rPr>
                  </w:pPr>
                  <w:r>
                    <w:rPr>
                      <w:rFonts w:hint="eastAsia"/>
                      <w:color w:val="auto"/>
                      <w:sz w:val="18"/>
                      <w:szCs w:val="18"/>
                    </w:rPr>
                    <w:t>99</w:t>
                  </w:r>
                </w:p>
              </w:tc>
              <w:tc>
                <w:tcPr>
                  <w:tcW w:w="364" w:type="pct"/>
                  <w:vAlign w:val="center"/>
                </w:tcPr>
                <w:p>
                  <w:pPr>
                    <w:jc w:val="center"/>
                    <w:rPr>
                      <w:color w:val="auto"/>
                      <w:sz w:val="18"/>
                      <w:szCs w:val="18"/>
                    </w:rPr>
                  </w:pPr>
                  <w:r>
                    <w:rPr>
                      <w:rFonts w:hint="eastAsia"/>
                      <w:color w:val="auto"/>
                      <w:sz w:val="18"/>
                      <w:szCs w:val="18"/>
                    </w:rPr>
                    <w:t>是</w:t>
                  </w:r>
                </w:p>
              </w:tc>
              <w:tc>
                <w:tcPr>
                  <w:tcW w:w="321" w:type="pct"/>
                  <w:vMerge w:val="continue"/>
                  <w:vAlign w:val="center"/>
                </w:tcPr>
                <w:p>
                  <w:pPr>
                    <w:jc w:val="center"/>
                    <w:rPr>
                      <w:color w:val="auto"/>
                      <w:sz w:val="18"/>
                      <w:szCs w:val="18"/>
                    </w:rPr>
                  </w:pPr>
                </w:p>
              </w:tc>
              <w:tc>
                <w:tcPr>
                  <w:tcW w:w="299" w:type="pct"/>
                  <w:vAlign w:val="center"/>
                </w:tcPr>
                <w:p>
                  <w:pPr>
                    <w:jc w:val="center"/>
                    <w:rPr>
                      <w:color w:val="auto"/>
                      <w:sz w:val="18"/>
                      <w:szCs w:val="18"/>
                    </w:rPr>
                  </w:pPr>
                  <w:r>
                    <w:rPr>
                      <w:color w:val="auto"/>
                      <w:sz w:val="18"/>
                      <w:szCs w:val="18"/>
                    </w:rPr>
                    <w:t>是</w:t>
                  </w:r>
                </w:p>
              </w:tc>
              <w:tc>
                <w:tcPr>
                  <w:tcW w:w="284" w:type="pct"/>
                  <w:vAlign w:val="center"/>
                </w:tcPr>
                <w:p>
                  <w:pPr>
                    <w:jc w:val="center"/>
                    <w:rPr>
                      <w:color w:val="auto"/>
                      <w:sz w:val="18"/>
                      <w:szCs w:val="18"/>
                    </w:rPr>
                  </w:pPr>
                  <w:r>
                    <w:rPr>
                      <w:color w:val="auto"/>
                      <w:sz w:val="18"/>
                      <w:szCs w:val="18"/>
                    </w:rPr>
                    <w:t>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5" w:type="pct"/>
                  <w:vAlign w:val="center"/>
                </w:tcPr>
                <w:p>
                  <w:pPr>
                    <w:adjustRightInd w:val="0"/>
                    <w:snapToGrid w:val="0"/>
                    <w:jc w:val="center"/>
                    <w:rPr>
                      <w:bCs/>
                      <w:color w:val="auto"/>
                      <w:sz w:val="18"/>
                      <w:szCs w:val="18"/>
                    </w:rPr>
                  </w:pPr>
                  <w:r>
                    <w:rPr>
                      <w:rFonts w:hint="eastAsia"/>
                      <w:bCs/>
                      <w:color w:val="auto"/>
                      <w:sz w:val="18"/>
                      <w:szCs w:val="18"/>
                    </w:rPr>
                    <w:t>一次成型废气</w:t>
                  </w:r>
                </w:p>
              </w:tc>
              <w:tc>
                <w:tcPr>
                  <w:tcW w:w="329" w:type="pct"/>
                  <w:vAlign w:val="center"/>
                </w:tcPr>
                <w:p>
                  <w:pPr>
                    <w:adjustRightInd w:val="0"/>
                    <w:snapToGrid w:val="0"/>
                    <w:jc w:val="center"/>
                    <w:rPr>
                      <w:bCs/>
                      <w:color w:val="auto"/>
                      <w:sz w:val="18"/>
                      <w:szCs w:val="18"/>
                    </w:rPr>
                  </w:pPr>
                  <w:r>
                    <w:rPr>
                      <w:rFonts w:hint="eastAsia"/>
                      <w:bCs/>
                      <w:color w:val="auto"/>
                      <w:sz w:val="18"/>
                      <w:szCs w:val="18"/>
                    </w:rPr>
                    <w:t>G1-3</w:t>
                  </w:r>
                </w:p>
              </w:tc>
              <w:tc>
                <w:tcPr>
                  <w:tcW w:w="351" w:type="pct"/>
                  <w:vAlign w:val="center"/>
                </w:tcPr>
                <w:p>
                  <w:pPr>
                    <w:widowControl/>
                    <w:jc w:val="center"/>
                    <w:rPr>
                      <w:color w:val="auto"/>
                      <w:sz w:val="18"/>
                      <w:szCs w:val="18"/>
                    </w:rPr>
                  </w:pPr>
                  <w:r>
                    <w:rPr>
                      <w:rFonts w:hint="eastAsia"/>
                      <w:color w:val="auto"/>
                      <w:sz w:val="18"/>
                      <w:szCs w:val="18"/>
                    </w:rPr>
                    <w:t>非甲烷总烃</w:t>
                  </w:r>
                </w:p>
              </w:tc>
              <w:tc>
                <w:tcPr>
                  <w:tcW w:w="334" w:type="pct"/>
                  <w:vAlign w:val="center"/>
                </w:tcPr>
                <w:p>
                  <w:pPr>
                    <w:widowControl/>
                    <w:jc w:val="center"/>
                    <w:rPr>
                      <w:color w:val="auto"/>
                      <w:kern w:val="0"/>
                      <w:sz w:val="18"/>
                      <w:szCs w:val="18"/>
                    </w:rPr>
                  </w:pPr>
                  <w:r>
                    <w:rPr>
                      <w:rFonts w:hint="eastAsia"/>
                      <w:color w:val="auto"/>
                      <w:kern w:val="0"/>
                      <w:sz w:val="18"/>
                      <w:szCs w:val="18"/>
                    </w:rPr>
                    <w:t>0.013</w:t>
                  </w:r>
                </w:p>
              </w:tc>
              <w:tc>
                <w:tcPr>
                  <w:tcW w:w="1070" w:type="pct"/>
                  <w:vMerge w:val="restart"/>
                  <w:vAlign w:val="center"/>
                </w:tcPr>
                <w:p>
                  <w:pPr>
                    <w:widowControl/>
                    <w:jc w:val="center"/>
                    <w:rPr>
                      <w:color w:val="auto"/>
                      <w:sz w:val="18"/>
                      <w:szCs w:val="18"/>
                    </w:rPr>
                  </w:pPr>
                  <w:r>
                    <w:rPr>
                      <w:rFonts w:hint="eastAsia"/>
                      <w:color w:val="auto"/>
                      <w:sz w:val="18"/>
                      <w:szCs w:val="18"/>
                    </w:rPr>
                    <w:t>《橡胶制品生产过程中有机废气的排放系数》（伊尔姆环境资源管理咨 询（上海）有限公司，张芝兰），成型过程中非甲烷总烃产生系数为 0.149kg/t 胶</w:t>
                  </w:r>
                </w:p>
              </w:tc>
              <w:tc>
                <w:tcPr>
                  <w:tcW w:w="929" w:type="dxa"/>
                  <w:vAlign w:val="center"/>
                </w:tcPr>
                <w:p>
                  <w:pPr>
                    <w:widowControl/>
                    <w:jc w:val="center"/>
                    <w:rPr>
                      <w:color w:val="auto"/>
                      <w:kern w:val="0"/>
                      <w:sz w:val="18"/>
                      <w:szCs w:val="18"/>
                    </w:rPr>
                  </w:pPr>
                  <w:r>
                    <w:rPr>
                      <w:rFonts w:hint="eastAsia"/>
                      <w:color w:val="auto"/>
                      <w:kern w:val="0"/>
                      <w:sz w:val="18"/>
                      <w:szCs w:val="18"/>
                    </w:rPr>
                    <w:t>集气罩收集</w:t>
                  </w:r>
                </w:p>
              </w:tc>
              <w:tc>
                <w:tcPr>
                  <w:tcW w:w="818" w:type="dxa"/>
                  <w:vAlign w:val="center"/>
                </w:tcPr>
                <w:p>
                  <w:pPr>
                    <w:widowControl/>
                    <w:jc w:val="center"/>
                    <w:rPr>
                      <w:color w:val="auto"/>
                      <w:sz w:val="18"/>
                      <w:szCs w:val="18"/>
                    </w:rPr>
                  </w:pPr>
                  <w:r>
                    <w:rPr>
                      <w:color w:val="auto"/>
                      <w:sz w:val="18"/>
                      <w:szCs w:val="18"/>
                    </w:rPr>
                    <w:t>9</w:t>
                  </w:r>
                  <w:r>
                    <w:rPr>
                      <w:rFonts w:hint="eastAsia"/>
                      <w:color w:val="auto"/>
                      <w:sz w:val="18"/>
                      <w:szCs w:val="18"/>
                    </w:rPr>
                    <w:t>0</w:t>
                  </w:r>
                </w:p>
              </w:tc>
              <w:tc>
                <w:tcPr>
                  <w:tcW w:w="301" w:type="pct"/>
                  <w:vMerge w:val="continue"/>
                  <w:vAlign w:val="center"/>
                </w:tcPr>
                <w:p>
                  <w:pPr>
                    <w:jc w:val="center"/>
                    <w:rPr>
                      <w:color w:val="auto"/>
                      <w:kern w:val="0"/>
                      <w:sz w:val="18"/>
                      <w:szCs w:val="18"/>
                    </w:rPr>
                  </w:pPr>
                </w:p>
              </w:tc>
              <w:tc>
                <w:tcPr>
                  <w:tcW w:w="344" w:type="pct"/>
                  <w:vAlign w:val="center"/>
                </w:tcPr>
                <w:p>
                  <w:pPr>
                    <w:jc w:val="center"/>
                    <w:rPr>
                      <w:color w:val="auto"/>
                      <w:sz w:val="18"/>
                      <w:szCs w:val="18"/>
                    </w:rPr>
                  </w:pPr>
                  <w:r>
                    <w:rPr>
                      <w:rFonts w:hint="eastAsia"/>
                      <w:color w:val="auto"/>
                      <w:sz w:val="18"/>
                      <w:szCs w:val="18"/>
                    </w:rPr>
                    <w:t>9</w:t>
                  </w:r>
                  <w:r>
                    <w:rPr>
                      <w:color w:val="auto"/>
                      <w:sz w:val="18"/>
                      <w:szCs w:val="18"/>
                    </w:rPr>
                    <w:t>0</w:t>
                  </w:r>
                </w:p>
              </w:tc>
              <w:tc>
                <w:tcPr>
                  <w:tcW w:w="364" w:type="pct"/>
                  <w:vAlign w:val="center"/>
                </w:tcPr>
                <w:p>
                  <w:pPr>
                    <w:jc w:val="center"/>
                    <w:rPr>
                      <w:color w:val="auto"/>
                      <w:sz w:val="18"/>
                      <w:szCs w:val="18"/>
                    </w:rPr>
                  </w:pPr>
                  <w:r>
                    <w:rPr>
                      <w:rFonts w:hint="eastAsia"/>
                      <w:color w:val="auto"/>
                      <w:sz w:val="18"/>
                      <w:szCs w:val="18"/>
                    </w:rPr>
                    <w:t>是</w:t>
                  </w:r>
                </w:p>
              </w:tc>
              <w:tc>
                <w:tcPr>
                  <w:tcW w:w="321" w:type="pct"/>
                  <w:vMerge w:val="continue"/>
                  <w:vAlign w:val="center"/>
                </w:tcPr>
                <w:p>
                  <w:pPr>
                    <w:jc w:val="center"/>
                    <w:rPr>
                      <w:color w:val="auto"/>
                      <w:sz w:val="18"/>
                      <w:szCs w:val="18"/>
                    </w:rPr>
                  </w:pPr>
                </w:p>
              </w:tc>
              <w:tc>
                <w:tcPr>
                  <w:tcW w:w="299" w:type="pct"/>
                  <w:vAlign w:val="center"/>
                </w:tcPr>
                <w:p>
                  <w:pPr>
                    <w:jc w:val="center"/>
                    <w:rPr>
                      <w:color w:val="auto"/>
                      <w:sz w:val="18"/>
                      <w:szCs w:val="18"/>
                    </w:rPr>
                  </w:pPr>
                  <w:r>
                    <w:rPr>
                      <w:color w:val="auto"/>
                      <w:sz w:val="18"/>
                      <w:szCs w:val="18"/>
                    </w:rPr>
                    <w:t>是</w:t>
                  </w:r>
                </w:p>
              </w:tc>
              <w:tc>
                <w:tcPr>
                  <w:tcW w:w="284" w:type="pct"/>
                  <w:vAlign w:val="center"/>
                </w:tcPr>
                <w:p>
                  <w:pPr>
                    <w:jc w:val="center"/>
                    <w:rPr>
                      <w:color w:val="auto"/>
                      <w:sz w:val="18"/>
                      <w:szCs w:val="18"/>
                    </w:rPr>
                  </w:pPr>
                  <w:r>
                    <w:rPr>
                      <w:color w:val="auto"/>
                      <w:sz w:val="18"/>
                      <w:szCs w:val="18"/>
                    </w:rPr>
                    <w:t>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5" w:type="pct"/>
                  <w:vAlign w:val="center"/>
                </w:tcPr>
                <w:p>
                  <w:pPr>
                    <w:adjustRightInd w:val="0"/>
                    <w:snapToGrid w:val="0"/>
                    <w:jc w:val="center"/>
                    <w:rPr>
                      <w:bCs/>
                      <w:color w:val="auto"/>
                      <w:sz w:val="18"/>
                      <w:szCs w:val="18"/>
                    </w:rPr>
                  </w:pPr>
                  <w:r>
                    <w:rPr>
                      <w:rFonts w:hint="eastAsia"/>
                      <w:bCs/>
                      <w:color w:val="auto"/>
                      <w:sz w:val="18"/>
                      <w:szCs w:val="18"/>
                    </w:rPr>
                    <w:t>二次成型废气</w:t>
                  </w:r>
                </w:p>
              </w:tc>
              <w:tc>
                <w:tcPr>
                  <w:tcW w:w="329" w:type="pct"/>
                  <w:vAlign w:val="center"/>
                </w:tcPr>
                <w:p>
                  <w:pPr>
                    <w:adjustRightInd w:val="0"/>
                    <w:snapToGrid w:val="0"/>
                    <w:jc w:val="center"/>
                    <w:rPr>
                      <w:bCs/>
                      <w:color w:val="auto"/>
                      <w:sz w:val="18"/>
                      <w:szCs w:val="18"/>
                    </w:rPr>
                  </w:pPr>
                  <w:r>
                    <w:rPr>
                      <w:rFonts w:hint="eastAsia"/>
                      <w:bCs/>
                      <w:color w:val="auto"/>
                      <w:sz w:val="18"/>
                      <w:szCs w:val="18"/>
                    </w:rPr>
                    <w:t>G1-4</w:t>
                  </w:r>
                </w:p>
              </w:tc>
              <w:tc>
                <w:tcPr>
                  <w:tcW w:w="351" w:type="pct"/>
                  <w:vAlign w:val="center"/>
                </w:tcPr>
                <w:p>
                  <w:pPr>
                    <w:widowControl/>
                    <w:jc w:val="center"/>
                    <w:rPr>
                      <w:color w:val="auto"/>
                      <w:sz w:val="18"/>
                      <w:szCs w:val="18"/>
                    </w:rPr>
                  </w:pPr>
                  <w:r>
                    <w:rPr>
                      <w:rFonts w:hint="eastAsia"/>
                      <w:color w:val="auto"/>
                      <w:sz w:val="18"/>
                      <w:szCs w:val="18"/>
                    </w:rPr>
                    <w:t>非甲烷总烃</w:t>
                  </w:r>
                </w:p>
              </w:tc>
              <w:tc>
                <w:tcPr>
                  <w:tcW w:w="334" w:type="pct"/>
                  <w:vAlign w:val="center"/>
                </w:tcPr>
                <w:p>
                  <w:pPr>
                    <w:widowControl/>
                    <w:jc w:val="center"/>
                    <w:rPr>
                      <w:color w:val="auto"/>
                      <w:kern w:val="0"/>
                      <w:sz w:val="18"/>
                      <w:szCs w:val="18"/>
                    </w:rPr>
                  </w:pPr>
                  <w:r>
                    <w:rPr>
                      <w:rFonts w:hint="eastAsia"/>
                      <w:color w:val="auto"/>
                      <w:kern w:val="0"/>
                      <w:sz w:val="18"/>
                      <w:szCs w:val="18"/>
                    </w:rPr>
                    <w:t>0.013</w:t>
                  </w:r>
                </w:p>
              </w:tc>
              <w:tc>
                <w:tcPr>
                  <w:tcW w:w="1070" w:type="pct"/>
                  <w:vMerge w:val="continue"/>
                  <w:vAlign w:val="center"/>
                </w:tcPr>
                <w:p>
                  <w:pPr>
                    <w:widowControl/>
                    <w:jc w:val="center"/>
                    <w:rPr>
                      <w:color w:val="auto"/>
                      <w:sz w:val="18"/>
                      <w:szCs w:val="18"/>
                    </w:rPr>
                  </w:pPr>
                </w:p>
              </w:tc>
              <w:tc>
                <w:tcPr>
                  <w:tcW w:w="929" w:type="dxa"/>
                  <w:vAlign w:val="center"/>
                </w:tcPr>
                <w:p>
                  <w:pPr>
                    <w:widowControl/>
                    <w:jc w:val="center"/>
                    <w:rPr>
                      <w:color w:val="auto"/>
                      <w:kern w:val="0"/>
                      <w:sz w:val="18"/>
                      <w:szCs w:val="18"/>
                    </w:rPr>
                  </w:pPr>
                  <w:r>
                    <w:rPr>
                      <w:rFonts w:hint="eastAsia"/>
                      <w:color w:val="auto"/>
                      <w:kern w:val="0"/>
                      <w:sz w:val="18"/>
                      <w:szCs w:val="18"/>
                    </w:rPr>
                    <w:t>集气罩收集</w:t>
                  </w:r>
                </w:p>
              </w:tc>
              <w:tc>
                <w:tcPr>
                  <w:tcW w:w="818" w:type="dxa"/>
                  <w:vAlign w:val="center"/>
                </w:tcPr>
                <w:p>
                  <w:pPr>
                    <w:widowControl/>
                    <w:jc w:val="center"/>
                    <w:rPr>
                      <w:color w:val="auto"/>
                      <w:sz w:val="18"/>
                      <w:szCs w:val="18"/>
                    </w:rPr>
                  </w:pPr>
                  <w:r>
                    <w:rPr>
                      <w:color w:val="auto"/>
                      <w:sz w:val="18"/>
                      <w:szCs w:val="18"/>
                    </w:rPr>
                    <w:t>9</w:t>
                  </w:r>
                  <w:r>
                    <w:rPr>
                      <w:rFonts w:hint="eastAsia"/>
                      <w:color w:val="auto"/>
                      <w:sz w:val="18"/>
                      <w:szCs w:val="18"/>
                    </w:rPr>
                    <w:t>0</w:t>
                  </w:r>
                </w:p>
              </w:tc>
              <w:tc>
                <w:tcPr>
                  <w:tcW w:w="301" w:type="pct"/>
                  <w:vMerge w:val="continue"/>
                  <w:vAlign w:val="center"/>
                </w:tcPr>
                <w:p>
                  <w:pPr>
                    <w:jc w:val="center"/>
                    <w:rPr>
                      <w:color w:val="auto"/>
                      <w:kern w:val="0"/>
                      <w:sz w:val="18"/>
                      <w:szCs w:val="18"/>
                    </w:rPr>
                  </w:pPr>
                </w:p>
              </w:tc>
              <w:tc>
                <w:tcPr>
                  <w:tcW w:w="344" w:type="pct"/>
                  <w:vAlign w:val="center"/>
                </w:tcPr>
                <w:p>
                  <w:pPr>
                    <w:jc w:val="center"/>
                    <w:rPr>
                      <w:color w:val="auto"/>
                      <w:sz w:val="18"/>
                      <w:szCs w:val="18"/>
                    </w:rPr>
                  </w:pPr>
                  <w:r>
                    <w:rPr>
                      <w:rFonts w:hint="eastAsia"/>
                      <w:color w:val="auto"/>
                      <w:sz w:val="18"/>
                      <w:szCs w:val="18"/>
                    </w:rPr>
                    <w:t>9</w:t>
                  </w:r>
                  <w:r>
                    <w:rPr>
                      <w:color w:val="auto"/>
                      <w:sz w:val="18"/>
                      <w:szCs w:val="18"/>
                    </w:rPr>
                    <w:t>0</w:t>
                  </w:r>
                </w:p>
              </w:tc>
              <w:tc>
                <w:tcPr>
                  <w:tcW w:w="364" w:type="pct"/>
                  <w:vAlign w:val="center"/>
                </w:tcPr>
                <w:p>
                  <w:pPr>
                    <w:jc w:val="center"/>
                    <w:rPr>
                      <w:color w:val="auto"/>
                      <w:sz w:val="18"/>
                      <w:szCs w:val="18"/>
                    </w:rPr>
                  </w:pPr>
                  <w:r>
                    <w:rPr>
                      <w:rFonts w:hint="eastAsia"/>
                      <w:color w:val="auto"/>
                      <w:sz w:val="18"/>
                      <w:szCs w:val="18"/>
                    </w:rPr>
                    <w:t>是</w:t>
                  </w:r>
                </w:p>
              </w:tc>
              <w:tc>
                <w:tcPr>
                  <w:tcW w:w="321" w:type="pct"/>
                  <w:vMerge w:val="continue"/>
                  <w:vAlign w:val="center"/>
                </w:tcPr>
                <w:p>
                  <w:pPr>
                    <w:jc w:val="center"/>
                    <w:rPr>
                      <w:color w:val="auto"/>
                      <w:sz w:val="18"/>
                      <w:szCs w:val="18"/>
                    </w:rPr>
                  </w:pPr>
                </w:p>
              </w:tc>
              <w:tc>
                <w:tcPr>
                  <w:tcW w:w="299" w:type="pct"/>
                  <w:vAlign w:val="center"/>
                </w:tcPr>
                <w:p>
                  <w:pPr>
                    <w:jc w:val="center"/>
                    <w:rPr>
                      <w:color w:val="auto"/>
                      <w:sz w:val="18"/>
                      <w:szCs w:val="18"/>
                    </w:rPr>
                  </w:pPr>
                  <w:r>
                    <w:rPr>
                      <w:color w:val="auto"/>
                      <w:sz w:val="18"/>
                      <w:szCs w:val="18"/>
                    </w:rPr>
                    <w:t>是</w:t>
                  </w:r>
                </w:p>
              </w:tc>
              <w:tc>
                <w:tcPr>
                  <w:tcW w:w="284" w:type="pct"/>
                  <w:vAlign w:val="center"/>
                </w:tcPr>
                <w:p>
                  <w:pPr>
                    <w:jc w:val="center"/>
                    <w:rPr>
                      <w:color w:val="auto"/>
                      <w:sz w:val="18"/>
                      <w:szCs w:val="18"/>
                    </w:rPr>
                  </w:pPr>
                  <w:r>
                    <w:rPr>
                      <w:color w:val="auto"/>
                      <w:sz w:val="18"/>
                      <w:szCs w:val="18"/>
                    </w:rPr>
                    <w:t>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85" w:type="pct"/>
                  <w:vMerge w:val="restart"/>
                  <w:vAlign w:val="center"/>
                </w:tcPr>
                <w:p>
                  <w:pPr>
                    <w:adjustRightInd w:val="0"/>
                    <w:snapToGrid w:val="0"/>
                    <w:jc w:val="center"/>
                    <w:rPr>
                      <w:bCs/>
                      <w:color w:val="auto"/>
                      <w:sz w:val="18"/>
                      <w:szCs w:val="18"/>
                    </w:rPr>
                  </w:pPr>
                  <w:r>
                    <w:rPr>
                      <w:rFonts w:hint="eastAsia"/>
                      <w:bCs/>
                      <w:color w:val="auto"/>
                      <w:sz w:val="18"/>
                      <w:szCs w:val="18"/>
                    </w:rPr>
                    <w:t>恶臭废气</w:t>
                  </w:r>
                </w:p>
              </w:tc>
              <w:tc>
                <w:tcPr>
                  <w:tcW w:w="329" w:type="pct"/>
                  <w:vMerge w:val="restart"/>
                  <w:vAlign w:val="center"/>
                </w:tcPr>
                <w:p>
                  <w:pPr>
                    <w:adjustRightInd w:val="0"/>
                    <w:snapToGrid w:val="0"/>
                    <w:jc w:val="center"/>
                    <w:rPr>
                      <w:bCs/>
                      <w:color w:val="auto"/>
                      <w:sz w:val="18"/>
                      <w:szCs w:val="18"/>
                    </w:rPr>
                  </w:pPr>
                  <w:r>
                    <w:rPr>
                      <w:rFonts w:hint="eastAsia"/>
                      <w:bCs/>
                      <w:color w:val="auto"/>
                      <w:sz w:val="18"/>
                      <w:szCs w:val="18"/>
                    </w:rPr>
                    <w:t>G1-1</w:t>
                  </w:r>
                </w:p>
                <w:p>
                  <w:pPr>
                    <w:adjustRightInd w:val="0"/>
                    <w:snapToGrid w:val="0"/>
                    <w:jc w:val="center"/>
                    <w:rPr>
                      <w:bCs/>
                      <w:color w:val="auto"/>
                      <w:sz w:val="18"/>
                      <w:szCs w:val="18"/>
                    </w:rPr>
                  </w:pPr>
                  <w:r>
                    <w:rPr>
                      <w:rFonts w:hint="eastAsia"/>
                      <w:bCs/>
                      <w:color w:val="auto"/>
                      <w:sz w:val="18"/>
                      <w:szCs w:val="18"/>
                    </w:rPr>
                    <w:t>G1-2</w:t>
                  </w:r>
                </w:p>
                <w:p>
                  <w:pPr>
                    <w:adjustRightInd w:val="0"/>
                    <w:snapToGrid w:val="0"/>
                    <w:jc w:val="center"/>
                    <w:rPr>
                      <w:bCs/>
                      <w:color w:val="auto"/>
                      <w:sz w:val="18"/>
                      <w:szCs w:val="18"/>
                    </w:rPr>
                  </w:pPr>
                  <w:r>
                    <w:rPr>
                      <w:rFonts w:hint="eastAsia"/>
                      <w:bCs/>
                      <w:color w:val="auto"/>
                      <w:sz w:val="18"/>
                      <w:szCs w:val="18"/>
                    </w:rPr>
                    <w:t>G1-3</w:t>
                  </w:r>
                </w:p>
                <w:p>
                  <w:pPr>
                    <w:adjustRightInd w:val="0"/>
                    <w:snapToGrid w:val="0"/>
                    <w:jc w:val="center"/>
                    <w:rPr>
                      <w:bCs/>
                      <w:color w:val="auto"/>
                      <w:sz w:val="18"/>
                      <w:szCs w:val="18"/>
                    </w:rPr>
                  </w:pPr>
                  <w:r>
                    <w:rPr>
                      <w:rFonts w:hint="eastAsia"/>
                      <w:bCs/>
                      <w:color w:val="auto"/>
                      <w:sz w:val="18"/>
                      <w:szCs w:val="18"/>
                    </w:rPr>
                    <w:t>G1-4</w:t>
                  </w:r>
                </w:p>
              </w:tc>
              <w:tc>
                <w:tcPr>
                  <w:tcW w:w="351" w:type="pct"/>
                  <w:vAlign w:val="center"/>
                </w:tcPr>
                <w:p>
                  <w:pPr>
                    <w:widowControl/>
                    <w:jc w:val="center"/>
                    <w:rPr>
                      <w:color w:val="auto"/>
                      <w:sz w:val="18"/>
                      <w:szCs w:val="18"/>
                    </w:rPr>
                  </w:pPr>
                  <w:r>
                    <w:rPr>
                      <w:rFonts w:hint="eastAsia"/>
                      <w:color w:val="auto"/>
                      <w:sz w:val="18"/>
                      <w:szCs w:val="18"/>
                    </w:rPr>
                    <w:t>CS</w:t>
                  </w:r>
                  <w:r>
                    <w:rPr>
                      <w:rFonts w:hint="eastAsia"/>
                      <w:color w:val="auto"/>
                      <w:sz w:val="18"/>
                      <w:szCs w:val="18"/>
                      <w:vertAlign w:val="subscript"/>
                    </w:rPr>
                    <w:t>2</w:t>
                  </w:r>
                </w:p>
              </w:tc>
              <w:tc>
                <w:tcPr>
                  <w:tcW w:w="334" w:type="pct"/>
                  <w:vAlign w:val="center"/>
                </w:tcPr>
                <w:p>
                  <w:pPr>
                    <w:widowControl/>
                    <w:jc w:val="center"/>
                    <w:rPr>
                      <w:color w:val="auto"/>
                      <w:kern w:val="0"/>
                      <w:sz w:val="18"/>
                      <w:szCs w:val="18"/>
                    </w:rPr>
                  </w:pPr>
                  <w:r>
                    <w:rPr>
                      <w:rFonts w:hint="eastAsia"/>
                      <w:color w:val="auto"/>
                      <w:kern w:val="0"/>
                      <w:sz w:val="18"/>
                      <w:szCs w:val="18"/>
                    </w:rPr>
                    <w:t>0.0003</w:t>
                  </w:r>
                </w:p>
              </w:tc>
              <w:tc>
                <w:tcPr>
                  <w:tcW w:w="1070" w:type="pct"/>
                  <w:vAlign w:val="center"/>
                </w:tcPr>
                <w:p>
                  <w:pPr>
                    <w:widowControl/>
                    <w:jc w:val="center"/>
                    <w:rPr>
                      <w:color w:val="auto"/>
                      <w:sz w:val="18"/>
                      <w:szCs w:val="18"/>
                    </w:rPr>
                  </w:pPr>
                  <w:r>
                    <w:rPr>
                      <w:rFonts w:hint="eastAsia"/>
                      <w:color w:val="auto"/>
                      <w:sz w:val="18"/>
                      <w:szCs w:val="18"/>
                    </w:rPr>
                    <w:t>参照美国国家环保局（简称EPA）编制的《空气污染物排放系数汇编》（AP-42）中CS</w:t>
                  </w:r>
                  <w:r>
                    <w:rPr>
                      <w:rFonts w:hint="eastAsia"/>
                      <w:color w:val="auto"/>
                      <w:sz w:val="18"/>
                      <w:szCs w:val="18"/>
                      <w:vertAlign w:val="subscript"/>
                    </w:rPr>
                    <w:t>2</w:t>
                  </w:r>
                  <w:r>
                    <w:rPr>
                      <w:rFonts w:hint="eastAsia"/>
                      <w:color w:val="auto"/>
                      <w:sz w:val="18"/>
                      <w:szCs w:val="18"/>
                    </w:rPr>
                    <w:t>产生系数为3.83×10</w:t>
                  </w:r>
                  <w:r>
                    <w:rPr>
                      <w:rFonts w:hint="eastAsia"/>
                      <w:color w:val="auto"/>
                      <w:sz w:val="18"/>
                      <w:szCs w:val="18"/>
                      <w:vertAlign w:val="superscript"/>
                    </w:rPr>
                    <w:t>-6</w:t>
                  </w:r>
                  <w:r>
                    <w:rPr>
                      <w:rFonts w:hint="eastAsia"/>
                      <w:color w:val="auto"/>
                      <w:sz w:val="18"/>
                      <w:szCs w:val="18"/>
                    </w:rPr>
                    <w:t>t/t 胶料</w:t>
                  </w:r>
                </w:p>
              </w:tc>
              <w:tc>
                <w:tcPr>
                  <w:tcW w:w="929" w:type="dxa"/>
                  <w:vAlign w:val="center"/>
                </w:tcPr>
                <w:p>
                  <w:pPr>
                    <w:widowControl/>
                    <w:jc w:val="center"/>
                    <w:rPr>
                      <w:color w:val="auto"/>
                      <w:kern w:val="0"/>
                      <w:sz w:val="18"/>
                      <w:szCs w:val="18"/>
                    </w:rPr>
                  </w:pPr>
                  <w:r>
                    <w:rPr>
                      <w:rFonts w:hint="eastAsia"/>
                      <w:color w:val="auto"/>
                      <w:kern w:val="0"/>
                      <w:sz w:val="18"/>
                      <w:szCs w:val="18"/>
                    </w:rPr>
                    <w:t>集气罩收集</w:t>
                  </w:r>
                </w:p>
              </w:tc>
              <w:tc>
                <w:tcPr>
                  <w:tcW w:w="818" w:type="dxa"/>
                  <w:vAlign w:val="center"/>
                </w:tcPr>
                <w:p>
                  <w:pPr>
                    <w:widowControl/>
                    <w:jc w:val="center"/>
                    <w:rPr>
                      <w:color w:val="auto"/>
                      <w:sz w:val="18"/>
                      <w:szCs w:val="18"/>
                    </w:rPr>
                  </w:pPr>
                  <w:r>
                    <w:rPr>
                      <w:color w:val="auto"/>
                      <w:sz w:val="18"/>
                      <w:szCs w:val="18"/>
                    </w:rPr>
                    <w:t>9</w:t>
                  </w:r>
                  <w:r>
                    <w:rPr>
                      <w:rFonts w:hint="eastAsia"/>
                      <w:color w:val="auto"/>
                      <w:sz w:val="18"/>
                      <w:szCs w:val="18"/>
                    </w:rPr>
                    <w:t>0</w:t>
                  </w:r>
                </w:p>
              </w:tc>
              <w:tc>
                <w:tcPr>
                  <w:tcW w:w="301" w:type="pct"/>
                  <w:vMerge w:val="continue"/>
                  <w:vAlign w:val="center"/>
                </w:tcPr>
                <w:p>
                  <w:pPr>
                    <w:jc w:val="center"/>
                    <w:rPr>
                      <w:color w:val="auto"/>
                      <w:kern w:val="0"/>
                      <w:sz w:val="18"/>
                      <w:szCs w:val="18"/>
                    </w:rPr>
                  </w:pPr>
                </w:p>
              </w:tc>
              <w:tc>
                <w:tcPr>
                  <w:tcW w:w="344" w:type="pct"/>
                  <w:vAlign w:val="center"/>
                </w:tcPr>
                <w:p>
                  <w:pPr>
                    <w:jc w:val="center"/>
                    <w:rPr>
                      <w:color w:val="auto"/>
                      <w:sz w:val="18"/>
                      <w:szCs w:val="18"/>
                    </w:rPr>
                  </w:pPr>
                  <w:r>
                    <w:rPr>
                      <w:rFonts w:hint="eastAsia"/>
                      <w:color w:val="auto"/>
                      <w:sz w:val="18"/>
                      <w:szCs w:val="18"/>
                    </w:rPr>
                    <w:t>9</w:t>
                  </w:r>
                  <w:r>
                    <w:rPr>
                      <w:color w:val="auto"/>
                      <w:sz w:val="18"/>
                      <w:szCs w:val="18"/>
                    </w:rPr>
                    <w:t>0</w:t>
                  </w:r>
                </w:p>
              </w:tc>
              <w:tc>
                <w:tcPr>
                  <w:tcW w:w="364" w:type="pct"/>
                  <w:vAlign w:val="center"/>
                </w:tcPr>
                <w:p>
                  <w:pPr>
                    <w:jc w:val="center"/>
                    <w:rPr>
                      <w:color w:val="auto"/>
                      <w:sz w:val="18"/>
                      <w:szCs w:val="18"/>
                    </w:rPr>
                  </w:pPr>
                  <w:r>
                    <w:rPr>
                      <w:rFonts w:hint="eastAsia"/>
                      <w:color w:val="auto"/>
                      <w:sz w:val="18"/>
                      <w:szCs w:val="18"/>
                    </w:rPr>
                    <w:t>是</w:t>
                  </w:r>
                </w:p>
              </w:tc>
              <w:tc>
                <w:tcPr>
                  <w:tcW w:w="321" w:type="pct"/>
                  <w:vMerge w:val="continue"/>
                  <w:vAlign w:val="center"/>
                </w:tcPr>
                <w:p>
                  <w:pPr>
                    <w:jc w:val="center"/>
                    <w:rPr>
                      <w:color w:val="auto"/>
                      <w:sz w:val="18"/>
                      <w:szCs w:val="18"/>
                    </w:rPr>
                  </w:pPr>
                </w:p>
              </w:tc>
              <w:tc>
                <w:tcPr>
                  <w:tcW w:w="299" w:type="pct"/>
                  <w:vAlign w:val="center"/>
                </w:tcPr>
                <w:p>
                  <w:pPr>
                    <w:jc w:val="center"/>
                    <w:rPr>
                      <w:color w:val="auto"/>
                      <w:sz w:val="18"/>
                      <w:szCs w:val="18"/>
                    </w:rPr>
                  </w:pPr>
                  <w:r>
                    <w:rPr>
                      <w:color w:val="auto"/>
                      <w:sz w:val="18"/>
                      <w:szCs w:val="18"/>
                    </w:rPr>
                    <w:t>是</w:t>
                  </w:r>
                </w:p>
              </w:tc>
              <w:tc>
                <w:tcPr>
                  <w:tcW w:w="284" w:type="pct"/>
                  <w:vAlign w:val="center"/>
                </w:tcPr>
                <w:p>
                  <w:pPr>
                    <w:jc w:val="center"/>
                    <w:rPr>
                      <w:color w:val="auto"/>
                      <w:sz w:val="18"/>
                      <w:szCs w:val="18"/>
                    </w:rPr>
                  </w:pPr>
                  <w:r>
                    <w:rPr>
                      <w:color w:val="auto"/>
                      <w:sz w:val="18"/>
                      <w:szCs w:val="18"/>
                    </w:rPr>
                    <w:t>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5" w:type="pct"/>
                  <w:vMerge w:val="continue"/>
                  <w:vAlign w:val="center"/>
                </w:tcPr>
                <w:p>
                  <w:pPr>
                    <w:adjustRightInd w:val="0"/>
                    <w:snapToGrid w:val="0"/>
                    <w:jc w:val="center"/>
                    <w:rPr>
                      <w:bCs/>
                      <w:color w:val="auto"/>
                      <w:sz w:val="18"/>
                      <w:szCs w:val="18"/>
                    </w:rPr>
                  </w:pPr>
                </w:p>
              </w:tc>
              <w:tc>
                <w:tcPr>
                  <w:tcW w:w="329" w:type="pct"/>
                  <w:vMerge w:val="continue"/>
                  <w:vAlign w:val="center"/>
                </w:tcPr>
                <w:p>
                  <w:pPr>
                    <w:adjustRightInd w:val="0"/>
                    <w:snapToGrid w:val="0"/>
                    <w:jc w:val="center"/>
                    <w:rPr>
                      <w:bCs/>
                      <w:color w:val="auto"/>
                      <w:sz w:val="18"/>
                      <w:szCs w:val="18"/>
                    </w:rPr>
                  </w:pPr>
                </w:p>
              </w:tc>
              <w:tc>
                <w:tcPr>
                  <w:tcW w:w="351" w:type="pct"/>
                  <w:vAlign w:val="center"/>
                </w:tcPr>
                <w:p>
                  <w:pPr>
                    <w:widowControl/>
                    <w:jc w:val="center"/>
                    <w:rPr>
                      <w:color w:val="auto"/>
                      <w:sz w:val="18"/>
                      <w:szCs w:val="18"/>
                    </w:rPr>
                  </w:pPr>
                  <w:r>
                    <w:rPr>
                      <w:rFonts w:hint="eastAsia"/>
                      <w:color w:val="auto"/>
                      <w:sz w:val="18"/>
                      <w:szCs w:val="18"/>
                    </w:rPr>
                    <w:t>H</w:t>
                  </w:r>
                  <w:r>
                    <w:rPr>
                      <w:rFonts w:hint="eastAsia"/>
                      <w:color w:val="auto"/>
                      <w:sz w:val="18"/>
                      <w:szCs w:val="18"/>
                      <w:vertAlign w:val="subscript"/>
                    </w:rPr>
                    <w:t>2</w:t>
                  </w:r>
                  <w:r>
                    <w:rPr>
                      <w:rFonts w:hint="eastAsia"/>
                      <w:color w:val="auto"/>
                      <w:sz w:val="18"/>
                      <w:szCs w:val="18"/>
                    </w:rPr>
                    <w:t>S</w:t>
                  </w:r>
                </w:p>
              </w:tc>
              <w:tc>
                <w:tcPr>
                  <w:tcW w:w="334" w:type="pct"/>
                  <w:vAlign w:val="center"/>
                </w:tcPr>
                <w:p>
                  <w:pPr>
                    <w:widowControl/>
                    <w:jc w:val="center"/>
                    <w:rPr>
                      <w:color w:val="auto"/>
                      <w:kern w:val="0"/>
                      <w:sz w:val="18"/>
                      <w:szCs w:val="18"/>
                    </w:rPr>
                  </w:pPr>
                  <w:r>
                    <w:rPr>
                      <w:rFonts w:hint="eastAsia"/>
                      <w:color w:val="auto"/>
                      <w:kern w:val="0"/>
                      <w:sz w:val="18"/>
                      <w:szCs w:val="18"/>
                    </w:rPr>
                    <w:t>0.003</w:t>
                  </w:r>
                </w:p>
              </w:tc>
              <w:tc>
                <w:tcPr>
                  <w:tcW w:w="1070" w:type="pct"/>
                  <w:vAlign w:val="center"/>
                </w:tcPr>
                <w:p>
                  <w:pPr>
                    <w:widowControl/>
                    <w:jc w:val="center"/>
                    <w:rPr>
                      <w:color w:val="auto"/>
                      <w:sz w:val="18"/>
                      <w:szCs w:val="18"/>
                    </w:rPr>
                  </w:pPr>
                  <w:r>
                    <w:rPr>
                      <w:rFonts w:hint="eastAsia"/>
                      <w:color w:val="auto"/>
                      <w:sz w:val="18"/>
                      <w:szCs w:val="18"/>
                    </w:rPr>
                    <w:t>《橡胶制品业产排污系数核算》，H</w:t>
                  </w:r>
                  <w:r>
                    <w:rPr>
                      <w:rFonts w:hint="eastAsia"/>
                      <w:color w:val="auto"/>
                      <w:sz w:val="18"/>
                      <w:szCs w:val="18"/>
                      <w:vertAlign w:val="subscript"/>
                    </w:rPr>
                    <w:t>2</w:t>
                  </w:r>
                  <w:r>
                    <w:rPr>
                      <w:rFonts w:hint="eastAsia"/>
                      <w:color w:val="auto"/>
                      <w:sz w:val="18"/>
                      <w:szCs w:val="18"/>
                    </w:rPr>
                    <w:t>S产生量为6.4kg/t硫磺</w:t>
                  </w:r>
                </w:p>
              </w:tc>
              <w:tc>
                <w:tcPr>
                  <w:tcW w:w="929" w:type="dxa"/>
                  <w:vAlign w:val="center"/>
                </w:tcPr>
                <w:p>
                  <w:pPr>
                    <w:widowControl/>
                    <w:jc w:val="center"/>
                    <w:rPr>
                      <w:color w:val="auto"/>
                      <w:kern w:val="0"/>
                      <w:sz w:val="18"/>
                      <w:szCs w:val="18"/>
                    </w:rPr>
                  </w:pPr>
                  <w:r>
                    <w:rPr>
                      <w:rFonts w:hint="eastAsia"/>
                      <w:color w:val="auto"/>
                      <w:kern w:val="0"/>
                      <w:sz w:val="18"/>
                      <w:szCs w:val="18"/>
                    </w:rPr>
                    <w:t>集气罩收集</w:t>
                  </w:r>
                </w:p>
              </w:tc>
              <w:tc>
                <w:tcPr>
                  <w:tcW w:w="818" w:type="dxa"/>
                  <w:vAlign w:val="center"/>
                </w:tcPr>
                <w:p>
                  <w:pPr>
                    <w:widowControl/>
                    <w:jc w:val="center"/>
                    <w:rPr>
                      <w:color w:val="auto"/>
                      <w:sz w:val="18"/>
                      <w:szCs w:val="18"/>
                    </w:rPr>
                  </w:pPr>
                  <w:r>
                    <w:rPr>
                      <w:color w:val="auto"/>
                      <w:sz w:val="18"/>
                      <w:szCs w:val="18"/>
                    </w:rPr>
                    <w:t>9</w:t>
                  </w:r>
                  <w:r>
                    <w:rPr>
                      <w:rFonts w:hint="eastAsia"/>
                      <w:color w:val="auto"/>
                      <w:sz w:val="18"/>
                      <w:szCs w:val="18"/>
                    </w:rPr>
                    <w:t>0</w:t>
                  </w:r>
                </w:p>
              </w:tc>
              <w:tc>
                <w:tcPr>
                  <w:tcW w:w="301" w:type="pct"/>
                  <w:vMerge w:val="continue"/>
                  <w:vAlign w:val="center"/>
                </w:tcPr>
                <w:p>
                  <w:pPr>
                    <w:jc w:val="center"/>
                    <w:rPr>
                      <w:color w:val="auto"/>
                      <w:kern w:val="0"/>
                      <w:sz w:val="18"/>
                      <w:szCs w:val="18"/>
                    </w:rPr>
                  </w:pPr>
                </w:p>
              </w:tc>
              <w:tc>
                <w:tcPr>
                  <w:tcW w:w="344" w:type="pct"/>
                  <w:vAlign w:val="center"/>
                </w:tcPr>
                <w:p>
                  <w:pPr>
                    <w:jc w:val="center"/>
                    <w:rPr>
                      <w:color w:val="auto"/>
                      <w:sz w:val="18"/>
                      <w:szCs w:val="18"/>
                    </w:rPr>
                  </w:pPr>
                  <w:r>
                    <w:rPr>
                      <w:rFonts w:hint="eastAsia"/>
                      <w:color w:val="auto"/>
                      <w:sz w:val="18"/>
                      <w:szCs w:val="18"/>
                    </w:rPr>
                    <w:t>9</w:t>
                  </w:r>
                  <w:r>
                    <w:rPr>
                      <w:color w:val="auto"/>
                      <w:sz w:val="18"/>
                      <w:szCs w:val="18"/>
                    </w:rPr>
                    <w:t>0</w:t>
                  </w:r>
                </w:p>
              </w:tc>
              <w:tc>
                <w:tcPr>
                  <w:tcW w:w="364" w:type="pct"/>
                  <w:vAlign w:val="center"/>
                </w:tcPr>
                <w:p>
                  <w:pPr>
                    <w:jc w:val="center"/>
                    <w:rPr>
                      <w:color w:val="auto"/>
                      <w:sz w:val="18"/>
                      <w:szCs w:val="18"/>
                    </w:rPr>
                  </w:pPr>
                  <w:r>
                    <w:rPr>
                      <w:rFonts w:hint="eastAsia"/>
                      <w:color w:val="auto"/>
                      <w:sz w:val="18"/>
                      <w:szCs w:val="18"/>
                    </w:rPr>
                    <w:t>是</w:t>
                  </w:r>
                </w:p>
              </w:tc>
              <w:tc>
                <w:tcPr>
                  <w:tcW w:w="321" w:type="pct"/>
                  <w:vMerge w:val="continue"/>
                  <w:vAlign w:val="center"/>
                </w:tcPr>
                <w:p>
                  <w:pPr>
                    <w:jc w:val="center"/>
                    <w:rPr>
                      <w:color w:val="auto"/>
                      <w:sz w:val="18"/>
                      <w:szCs w:val="18"/>
                    </w:rPr>
                  </w:pPr>
                </w:p>
              </w:tc>
              <w:tc>
                <w:tcPr>
                  <w:tcW w:w="299" w:type="pct"/>
                  <w:vAlign w:val="center"/>
                </w:tcPr>
                <w:p>
                  <w:pPr>
                    <w:jc w:val="center"/>
                    <w:rPr>
                      <w:color w:val="auto"/>
                      <w:sz w:val="18"/>
                      <w:szCs w:val="18"/>
                    </w:rPr>
                  </w:pPr>
                  <w:r>
                    <w:rPr>
                      <w:color w:val="auto"/>
                      <w:sz w:val="18"/>
                      <w:szCs w:val="18"/>
                    </w:rPr>
                    <w:t>是</w:t>
                  </w:r>
                </w:p>
              </w:tc>
              <w:tc>
                <w:tcPr>
                  <w:tcW w:w="284" w:type="pct"/>
                  <w:vAlign w:val="center"/>
                </w:tcPr>
                <w:p>
                  <w:pPr>
                    <w:jc w:val="center"/>
                    <w:rPr>
                      <w:color w:val="auto"/>
                      <w:sz w:val="18"/>
                      <w:szCs w:val="18"/>
                    </w:rPr>
                  </w:pPr>
                  <w:r>
                    <w:rPr>
                      <w:color w:val="auto"/>
                      <w:sz w:val="18"/>
                      <w:szCs w:val="18"/>
                    </w:rPr>
                    <w:t>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5" w:type="pct"/>
                  <w:vAlign w:val="center"/>
                </w:tcPr>
                <w:p>
                  <w:pPr>
                    <w:adjustRightInd w:val="0"/>
                    <w:snapToGrid w:val="0"/>
                    <w:jc w:val="center"/>
                    <w:rPr>
                      <w:color w:val="auto"/>
                      <w:sz w:val="18"/>
                      <w:szCs w:val="18"/>
                    </w:rPr>
                  </w:pPr>
                  <w:r>
                    <w:rPr>
                      <w:rFonts w:hint="eastAsia"/>
                      <w:color w:val="auto"/>
                      <w:sz w:val="18"/>
                      <w:szCs w:val="18"/>
                    </w:rPr>
                    <w:t>注塑废气</w:t>
                  </w:r>
                </w:p>
              </w:tc>
              <w:tc>
                <w:tcPr>
                  <w:tcW w:w="329" w:type="pct"/>
                  <w:vAlign w:val="center"/>
                </w:tcPr>
                <w:p>
                  <w:pPr>
                    <w:adjustRightInd w:val="0"/>
                    <w:snapToGrid w:val="0"/>
                    <w:jc w:val="center"/>
                    <w:rPr>
                      <w:color w:val="auto"/>
                      <w:sz w:val="18"/>
                      <w:szCs w:val="18"/>
                    </w:rPr>
                  </w:pPr>
                  <w:r>
                    <w:rPr>
                      <w:rFonts w:hint="eastAsia"/>
                      <w:color w:val="auto"/>
                      <w:kern w:val="0"/>
                      <w:sz w:val="18"/>
                      <w:szCs w:val="18"/>
                    </w:rPr>
                    <w:t>G2-1</w:t>
                  </w:r>
                </w:p>
              </w:tc>
              <w:tc>
                <w:tcPr>
                  <w:tcW w:w="351" w:type="pct"/>
                  <w:vAlign w:val="center"/>
                </w:tcPr>
                <w:p>
                  <w:pPr>
                    <w:widowControl/>
                    <w:jc w:val="center"/>
                    <w:rPr>
                      <w:color w:val="auto"/>
                      <w:sz w:val="18"/>
                      <w:szCs w:val="18"/>
                    </w:rPr>
                  </w:pPr>
                  <w:r>
                    <w:rPr>
                      <w:rFonts w:hint="eastAsia"/>
                      <w:color w:val="auto"/>
                      <w:sz w:val="18"/>
                      <w:szCs w:val="18"/>
                    </w:rPr>
                    <w:t>非甲烷总烃</w:t>
                  </w:r>
                </w:p>
              </w:tc>
              <w:tc>
                <w:tcPr>
                  <w:tcW w:w="334" w:type="pct"/>
                  <w:vAlign w:val="center"/>
                </w:tcPr>
                <w:p>
                  <w:pPr>
                    <w:widowControl/>
                    <w:jc w:val="center"/>
                    <w:rPr>
                      <w:color w:val="auto"/>
                      <w:kern w:val="0"/>
                      <w:sz w:val="18"/>
                      <w:szCs w:val="18"/>
                    </w:rPr>
                  </w:pPr>
                  <w:r>
                    <w:rPr>
                      <w:rFonts w:hint="eastAsia"/>
                      <w:color w:val="auto"/>
                      <w:kern w:val="0"/>
                      <w:sz w:val="18"/>
                      <w:szCs w:val="18"/>
                    </w:rPr>
                    <w:t>0.011</w:t>
                  </w:r>
                </w:p>
              </w:tc>
              <w:tc>
                <w:tcPr>
                  <w:tcW w:w="1070" w:type="pct"/>
                  <w:vAlign w:val="center"/>
                </w:tcPr>
                <w:p>
                  <w:pPr>
                    <w:widowControl/>
                    <w:jc w:val="center"/>
                    <w:rPr>
                      <w:color w:val="auto"/>
                      <w:sz w:val="18"/>
                      <w:szCs w:val="18"/>
                    </w:rPr>
                  </w:pPr>
                  <w:r>
                    <w:rPr>
                      <w:rFonts w:hint="eastAsia"/>
                      <w:color w:val="auto"/>
                      <w:sz w:val="18"/>
                      <w:szCs w:val="18"/>
                    </w:rPr>
                    <w:t>参照《空气污染物排放和控制手册》（美国国家环保局）中推荐的公式，非甲烷总烃的排放系数为0.35kg/t原料</w:t>
                  </w:r>
                </w:p>
              </w:tc>
              <w:tc>
                <w:tcPr>
                  <w:tcW w:w="327" w:type="pct"/>
                  <w:vAlign w:val="center"/>
                </w:tcPr>
                <w:p>
                  <w:pPr>
                    <w:widowControl/>
                    <w:jc w:val="center"/>
                    <w:rPr>
                      <w:snapToGrid w:val="0"/>
                      <w:color w:val="auto"/>
                      <w:kern w:val="0"/>
                      <w:sz w:val="18"/>
                      <w:szCs w:val="18"/>
                    </w:rPr>
                  </w:pPr>
                  <w:r>
                    <w:rPr>
                      <w:rFonts w:hint="eastAsia"/>
                      <w:color w:val="auto"/>
                      <w:kern w:val="0"/>
                      <w:sz w:val="18"/>
                      <w:szCs w:val="18"/>
                    </w:rPr>
                    <w:t>集气罩收集</w:t>
                  </w:r>
                </w:p>
              </w:tc>
              <w:tc>
                <w:tcPr>
                  <w:tcW w:w="288" w:type="pct"/>
                  <w:vAlign w:val="center"/>
                </w:tcPr>
                <w:p>
                  <w:pPr>
                    <w:widowControl/>
                    <w:jc w:val="center"/>
                    <w:rPr>
                      <w:color w:val="auto"/>
                      <w:sz w:val="18"/>
                      <w:szCs w:val="18"/>
                    </w:rPr>
                  </w:pPr>
                  <w:r>
                    <w:rPr>
                      <w:color w:val="auto"/>
                      <w:sz w:val="18"/>
                      <w:szCs w:val="18"/>
                    </w:rPr>
                    <w:t>9</w:t>
                  </w:r>
                  <w:r>
                    <w:rPr>
                      <w:rFonts w:hint="eastAsia"/>
                      <w:color w:val="auto"/>
                      <w:sz w:val="18"/>
                      <w:szCs w:val="18"/>
                    </w:rPr>
                    <w:t>0</w:t>
                  </w:r>
                </w:p>
              </w:tc>
              <w:tc>
                <w:tcPr>
                  <w:tcW w:w="301" w:type="pct"/>
                  <w:vMerge w:val="continue"/>
                  <w:vAlign w:val="center"/>
                </w:tcPr>
                <w:p>
                  <w:pPr>
                    <w:widowControl/>
                    <w:jc w:val="center"/>
                    <w:rPr>
                      <w:color w:val="auto"/>
                      <w:kern w:val="0"/>
                      <w:sz w:val="18"/>
                      <w:szCs w:val="18"/>
                    </w:rPr>
                  </w:pPr>
                </w:p>
              </w:tc>
              <w:tc>
                <w:tcPr>
                  <w:tcW w:w="344" w:type="pct"/>
                  <w:vAlign w:val="center"/>
                </w:tcPr>
                <w:p>
                  <w:pPr>
                    <w:jc w:val="center"/>
                    <w:rPr>
                      <w:color w:val="auto"/>
                      <w:sz w:val="18"/>
                      <w:szCs w:val="18"/>
                    </w:rPr>
                  </w:pPr>
                  <w:r>
                    <w:rPr>
                      <w:rFonts w:hint="eastAsia"/>
                      <w:color w:val="auto"/>
                      <w:sz w:val="18"/>
                      <w:szCs w:val="18"/>
                    </w:rPr>
                    <w:t>9</w:t>
                  </w:r>
                  <w:r>
                    <w:rPr>
                      <w:color w:val="auto"/>
                      <w:sz w:val="18"/>
                      <w:szCs w:val="18"/>
                    </w:rPr>
                    <w:t>0</w:t>
                  </w:r>
                </w:p>
              </w:tc>
              <w:tc>
                <w:tcPr>
                  <w:tcW w:w="364" w:type="pct"/>
                  <w:vAlign w:val="center"/>
                </w:tcPr>
                <w:p>
                  <w:pPr>
                    <w:jc w:val="center"/>
                    <w:rPr>
                      <w:color w:val="auto"/>
                      <w:sz w:val="18"/>
                      <w:szCs w:val="18"/>
                    </w:rPr>
                  </w:pPr>
                  <w:r>
                    <w:rPr>
                      <w:rFonts w:hint="eastAsia"/>
                      <w:color w:val="auto"/>
                      <w:sz w:val="18"/>
                      <w:szCs w:val="18"/>
                    </w:rPr>
                    <w:t>是</w:t>
                  </w:r>
                </w:p>
              </w:tc>
              <w:tc>
                <w:tcPr>
                  <w:tcW w:w="321" w:type="pct"/>
                  <w:vMerge w:val="continue"/>
                  <w:shd w:val="clear" w:color="auto" w:fill="auto"/>
                  <w:vAlign w:val="center"/>
                </w:tcPr>
                <w:p>
                  <w:pPr>
                    <w:jc w:val="center"/>
                    <w:rPr>
                      <w:color w:val="auto"/>
                      <w:sz w:val="18"/>
                      <w:szCs w:val="18"/>
                    </w:rPr>
                  </w:pPr>
                </w:p>
              </w:tc>
              <w:tc>
                <w:tcPr>
                  <w:tcW w:w="299" w:type="pct"/>
                  <w:vAlign w:val="center"/>
                </w:tcPr>
                <w:p>
                  <w:pPr>
                    <w:jc w:val="center"/>
                    <w:rPr>
                      <w:color w:val="auto"/>
                      <w:sz w:val="18"/>
                      <w:szCs w:val="18"/>
                    </w:rPr>
                  </w:pPr>
                  <w:r>
                    <w:rPr>
                      <w:color w:val="auto"/>
                      <w:sz w:val="18"/>
                      <w:szCs w:val="18"/>
                    </w:rPr>
                    <w:t>是</w:t>
                  </w:r>
                </w:p>
              </w:tc>
              <w:tc>
                <w:tcPr>
                  <w:tcW w:w="284" w:type="pct"/>
                  <w:vAlign w:val="center"/>
                </w:tcPr>
                <w:p>
                  <w:pPr>
                    <w:jc w:val="center"/>
                    <w:rPr>
                      <w:color w:val="auto"/>
                      <w:sz w:val="18"/>
                      <w:szCs w:val="18"/>
                    </w:rPr>
                  </w:pPr>
                  <w:r>
                    <w:rPr>
                      <w:rFonts w:hint="eastAsia"/>
                      <w:color w:val="auto"/>
                      <w:sz w:val="18"/>
                      <w:szCs w:val="18"/>
                    </w:rPr>
                    <w:t>是</w:t>
                  </w:r>
                </w:p>
              </w:tc>
            </w:tr>
          </w:tbl>
          <w:p>
            <w:pPr>
              <w:adjustRightInd w:val="0"/>
              <w:snapToGrid w:val="0"/>
              <w:spacing w:line="360" w:lineRule="auto"/>
              <w:ind w:firstLine="420" w:firstLineChars="200"/>
              <w:rPr>
                <w:color w:val="auto"/>
                <w:kern w:val="0"/>
                <w:szCs w:val="21"/>
              </w:rPr>
            </w:pPr>
          </w:p>
          <w:p>
            <w:pPr>
              <w:pStyle w:val="47"/>
              <w:rPr>
                <w:color w:val="auto"/>
                <w:szCs w:val="21"/>
              </w:rPr>
            </w:pPr>
          </w:p>
          <w:p>
            <w:pPr>
              <w:pStyle w:val="47"/>
              <w:rPr>
                <w:color w:val="auto"/>
                <w:szCs w:val="21"/>
              </w:rPr>
            </w:pPr>
          </w:p>
          <w:p>
            <w:pPr>
              <w:pStyle w:val="47"/>
              <w:rPr>
                <w:color w:val="auto"/>
                <w:szCs w:val="21"/>
              </w:rPr>
            </w:pPr>
          </w:p>
          <w:p>
            <w:pPr>
              <w:pStyle w:val="47"/>
              <w:rPr>
                <w:color w:val="auto"/>
                <w:szCs w:val="21"/>
              </w:rPr>
            </w:pPr>
          </w:p>
          <w:p>
            <w:pPr>
              <w:adjustRightInd w:val="0"/>
              <w:snapToGrid w:val="0"/>
              <w:spacing w:line="360" w:lineRule="auto"/>
              <w:ind w:firstLine="420" w:firstLineChars="200"/>
              <w:jc w:val="left"/>
              <w:rPr>
                <w:color w:val="auto"/>
                <w:kern w:val="0"/>
                <w:szCs w:val="21"/>
              </w:rPr>
            </w:pPr>
            <w:r>
              <w:rPr>
                <w:color w:val="auto"/>
                <w:kern w:val="0"/>
                <w:szCs w:val="21"/>
              </w:rPr>
              <w:t>建设项目有组织废气产生及排放情况一览表见表4-</w:t>
            </w:r>
            <w:r>
              <w:rPr>
                <w:rFonts w:hint="eastAsia"/>
                <w:color w:val="auto"/>
                <w:kern w:val="0"/>
                <w:szCs w:val="21"/>
              </w:rPr>
              <w:t>4</w:t>
            </w:r>
            <w:r>
              <w:rPr>
                <w:color w:val="auto"/>
                <w:kern w:val="0"/>
                <w:szCs w:val="21"/>
              </w:rPr>
              <w:t>。</w:t>
            </w:r>
          </w:p>
          <w:p>
            <w:pPr>
              <w:adjustRightInd w:val="0"/>
              <w:snapToGrid w:val="0"/>
              <w:ind w:firstLine="422" w:firstLineChars="200"/>
              <w:jc w:val="center"/>
              <w:rPr>
                <w:b/>
                <w:bCs/>
                <w:color w:val="auto"/>
                <w:kern w:val="0"/>
                <w:szCs w:val="21"/>
              </w:rPr>
            </w:pPr>
            <w:r>
              <w:rPr>
                <w:b/>
                <w:bCs/>
                <w:color w:val="auto"/>
                <w:kern w:val="0"/>
                <w:szCs w:val="21"/>
              </w:rPr>
              <w:t>表4-</w:t>
            </w:r>
            <w:r>
              <w:rPr>
                <w:rFonts w:hint="eastAsia"/>
                <w:b/>
                <w:bCs/>
                <w:color w:val="auto"/>
                <w:kern w:val="0"/>
                <w:szCs w:val="21"/>
              </w:rPr>
              <w:t>4</w:t>
            </w:r>
            <w:r>
              <w:rPr>
                <w:b/>
                <w:bCs/>
                <w:color w:val="auto"/>
                <w:kern w:val="0"/>
                <w:szCs w:val="21"/>
              </w:rPr>
              <w:t xml:space="preserve">  项目有组织废气产生及排放情况一览表</w:t>
            </w:r>
          </w:p>
          <w:tbl>
            <w:tblPr>
              <w:tblStyle w:val="38"/>
              <w:tblW w:w="498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76"/>
              <w:gridCol w:w="705"/>
              <w:gridCol w:w="824"/>
              <w:gridCol w:w="734"/>
              <w:gridCol w:w="899"/>
              <w:gridCol w:w="855"/>
              <w:gridCol w:w="734"/>
              <w:gridCol w:w="780"/>
              <w:gridCol w:w="780"/>
              <w:gridCol w:w="705"/>
              <w:gridCol w:w="780"/>
              <w:gridCol w:w="839"/>
              <w:gridCol w:w="675"/>
              <w:gridCol w:w="630"/>
              <w:gridCol w:w="645"/>
              <w:gridCol w:w="600"/>
              <w:gridCol w:w="421"/>
              <w:gridCol w:w="720"/>
              <w:gridCol w:w="855"/>
              <w:gridCol w:w="7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4" w:type="dxa"/>
                  <w:vMerge w:val="restart"/>
                  <w:vAlign w:val="center"/>
                </w:tcPr>
                <w:p>
                  <w:pPr>
                    <w:jc w:val="center"/>
                    <w:rPr>
                      <w:b/>
                      <w:bCs/>
                      <w:color w:val="auto"/>
                      <w:sz w:val="18"/>
                      <w:szCs w:val="18"/>
                    </w:rPr>
                  </w:pPr>
                  <w:r>
                    <w:rPr>
                      <w:b/>
                      <w:bCs/>
                      <w:color w:val="auto"/>
                      <w:sz w:val="18"/>
                      <w:szCs w:val="18"/>
                    </w:rPr>
                    <w:t>序号</w:t>
                  </w:r>
                </w:p>
              </w:tc>
              <w:tc>
                <w:tcPr>
                  <w:tcW w:w="705" w:type="dxa"/>
                  <w:vMerge w:val="restart"/>
                  <w:vAlign w:val="center"/>
                </w:tcPr>
                <w:p>
                  <w:pPr>
                    <w:jc w:val="center"/>
                    <w:rPr>
                      <w:b/>
                      <w:bCs/>
                      <w:color w:val="auto"/>
                      <w:sz w:val="18"/>
                      <w:szCs w:val="18"/>
                    </w:rPr>
                  </w:pPr>
                  <w:r>
                    <w:rPr>
                      <w:b/>
                      <w:bCs/>
                      <w:color w:val="auto"/>
                      <w:sz w:val="18"/>
                      <w:szCs w:val="18"/>
                    </w:rPr>
                    <w:t>废气产污环节</w:t>
                  </w:r>
                </w:p>
              </w:tc>
              <w:tc>
                <w:tcPr>
                  <w:tcW w:w="825" w:type="dxa"/>
                  <w:vMerge w:val="restart"/>
                  <w:vAlign w:val="center"/>
                </w:tcPr>
                <w:p>
                  <w:pPr>
                    <w:jc w:val="center"/>
                    <w:rPr>
                      <w:b/>
                      <w:bCs/>
                      <w:color w:val="auto"/>
                      <w:sz w:val="18"/>
                      <w:szCs w:val="18"/>
                    </w:rPr>
                  </w:pPr>
                  <w:r>
                    <w:rPr>
                      <w:b/>
                      <w:bCs/>
                      <w:color w:val="auto"/>
                      <w:sz w:val="18"/>
                      <w:szCs w:val="18"/>
                    </w:rPr>
                    <w:t>污染物种类</w:t>
                  </w:r>
                </w:p>
              </w:tc>
              <w:tc>
                <w:tcPr>
                  <w:tcW w:w="735" w:type="dxa"/>
                  <w:vMerge w:val="restart"/>
                  <w:vAlign w:val="center"/>
                </w:tcPr>
                <w:p>
                  <w:pPr>
                    <w:jc w:val="center"/>
                    <w:rPr>
                      <w:b/>
                      <w:bCs/>
                      <w:color w:val="auto"/>
                      <w:sz w:val="18"/>
                      <w:szCs w:val="18"/>
                    </w:rPr>
                  </w:pPr>
                  <w:r>
                    <w:rPr>
                      <w:rFonts w:hint="eastAsia"/>
                      <w:b/>
                      <w:bCs/>
                      <w:color w:val="auto"/>
                      <w:sz w:val="18"/>
                      <w:szCs w:val="18"/>
                    </w:rPr>
                    <w:t>排放</w:t>
                  </w:r>
                </w:p>
                <w:p>
                  <w:pPr>
                    <w:jc w:val="center"/>
                    <w:rPr>
                      <w:b/>
                      <w:bCs/>
                      <w:color w:val="auto"/>
                      <w:sz w:val="18"/>
                      <w:szCs w:val="18"/>
                    </w:rPr>
                  </w:pPr>
                  <w:r>
                    <w:rPr>
                      <w:rFonts w:hint="eastAsia"/>
                      <w:b/>
                      <w:bCs/>
                      <w:color w:val="auto"/>
                      <w:sz w:val="18"/>
                      <w:szCs w:val="18"/>
                    </w:rPr>
                    <w:t>时间（h）</w:t>
                  </w:r>
                </w:p>
              </w:tc>
              <w:tc>
                <w:tcPr>
                  <w:tcW w:w="900" w:type="dxa"/>
                  <w:vMerge w:val="restart"/>
                  <w:vAlign w:val="center"/>
                </w:tcPr>
                <w:p>
                  <w:pPr>
                    <w:jc w:val="center"/>
                    <w:rPr>
                      <w:b/>
                      <w:bCs/>
                      <w:color w:val="auto"/>
                      <w:sz w:val="18"/>
                      <w:szCs w:val="18"/>
                    </w:rPr>
                  </w:pPr>
                  <w:r>
                    <w:rPr>
                      <w:b/>
                      <w:bCs/>
                      <w:color w:val="auto"/>
                      <w:sz w:val="18"/>
                      <w:szCs w:val="18"/>
                    </w:rPr>
                    <w:t>排</w:t>
                  </w:r>
                  <w:r>
                    <w:rPr>
                      <w:rFonts w:hint="eastAsia"/>
                      <w:b/>
                      <w:bCs/>
                      <w:color w:val="auto"/>
                      <w:sz w:val="18"/>
                      <w:szCs w:val="18"/>
                    </w:rPr>
                    <w:t>风量</w:t>
                  </w:r>
                  <w:r>
                    <w:rPr>
                      <w:b/>
                      <w:bCs/>
                      <w:color w:val="auto"/>
                      <w:sz w:val="18"/>
                      <w:szCs w:val="18"/>
                    </w:rPr>
                    <w:t>（m</w:t>
                  </w:r>
                  <w:r>
                    <w:rPr>
                      <w:b/>
                      <w:bCs/>
                      <w:color w:val="auto"/>
                      <w:sz w:val="18"/>
                      <w:szCs w:val="18"/>
                      <w:vertAlign w:val="superscript"/>
                    </w:rPr>
                    <w:t>3</w:t>
                  </w:r>
                  <w:r>
                    <w:rPr>
                      <w:b/>
                      <w:bCs/>
                      <w:color w:val="auto"/>
                      <w:sz w:val="18"/>
                      <w:szCs w:val="18"/>
                    </w:rPr>
                    <w:t>/h）</w:t>
                  </w:r>
                </w:p>
              </w:tc>
              <w:tc>
                <w:tcPr>
                  <w:tcW w:w="2370" w:type="dxa"/>
                  <w:gridSpan w:val="3"/>
                  <w:vAlign w:val="center"/>
                </w:tcPr>
                <w:p>
                  <w:pPr>
                    <w:jc w:val="center"/>
                    <w:rPr>
                      <w:b/>
                      <w:bCs/>
                      <w:color w:val="auto"/>
                      <w:sz w:val="18"/>
                      <w:szCs w:val="18"/>
                    </w:rPr>
                  </w:pPr>
                  <w:r>
                    <w:rPr>
                      <w:b/>
                      <w:bCs/>
                      <w:color w:val="auto"/>
                      <w:sz w:val="18"/>
                      <w:szCs w:val="18"/>
                    </w:rPr>
                    <w:t>产生情况</w:t>
                  </w:r>
                </w:p>
              </w:tc>
              <w:tc>
                <w:tcPr>
                  <w:tcW w:w="2265" w:type="dxa"/>
                  <w:gridSpan w:val="3"/>
                  <w:vAlign w:val="center"/>
                </w:tcPr>
                <w:p>
                  <w:pPr>
                    <w:jc w:val="center"/>
                    <w:rPr>
                      <w:b/>
                      <w:bCs/>
                      <w:color w:val="auto"/>
                      <w:sz w:val="18"/>
                      <w:szCs w:val="18"/>
                    </w:rPr>
                  </w:pPr>
                  <w:r>
                    <w:rPr>
                      <w:rFonts w:hint="eastAsia"/>
                      <w:b/>
                      <w:bCs/>
                      <w:color w:val="auto"/>
                      <w:sz w:val="18"/>
                      <w:szCs w:val="18"/>
                    </w:rPr>
                    <w:t>最大</w:t>
                  </w:r>
                  <w:r>
                    <w:rPr>
                      <w:b/>
                      <w:bCs/>
                      <w:color w:val="auto"/>
                      <w:sz w:val="18"/>
                      <w:szCs w:val="18"/>
                    </w:rPr>
                    <w:t>排放情况</w:t>
                  </w:r>
                  <w:r>
                    <w:rPr>
                      <w:rFonts w:hint="eastAsia"/>
                      <w:b/>
                      <w:bCs/>
                      <w:color w:val="auto"/>
                      <w:sz w:val="18"/>
                      <w:szCs w:val="18"/>
                    </w:rPr>
                    <w:t>*</w:t>
                  </w:r>
                </w:p>
              </w:tc>
              <w:tc>
                <w:tcPr>
                  <w:tcW w:w="4530" w:type="dxa"/>
                  <w:gridSpan w:val="7"/>
                  <w:vAlign w:val="center"/>
                </w:tcPr>
                <w:p>
                  <w:pPr>
                    <w:jc w:val="center"/>
                    <w:rPr>
                      <w:b/>
                      <w:bCs/>
                      <w:color w:val="auto"/>
                      <w:sz w:val="18"/>
                      <w:szCs w:val="18"/>
                    </w:rPr>
                  </w:pPr>
                  <w:r>
                    <w:rPr>
                      <w:b/>
                      <w:bCs/>
                      <w:color w:val="auto"/>
                      <w:sz w:val="18"/>
                      <w:szCs w:val="18"/>
                    </w:rPr>
                    <w:t>排放口基本情况</w:t>
                  </w:r>
                </w:p>
              </w:tc>
              <w:tc>
                <w:tcPr>
                  <w:tcW w:w="1570" w:type="dxa"/>
                  <w:gridSpan w:val="2"/>
                  <w:vAlign w:val="center"/>
                </w:tcPr>
                <w:p>
                  <w:pPr>
                    <w:jc w:val="center"/>
                    <w:rPr>
                      <w:b/>
                      <w:bCs/>
                      <w:color w:val="auto"/>
                      <w:sz w:val="18"/>
                      <w:szCs w:val="18"/>
                    </w:rPr>
                  </w:pPr>
                  <w:r>
                    <w:rPr>
                      <w:b/>
                      <w:bCs/>
                      <w:color w:val="auto"/>
                      <w:sz w:val="18"/>
                      <w:szCs w:val="18"/>
                    </w:rPr>
                    <w:t>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74" w:type="dxa"/>
                  <w:vMerge w:val="continue"/>
                  <w:vAlign w:val="center"/>
                </w:tcPr>
                <w:p>
                  <w:pPr>
                    <w:jc w:val="center"/>
                    <w:rPr>
                      <w:b/>
                      <w:bCs/>
                      <w:color w:val="auto"/>
                      <w:sz w:val="18"/>
                      <w:szCs w:val="18"/>
                    </w:rPr>
                  </w:pPr>
                </w:p>
              </w:tc>
              <w:tc>
                <w:tcPr>
                  <w:tcW w:w="705" w:type="dxa"/>
                  <w:vMerge w:val="continue"/>
                  <w:vAlign w:val="center"/>
                </w:tcPr>
                <w:p>
                  <w:pPr>
                    <w:jc w:val="center"/>
                    <w:rPr>
                      <w:b/>
                      <w:bCs/>
                      <w:color w:val="auto"/>
                      <w:sz w:val="18"/>
                      <w:szCs w:val="18"/>
                    </w:rPr>
                  </w:pPr>
                </w:p>
              </w:tc>
              <w:tc>
                <w:tcPr>
                  <w:tcW w:w="825" w:type="dxa"/>
                  <w:vMerge w:val="continue"/>
                  <w:vAlign w:val="center"/>
                </w:tcPr>
                <w:p>
                  <w:pPr>
                    <w:jc w:val="center"/>
                    <w:rPr>
                      <w:b/>
                      <w:bCs/>
                      <w:color w:val="auto"/>
                      <w:sz w:val="18"/>
                      <w:szCs w:val="18"/>
                    </w:rPr>
                  </w:pPr>
                </w:p>
              </w:tc>
              <w:tc>
                <w:tcPr>
                  <w:tcW w:w="735" w:type="dxa"/>
                  <w:vMerge w:val="continue"/>
                  <w:vAlign w:val="center"/>
                </w:tcPr>
                <w:p>
                  <w:pPr>
                    <w:jc w:val="center"/>
                    <w:rPr>
                      <w:b/>
                      <w:bCs/>
                      <w:color w:val="auto"/>
                      <w:sz w:val="18"/>
                      <w:szCs w:val="18"/>
                    </w:rPr>
                  </w:pPr>
                </w:p>
              </w:tc>
              <w:tc>
                <w:tcPr>
                  <w:tcW w:w="900" w:type="dxa"/>
                  <w:vMerge w:val="continue"/>
                  <w:vAlign w:val="center"/>
                </w:tcPr>
                <w:p>
                  <w:pPr>
                    <w:jc w:val="center"/>
                    <w:rPr>
                      <w:b/>
                      <w:bCs/>
                      <w:color w:val="auto"/>
                      <w:sz w:val="18"/>
                      <w:szCs w:val="18"/>
                    </w:rPr>
                  </w:pPr>
                </w:p>
              </w:tc>
              <w:tc>
                <w:tcPr>
                  <w:tcW w:w="855" w:type="dxa"/>
                  <w:vAlign w:val="center"/>
                </w:tcPr>
                <w:p>
                  <w:pPr>
                    <w:jc w:val="center"/>
                    <w:rPr>
                      <w:b/>
                      <w:bCs/>
                      <w:color w:val="auto"/>
                      <w:sz w:val="18"/>
                      <w:szCs w:val="18"/>
                    </w:rPr>
                  </w:pPr>
                  <w:r>
                    <w:rPr>
                      <w:b/>
                      <w:bCs/>
                      <w:color w:val="auto"/>
                      <w:sz w:val="18"/>
                      <w:szCs w:val="18"/>
                    </w:rPr>
                    <w:t>浓度(mg/m</w:t>
                  </w:r>
                  <w:r>
                    <w:rPr>
                      <w:b/>
                      <w:bCs/>
                      <w:color w:val="auto"/>
                      <w:sz w:val="18"/>
                      <w:szCs w:val="18"/>
                      <w:vertAlign w:val="superscript"/>
                    </w:rPr>
                    <w:t>3</w:t>
                  </w:r>
                  <w:r>
                    <w:rPr>
                      <w:b/>
                      <w:bCs/>
                      <w:color w:val="auto"/>
                      <w:sz w:val="18"/>
                      <w:szCs w:val="18"/>
                    </w:rPr>
                    <w:t>)</w:t>
                  </w:r>
                </w:p>
              </w:tc>
              <w:tc>
                <w:tcPr>
                  <w:tcW w:w="735" w:type="dxa"/>
                  <w:vAlign w:val="center"/>
                </w:tcPr>
                <w:p>
                  <w:pPr>
                    <w:jc w:val="center"/>
                    <w:rPr>
                      <w:b/>
                      <w:bCs/>
                      <w:color w:val="auto"/>
                      <w:sz w:val="18"/>
                      <w:szCs w:val="18"/>
                    </w:rPr>
                  </w:pPr>
                  <w:r>
                    <w:rPr>
                      <w:b/>
                      <w:bCs/>
                      <w:color w:val="auto"/>
                      <w:sz w:val="18"/>
                      <w:szCs w:val="18"/>
                    </w:rPr>
                    <w:t>速率(kg/h)</w:t>
                  </w:r>
                </w:p>
              </w:tc>
              <w:tc>
                <w:tcPr>
                  <w:tcW w:w="780" w:type="dxa"/>
                  <w:vAlign w:val="center"/>
                </w:tcPr>
                <w:p>
                  <w:pPr>
                    <w:jc w:val="center"/>
                    <w:rPr>
                      <w:b/>
                      <w:bCs/>
                      <w:color w:val="auto"/>
                      <w:sz w:val="18"/>
                      <w:szCs w:val="18"/>
                    </w:rPr>
                  </w:pPr>
                  <w:r>
                    <w:rPr>
                      <w:b/>
                      <w:bCs/>
                      <w:color w:val="auto"/>
                      <w:sz w:val="18"/>
                      <w:szCs w:val="18"/>
                    </w:rPr>
                    <w:t>产生量（t/a）</w:t>
                  </w:r>
                </w:p>
              </w:tc>
              <w:tc>
                <w:tcPr>
                  <w:tcW w:w="780" w:type="dxa"/>
                  <w:vAlign w:val="center"/>
                </w:tcPr>
                <w:p>
                  <w:pPr>
                    <w:jc w:val="center"/>
                    <w:rPr>
                      <w:b/>
                      <w:bCs/>
                      <w:color w:val="auto"/>
                      <w:sz w:val="18"/>
                      <w:szCs w:val="18"/>
                    </w:rPr>
                  </w:pPr>
                  <w:r>
                    <w:rPr>
                      <w:b/>
                      <w:bCs/>
                      <w:color w:val="auto"/>
                      <w:sz w:val="18"/>
                      <w:szCs w:val="18"/>
                    </w:rPr>
                    <w:t>浓度(mg/m</w:t>
                  </w:r>
                  <w:r>
                    <w:rPr>
                      <w:b/>
                      <w:bCs/>
                      <w:color w:val="auto"/>
                      <w:sz w:val="18"/>
                      <w:szCs w:val="18"/>
                      <w:vertAlign w:val="superscript"/>
                    </w:rPr>
                    <w:t>3</w:t>
                  </w:r>
                  <w:r>
                    <w:rPr>
                      <w:b/>
                      <w:bCs/>
                      <w:color w:val="auto"/>
                      <w:sz w:val="18"/>
                      <w:szCs w:val="18"/>
                    </w:rPr>
                    <w:t>)</w:t>
                  </w:r>
                </w:p>
              </w:tc>
              <w:tc>
                <w:tcPr>
                  <w:tcW w:w="705" w:type="dxa"/>
                  <w:vAlign w:val="center"/>
                </w:tcPr>
                <w:p>
                  <w:pPr>
                    <w:jc w:val="center"/>
                    <w:rPr>
                      <w:b/>
                      <w:bCs/>
                      <w:color w:val="auto"/>
                      <w:sz w:val="18"/>
                      <w:szCs w:val="18"/>
                    </w:rPr>
                  </w:pPr>
                  <w:r>
                    <w:rPr>
                      <w:b/>
                      <w:bCs/>
                      <w:color w:val="auto"/>
                      <w:sz w:val="18"/>
                      <w:szCs w:val="18"/>
                    </w:rPr>
                    <w:t>速率(kg/h)</w:t>
                  </w:r>
                </w:p>
              </w:tc>
              <w:tc>
                <w:tcPr>
                  <w:tcW w:w="780" w:type="dxa"/>
                  <w:vAlign w:val="center"/>
                </w:tcPr>
                <w:p>
                  <w:pPr>
                    <w:jc w:val="center"/>
                    <w:rPr>
                      <w:b/>
                      <w:bCs/>
                      <w:color w:val="auto"/>
                      <w:sz w:val="18"/>
                      <w:szCs w:val="18"/>
                    </w:rPr>
                  </w:pPr>
                  <w:r>
                    <w:rPr>
                      <w:b/>
                      <w:bCs/>
                      <w:color w:val="auto"/>
                      <w:sz w:val="18"/>
                      <w:szCs w:val="18"/>
                    </w:rPr>
                    <w:t>排放量（t/a）</w:t>
                  </w:r>
                </w:p>
              </w:tc>
              <w:tc>
                <w:tcPr>
                  <w:tcW w:w="840" w:type="dxa"/>
                  <w:vAlign w:val="center"/>
                </w:tcPr>
                <w:p>
                  <w:pPr>
                    <w:jc w:val="center"/>
                    <w:rPr>
                      <w:b/>
                      <w:bCs/>
                      <w:color w:val="auto"/>
                      <w:sz w:val="18"/>
                      <w:szCs w:val="18"/>
                    </w:rPr>
                  </w:pPr>
                  <w:r>
                    <w:rPr>
                      <w:b/>
                      <w:bCs/>
                      <w:color w:val="auto"/>
                      <w:sz w:val="18"/>
                      <w:szCs w:val="18"/>
                    </w:rPr>
                    <w:t>排气筒高度</w:t>
                  </w:r>
                  <w:r>
                    <w:rPr>
                      <w:rFonts w:hint="eastAsia"/>
                      <w:b/>
                      <w:bCs/>
                      <w:color w:val="auto"/>
                      <w:sz w:val="18"/>
                      <w:szCs w:val="18"/>
                    </w:rPr>
                    <w:t>（m）</w:t>
                  </w:r>
                </w:p>
              </w:tc>
              <w:tc>
                <w:tcPr>
                  <w:tcW w:w="675" w:type="dxa"/>
                  <w:vAlign w:val="center"/>
                </w:tcPr>
                <w:p>
                  <w:pPr>
                    <w:jc w:val="center"/>
                    <w:rPr>
                      <w:b/>
                      <w:bCs/>
                      <w:color w:val="auto"/>
                      <w:sz w:val="18"/>
                      <w:szCs w:val="18"/>
                    </w:rPr>
                  </w:pPr>
                  <w:r>
                    <w:rPr>
                      <w:b/>
                      <w:bCs/>
                      <w:color w:val="auto"/>
                      <w:sz w:val="18"/>
                      <w:szCs w:val="18"/>
                    </w:rPr>
                    <w:t>内径</w:t>
                  </w:r>
                  <w:r>
                    <w:rPr>
                      <w:rFonts w:hint="eastAsia"/>
                      <w:b/>
                      <w:bCs/>
                      <w:color w:val="auto"/>
                      <w:sz w:val="18"/>
                      <w:szCs w:val="18"/>
                    </w:rPr>
                    <w:t>（m）</w:t>
                  </w:r>
                </w:p>
              </w:tc>
              <w:tc>
                <w:tcPr>
                  <w:tcW w:w="630" w:type="dxa"/>
                  <w:vAlign w:val="center"/>
                </w:tcPr>
                <w:p>
                  <w:pPr>
                    <w:jc w:val="center"/>
                    <w:rPr>
                      <w:b/>
                      <w:bCs/>
                      <w:color w:val="auto"/>
                      <w:sz w:val="18"/>
                      <w:szCs w:val="18"/>
                    </w:rPr>
                  </w:pPr>
                  <w:r>
                    <w:rPr>
                      <w:b/>
                      <w:bCs/>
                      <w:color w:val="auto"/>
                      <w:sz w:val="18"/>
                      <w:szCs w:val="18"/>
                    </w:rPr>
                    <w:t>温度</w:t>
                  </w:r>
                  <w:r>
                    <w:rPr>
                      <w:rFonts w:hint="eastAsia"/>
                      <w:b/>
                      <w:bCs/>
                      <w:color w:val="auto"/>
                      <w:sz w:val="18"/>
                      <w:szCs w:val="18"/>
                    </w:rPr>
                    <w:t>（</w:t>
                  </w:r>
                  <w:r>
                    <w:rPr>
                      <w:b/>
                      <w:bCs/>
                      <w:color w:val="auto"/>
                      <w:sz w:val="18"/>
                      <w:szCs w:val="18"/>
                    </w:rPr>
                    <w:t>℃</w:t>
                  </w:r>
                  <w:r>
                    <w:rPr>
                      <w:rFonts w:hint="eastAsia"/>
                      <w:b/>
                      <w:bCs/>
                      <w:color w:val="auto"/>
                      <w:sz w:val="18"/>
                      <w:szCs w:val="18"/>
                    </w:rPr>
                    <w:t>）</w:t>
                  </w:r>
                </w:p>
              </w:tc>
              <w:tc>
                <w:tcPr>
                  <w:tcW w:w="645" w:type="dxa"/>
                  <w:vAlign w:val="center"/>
                </w:tcPr>
                <w:p>
                  <w:pPr>
                    <w:jc w:val="center"/>
                    <w:rPr>
                      <w:b/>
                      <w:bCs/>
                      <w:color w:val="auto"/>
                      <w:sz w:val="18"/>
                      <w:szCs w:val="18"/>
                    </w:rPr>
                  </w:pPr>
                  <w:r>
                    <w:rPr>
                      <w:rFonts w:hint="eastAsia"/>
                      <w:b/>
                      <w:bCs/>
                      <w:color w:val="auto"/>
                      <w:sz w:val="18"/>
                      <w:szCs w:val="18"/>
                    </w:rPr>
                    <w:t>风量（</w:t>
                  </w:r>
                  <w:r>
                    <w:rPr>
                      <w:b/>
                      <w:bCs/>
                      <w:color w:val="auto"/>
                      <w:sz w:val="18"/>
                      <w:szCs w:val="18"/>
                    </w:rPr>
                    <w:t>m</w:t>
                  </w:r>
                  <w:r>
                    <w:rPr>
                      <w:b/>
                      <w:bCs/>
                      <w:color w:val="auto"/>
                      <w:sz w:val="18"/>
                      <w:szCs w:val="18"/>
                      <w:vertAlign w:val="superscript"/>
                    </w:rPr>
                    <w:t>3</w:t>
                  </w:r>
                  <w:r>
                    <w:rPr>
                      <w:b/>
                      <w:bCs/>
                      <w:color w:val="auto"/>
                      <w:sz w:val="18"/>
                      <w:szCs w:val="18"/>
                    </w:rPr>
                    <w:t>/h</w:t>
                  </w:r>
                  <w:r>
                    <w:rPr>
                      <w:rFonts w:hint="eastAsia"/>
                      <w:b/>
                      <w:bCs/>
                      <w:color w:val="auto"/>
                      <w:sz w:val="18"/>
                      <w:szCs w:val="18"/>
                    </w:rPr>
                    <w:t>）</w:t>
                  </w:r>
                </w:p>
              </w:tc>
              <w:tc>
                <w:tcPr>
                  <w:tcW w:w="600" w:type="dxa"/>
                  <w:vAlign w:val="center"/>
                </w:tcPr>
                <w:p>
                  <w:pPr>
                    <w:jc w:val="center"/>
                    <w:rPr>
                      <w:b/>
                      <w:bCs/>
                      <w:color w:val="auto"/>
                      <w:sz w:val="18"/>
                      <w:szCs w:val="18"/>
                    </w:rPr>
                  </w:pPr>
                  <w:r>
                    <w:rPr>
                      <w:b/>
                      <w:bCs/>
                      <w:color w:val="auto"/>
                      <w:sz w:val="18"/>
                      <w:szCs w:val="18"/>
                    </w:rPr>
                    <w:t>编号及名称</w:t>
                  </w:r>
                </w:p>
              </w:tc>
              <w:tc>
                <w:tcPr>
                  <w:tcW w:w="420" w:type="dxa"/>
                  <w:vAlign w:val="center"/>
                </w:tcPr>
                <w:p>
                  <w:pPr>
                    <w:jc w:val="center"/>
                    <w:rPr>
                      <w:b/>
                      <w:bCs/>
                      <w:color w:val="auto"/>
                      <w:sz w:val="18"/>
                      <w:szCs w:val="18"/>
                    </w:rPr>
                  </w:pPr>
                  <w:r>
                    <w:rPr>
                      <w:b/>
                      <w:bCs/>
                      <w:color w:val="auto"/>
                      <w:sz w:val="18"/>
                      <w:szCs w:val="18"/>
                    </w:rPr>
                    <w:t>类型</w:t>
                  </w:r>
                </w:p>
              </w:tc>
              <w:tc>
                <w:tcPr>
                  <w:tcW w:w="720" w:type="dxa"/>
                  <w:vAlign w:val="center"/>
                </w:tcPr>
                <w:p>
                  <w:pPr>
                    <w:jc w:val="center"/>
                    <w:rPr>
                      <w:b/>
                      <w:bCs/>
                      <w:color w:val="auto"/>
                      <w:sz w:val="18"/>
                      <w:szCs w:val="18"/>
                    </w:rPr>
                  </w:pPr>
                  <w:r>
                    <w:rPr>
                      <w:b/>
                      <w:bCs/>
                      <w:color w:val="auto"/>
                      <w:sz w:val="18"/>
                      <w:szCs w:val="18"/>
                    </w:rPr>
                    <w:t>地理坐标</w:t>
                  </w:r>
                </w:p>
              </w:tc>
              <w:tc>
                <w:tcPr>
                  <w:tcW w:w="855" w:type="dxa"/>
                  <w:vAlign w:val="center"/>
                </w:tcPr>
                <w:p>
                  <w:pPr>
                    <w:jc w:val="center"/>
                    <w:rPr>
                      <w:b/>
                      <w:bCs/>
                      <w:color w:val="auto"/>
                      <w:sz w:val="18"/>
                      <w:szCs w:val="18"/>
                    </w:rPr>
                  </w:pPr>
                  <w:r>
                    <w:rPr>
                      <w:b/>
                      <w:bCs/>
                      <w:color w:val="auto"/>
                      <w:sz w:val="18"/>
                      <w:szCs w:val="18"/>
                    </w:rPr>
                    <w:t>浓度(mg/m</w:t>
                  </w:r>
                  <w:r>
                    <w:rPr>
                      <w:b/>
                      <w:bCs/>
                      <w:color w:val="auto"/>
                      <w:sz w:val="18"/>
                      <w:szCs w:val="18"/>
                      <w:vertAlign w:val="superscript"/>
                    </w:rPr>
                    <w:t>3</w:t>
                  </w:r>
                  <w:r>
                    <w:rPr>
                      <w:b/>
                      <w:bCs/>
                      <w:color w:val="auto"/>
                      <w:sz w:val="18"/>
                      <w:szCs w:val="18"/>
                    </w:rPr>
                    <w:t>)</w:t>
                  </w:r>
                </w:p>
              </w:tc>
              <w:tc>
                <w:tcPr>
                  <w:tcW w:w="715" w:type="dxa"/>
                  <w:vAlign w:val="center"/>
                </w:tcPr>
                <w:p>
                  <w:pPr>
                    <w:jc w:val="center"/>
                    <w:rPr>
                      <w:b/>
                      <w:bCs/>
                      <w:color w:val="auto"/>
                      <w:sz w:val="18"/>
                      <w:szCs w:val="18"/>
                    </w:rPr>
                  </w:pPr>
                  <w:r>
                    <w:rPr>
                      <w:b/>
                      <w:bCs/>
                      <w:color w:val="auto"/>
                      <w:sz w:val="18"/>
                      <w:szCs w:val="18"/>
                    </w:rPr>
                    <w:t>速率(kg/h)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74" w:type="dxa"/>
                  <w:vMerge w:val="restart"/>
                  <w:vAlign w:val="center"/>
                </w:tcPr>
                <w:p>
                  <w:pPr>
                    <w:jc w:val="center"/>
                    <w:rPr>
                      <w:color w:val="auto"/>
                      <w:sz w:val="18"/>
                      <w:szCs w:val="18"/>
                    </w:rPr>
                  </w:pPr>
                  <w:r>
                    <w:rPr>
                      <w:rFonts w:hint="eastAsia"/>
                      <w:color w:val="auto"/>
                      <w:sz w:val="18"/>
                      <w:szCs w:val="18"/>
                    </w:rPr>
                    <w:t>1</w:t>
                  </w:r>
                </w:p>
              </w:tc>
              <w:tc>
                <w:tcPr>
                  <w:tcW w:w="705" w:type="dxa"/>
                  <w:vAlign w:val="center"/>
                </w:tcPr>
                <w:p>
                  <w:pPr>
                    <w:adjustRightInd w:val="0"/>
                    <w:snapToGrid w:val="0"/>
                    <w:jc w:val="center"/>
                    <w:rPr>
                      <w:color w:val="auto"/>
                      <w:sz w:val="18"/>
                      <w:szCs w:val="18"/>
                    </w:rPr>
                  </w:pPr>
                  <w:r>
                    <w:rPr>
                      <w:rFonts w:hint="eastAsia"/>
                      <w:bCs/>
                      <w:color w:val="auto"/>
                      <w:sz w:val="18"/>
                      <w:szCs w:val="18"/>
                    </w:rPr>
                    <w:t>密炼废气</w:t>
                  </w:r>
                </w:p>
              </w:tc>
              <w:tc>
                <w:tcPr>
                  <w:tcW w:w="825" w:type="dxa"/>
                  <w:vAlign w:val="center"/>
                </w:tcPr>
                <w:p>
                  <w:pPr>
                    <w:widowControl/>
                    <w:jc w:val="center"/>
                    <w:rPr>
                      <w:color w:val="auto"/>
                      <w:sz w:val="18"/>
                      <w:szCs w:val="18"/>
                    </w:rPr>
                  </w:pPr>
                  <w:r>
                    <w:rPr>
                      <w:rFonts w:hint="eastAsia"/>
                      <w:color w:val="auto"/>
                      <w:sz w:val="18"/>
                      <w:szCs w:val="18"/>
                    </w:rPr>
                    <w:t>非甲烷总烃</w:t>
                  </w:r>
                </w:p>
              </w:tc>
              <w:tc>
                <w:tcPr>
                  <w:tcW w:w="735" w:type="dxa"/>
                  <w:vAlign w:val="center"/>
                </w:tcPr>
                <w:p>
                  <w:pPr>
                    <w:jc w:val="center"/>
                    <w:rPr>
                      <w:color w:val="auto"/>
                      <w:sz w:val="18"/>
                      <w:szCs w:val="18"/>
                    </w:rPr>
                  </w:pPr>
                  <w:r>
                    <w:rPr>
                      <w:rFonts w:hint="eastAsia"/>
                      <w:color w:val="auto"/>
                      <w:sz w:val="18"/>
                      <w:szCs w:val="18"/>
                    </w:rPr>
                    <w:t>5000</w:t>
                  </w:r>
                </w:p>
              </w:tc>
              <w:tc>
                <w:tcPr>
                  <w:tcW w:w="900" w:type="dxa"/>
                  <w:vAlign w:val="center"/>
                </w:tcPr>
                <w:p>
                  <w:pPr>
                    <w:jc w:val="center"/>
                    <w:rPr>
                      <w:color w:val="auto"/>
                      <w:sz w:val="18"/>
                      <w:szCs w:val="18"/>
                    </w:rPr>
                  </w:pPr>
                  <w:r>
                    <w:rPr>
                      <w:rFonts w:hint="eastAsia"/>
                      <w:color w:val="auto"/>
                      <w:sz w:val="18"/>
                      <w:szCs w:val="18"/>
                    </w:rPr>
                    <w:t>1300</w:t>
                  </w:r>
                </w:p>
              </w:tc>
              <w:tc>
                <w:tcPr>
                  <w:tcW w:w="855" w:type="dxa"/>
                  <w:vAlign w:val="center"/>
                </w:tcPr>
                <w:p>
                  <w:pPr>
                    <w:widowControl/>
                    <w:jc w:val="center"/>
                    <w:textAlignment w:val="center"/>
                    <w:rPr>
                      <w:color w:val="auto"/>
                      <w:sz w:val="18"/>
                      <w:szCs w:val="18"/>
                    </w:rPr>
                  </w:pPr>
                  <w:r>
                    <w:rPr>
                      <w:color w:val="auto"/>
                      <w:kern w:val="0"/>
                      <w:sz w:val="18"/>
                      <w:szCs w:val="18"/>
                      <w:lang w:bidi="ar"/>
                    </w:rPr>
                    <w:t>0.415</w:t>
                  </w:r>
                </w:p>
              </w:tc>
              <w:tc>
                <w:tcPr>
                  <w:tcW w:w="735" w:type="dxa"/>
                  <w:vAlign w:val="center"/>
                </w:tcPr>
                <w:p>
                  <w:pPr>
                    <w:autoSpaceDE w:val="0"/>
                    <w:autoSpaceDN w:val="0"/>
                    <w:jc w:val="center"/>
                    <w:rPr>
                      <w:color w:val="auto"/>
                      <w:sz w:val="18"/>
                      <w:szCs w:val="18"/>
                    </w:rPr>
                  </w:pPr>
                  <w:r>
                    <w:rPr>
                      <w:rFonts w:hint="eastAsia"/>
                      <w:color w:val="auto"/>
                      <w:sz w:val="18"/>
                      <w:szCs w:val="18"/>
                    </w:rPr>
                    <w:t>0.00054</w:t>
                  </w:r>
                </w:p>
              </w:tc>
              <w:tc>
                <w:tcPr>
                  <w:tcW w:w="780" w:type="dxa"/>
                  <w:vAlign w:val="center"/>
                </w:tcPr>
                <w:p>
                  <w:pPr>
                    <w:autoSpaceDE w:val="0"/>
                    <w:autoSpaceDN w:val="0"/>
                    <w:jc w:val="center"/>
                    <w:rPr>
                      <w:color w:val="auto"/>
                      <w:sz w:val="18"/>
                      <w:szCs w:val="18"/>
                    </w:rPr>
                  </w:pPr>
                  <w:r>
                    <w:rPr>
                      <w:rFonts w:hint="eastAsia"/>
                      <w:color w:val="auto"/>
                      <w:kern w:val="0"/>
                      <w:sz w:val="18"/>
                      <w:szCs w:val="18"/>
                    </w:rPr>
                    <w:t>0.0027</w:t>
                  </w:r>
                </w:p>
              </w:tc>
              <w:tc>
                <w:tcPr>
                  <w:tcW w:w="780" w:type="dxa"/>
                  <w:vAlign w:val="center"/>
                </w:tcPr>
                <w:p>
                  <w:pPr>
                    <w:jc w:val="center"/>
                    <w:rPr>
                      <w:color w:val="auto"/>
                      <w:sz w:val="18"/>
                      <w:szCs w:val="18"/>
                    </w:rPr>
                  </w:pPr>
                  <w:r>
                    <w:rPr>
                      <w:rFonts w:hint="eastAsia"/>
                      <w:color w:val="auto"/>
                      <w:sz w:val="18"/>
                      <w:szCs w:val="18"/>
                    </w:rPr>
                    <w:t>/</w:t>
                  </w:r>
                </w:p>
              </w:tc>
              <w:tc>
                <w:tcPr>
                  <w:tcW w:w="705" w:type="dxa"/>
                  <w:vAlign w:val="center"/>
                </w:tcPr>
                <w:p>
                  <w:pPr>
                    <w:jc w:val="center"/>
                    <w:rPr>
                      <w:color w:val="auto"/>
                      <w:sz w:val="18"/>
                      <w:szCs w:val="18"/>
                    </w:rPr>
                  </w:pPr>
                  <w:r>
                    <w:rPr>
                      <w:rFonts w:hint="eastAsia"/>
                      <w:color w:val="auto"/>
                      <w:sz w:val="18"/>
                      <w:szCs w:val="18"/>
                    </w:rPr>
                    <w:t>/</w:t>
                  </w:r>
                </w:p>
              </w:tc>
              <w:tc>
                <w:tcPr>
                  <w:tcW w:w="780" w:type="dxa"/>
                  <w:vAlign w:val="center"/>
                </w:tcPr>
                <w:p>
                  <w:pPr>
                    <w:jc w:val="center"/>
                    <w:rPr>
                      <w:color w:val="auto"/>
                      <w:sz w:val="18"/>
                      <w:szCs w:val="18"/>
                    </w:rPr>
                  </w:pPr>
                  <w:r>
                    <w:rPr>
                      <w:rFonts w:hint="eastAsia"/>
                      <w:color w:val="auto"/>
                      <w:sz w:val="18"/>
                      <w:szCs w:val="18"/>
                    </w:rPr>
                    <w:t>/</w:t>
                  </w:r>
                </w:p>
              </w:tc>
              <w:tc>
                <w:tcPr>
                  <w:tcW w:w="840" w:type="dxa"/>
                  <w:vMerge w:val="restart"/>
                  <w:vAlign w:val="center"/>
                </w:tcPr>
                <w:p>
                  <w:pPr>
                    <w:jc w:val="center"/>
                    <w:rPr>
                      <w:rFonts w:hint="default" w:eastAsia="宋体"/>
                      <w:color w:val="auto"/>
                      <w:sz w:val="18"/>
                      <w:szCs w:val="18"/>
                      <w:lang w:val="en-US" w:eastAsia="zh-CN"/>
                    </w:rPr>
                  </w:pPr>
                  <w:r>
                    <w:rPr>
                      <w:rFonts w:hint="eastAsia"/>
                      <w:color w:val="auto"/>
                      <w:sz w:val="18"/>
                      <w:szCs w:val="18"/>
                      <w:lang w:val="en-US" w:eastAsia="zh-CN"/>
                    </w:rPr>
                    <w:t>25</w:t>
                  </w:r>
                </w:p>
              </w:tc>
              <w:tc>
                <w:tcPr>
                  <w:tcW w:w="675" w:type="dxa"/>
                  <w:vMerge w:val="restart"/>
                  <w:vAlign w:val="center"/>
                </w:tcPr>
                <w:p>
                  <w:pPr>
                    <w:jc w:val="center"/>
                    <w:rPr>
                      <w:color w:val="auto"/>
                      <w:sz w:val="18"/>
                      <w:szCs w:val="18"/>
                    </w:rPr>
                  </w:pPr>
                  <w:r>
                    <w:rPr>
                      <w:rFonts w:hint="eastAsia"/>
                      <w:color w:val="auto"/>
                      <w:sz w:val="18"/>
                      <w:szCs w:val="18"/>
                    </w:rPr>
                    <w:t>0</w:t>
                  </w:r>
                  <w:r>
                    <w:rPr>
                      <w:color w:val="auto"/>
                      <w:sz w:val="18"/>
                      <w:szCs w:val="18"/>
                    </w:rPr>
                    <w:t>.5</w:t>
                  </w:r>
                </w:p>
              </w:tc>
              <w:tc>
                <w:tcPr>
                  <w:tcW w:w="630" w:type="dxa"/>
                  <w:vMerge w:val="restart"/>
                  <w:vAlign w:val="center"/>
                </w:tcPr>
                <w:p>
                  <w:pPr>
                    <w:jc w:val="center"/>
                    <w:rPr>
                      <w:color w:val="auto"/>
                      <w:sz w:val="18"/>
                      <w:szCs w:val="18"/>
                    </w:rPr>
                  </w:pPr>
                  <w:r>
                    <w:rPr>
                      <w:rFonts w:hint="eastAsia"/>
                      <w:color w:val="auto"/>
                      <w:sz w:val="18"/>
                      <w:szCs w:val="18"/>
                    </w:rPr>
                    <w:t>2</w:t>
                  </w:r>
                  <w:r>
                    <w:rPr>
                      <w:color w:val="auto"/>
                      <w:sz w:val="18"/>
                      <w:szCs w:val="18"/>
                    </w:rPr>
                    <w:t>5</w:t>
                  </w:r>
                </w:p>
              </w:tc>
              <w:tc>
                <w:tcPr>
                  <w:tcW w:w="645" w:type="dxa"/>
                  <w:vMerge w:val="restart"/>
                  <w:vAlign w:val="center"/>
                </w:tcPr>
                <w:p>
                  <w:pPr>
                    <w:jc w:val="center"/>
                    <w:rPr>
                      <w:color w:val="auto"/>
                      <w:sz w:val="18"/>
                      <w:szCs w:val="18"/>
                    </w:rPr>
                  </w:pPr>
                  <w:r>
                    <w:rPr>
                      <w:rFonts w:hint="eastAsia"/>
                      <w:color w:val="auto"/>
                      <w:sz w:val="18"/>
                      <w:szCs w:val="18"/>
                    </w:rPr>
                    <w:t>26000</w:t>
                  </w:r>
                </w:p>
              </w:tc>
              <w:tc>
                <w:tcPr>
                  <w:tcW w:w="600" w:type="dxa"/>
                  <w:vMerge w:val="restart"/>
                  <w:vAlign w:val="center"/>
                </w:tcPr>
                <w:p>
                  <w:pPr>
                    <w:jc w:val="center"/>
                    <w:rPr>
                      <w:color w:val="auto"/>
                      <w:sz w:val="18"/>
                      <w:szCs w:val="18"/>
                    </w:rPr>
                  </w:pPr>
                  <w:r>
                    <w:rPr>
                      <w:rFonts w:hint="eastAsia"/>
                      <w:color w:val="auto"/>
                      <w:sz w:val="18"/>
                      <w:szCs w:val="18"/>
                    </w:rPr>
                    <w:t>D</w:t>
                  </w:r>
                  <w:r>
                    <w:rPr>
                      <w:color w:val="auto"/>
                      <w:sz w:val="18"/>
                      <w:szCs w:val="18"/>
                    </w:rPr>
                    <w:t>A001</w:t>
                  </w:r>
                </w:p>
              </w:tc>
              <w:tc>
                <w:tcPr>
                  <w:tcW w:w="420" w:type="dxa"/>
                  <w:vMerge w:val="restart"/>
                  <w:vAlign w:val="center"/>
                </w:tcPr>
                <w:p>
                  <w:pPr>
                    <w:jc w:val="center"/>
                    <w:rPr>
                      <w:color w:val="auto"/>
                      <w:sz w:val="18"/>
                      <w:szCs w:val="18"/>
                    </w:rPr>
                  </w:pPr>
                  <w:r>
                    <w:rPr>
                      <w:rFonts w:hint="eastAsia"/>
                      <w:color w:val="auto"/>
                      <w:sz w:val="18"/>
                      <w:szCs w:val="18"/>
                    </w:rPr>
                    <w:t>一般排放口</w:t>
                  </w:r>
                </w:p>
              </w:tc>
              <w:tc>
                <w:tcPr>
                  <w:tcW w:w="720" w:type="dxa"/>
                  <w:vMerge w:val="restart"/>
                  <w:vAlign w:val="center"/>
                </w:tcPr>
                <w:p>
                  <w:pPr>
                    <w:jc w:val="center"/>
                    <w:rPr>
                      <w:color w:val="auto"/>
                      <w:sz w:val="18"/>
                      <w:szCs w:val="18"/>
                    </w:rPr>
                  </w:pPr>
                  <w:r>
                    <w:rPr>
                      <w:rFonts w:hint="eastAsia"/>
                      <w:color w:val="auto"/>
                      <w:sz w:val="18"/>
                      <w:szCs w:val="18"/>
                    </w:rPr>
                    <w:t>121.119197,</w:t>
                  </w:r>
                </w:p>
                <w:p>
                  <w:pPr>
                    <w:jc w:val="center"/>
                    <w:rPr>
                      <w:color w:val="auto"/>
                      <w:sz w:val="18"/>
                      <w:szCs w:val="18"/>
                    </w:rPr>
                  </w:pPr>
                  <w:r>
                    <w:rPr>
                      <w:rFonts w:hint="eastAsia"/>
                      <w:color w:val="auto"/>
                      <w:sz w:val="18"/>
                      <w:szCs w:val="18"/>
                    </w:rPr>
                    <w:t>31.497766</w:t>
                  </w:r>
                </w:p>
              </w:tc>
              <w:tc>
                <w:tcPr>
                  <w:tcW w:w="855" w:type="dxa"/>
                  <w:vAlign w:val="center"/>
                </w:tcPr>
                <w:p>
                  <w:pPr>
                    <w:jc w:val="center"/>
                    <w:rPr>
                      <w:color w:val="auto"/>
                      <w:sz w:val="18"/>
                      <w:szCs w:val="18"/>
                    </w:rPr>
                  </w:pPr>
                  <w:r>
                    <w:rPr>
                      <w:rFonts w:hint="eastAsia"/>
                      <w:color w:val="auto"/>
                      <w:sz w:val="18"/>
                      <w:szCs w:val="18"/>
                    </w:rPr>
                    <w:t>/</w:t>
                  </w:r>
                </w:p>
              </w:tc>
              <w:tc>
                <w:tcPr>
                  <w:tcW w:w="715" w:type="dxa"/>
                  <w:vAlign w:val="center"/>
                </w:tcPr>
                <w:p>
                  <w:pPr>
                    <w:jc w:val="center"/>
                    <w:rPr>
                      <w:color w:val="auto"/>
                      <w:sz w:val="18"/>
                      <w:szCs w:val="18"/>
                    </w:rPr>
                  </w:pPr>
                  <w:r>
                    <w:rPr>
                      <w:rFonts w:hint="eastAsia"/>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74" w:type="dxa"/>
                  <w:vMerge w:val="continue"/>
                  <w:vAlign w:val="center"/>
                </w:tcPr>
                <w:p>
                  <w:pPr>
                    <w:jc w:val="center"/>
                    <w:rPr>
                      <w:color w:val="auto"/>
                      <w:sz w:val="18"/>
                      <w:szCs w:val="18"/>
                    </w:rPr>
                  </w:pPr>
                </w:p>
              </w:tc>
              <w:tc>
                <w:tcPr>
                  <w:tcW w:w="705" w:type="dxa"/>
                  <w:vAlign w:val="center"/>
                </w:tcPr>
                <w:p>
                  <w:pPr>
                    <w:adjustRightInd w:val="0"/>
                    <w:snapToGrid w:val="0"/>
                    <w:jc w:val="center"/>
                    <w:rPr>
                      <w:bCs/>
                      <w:color w:val="auto"/>
                      <w:sz w:val="18"/>
                      <w:szCs w:val="18"/>
                    </w:rPr>
                  </w:pPr>
                  <w:r>
                    <w:rPr>
                      <w:rFonts w:hint="eastAsia"/>
                      <w:bCs/>
                      <w:color w:val="auto"/>
                      <w:sz w:val="18"/>
                      <w:szCs w:val="18"/>
                    </w:rPr>
                    <w:t>一次成型废气</w:t>
                  </w:r>
                </w:p>
              </w:tc>
              <w:tc>
                <w:tcPr>
                  <w:tcW w:w="825" w:type="dxa"/>
                  <w:vAlign w:val="center"/>
                </w:tcPr>
                <w:p>
                  <w:pPr>
                    <w:widowControl/>
                    <w:jc w:val="center"/>
                    <w:rPr>
                      <w:color w:val="auto"/>
                      <w:sz w:val="18"/>
                      <w:szCs w:val="18"/>
                    </w:rPr>
                  </w:pPr>
                  <w:r>
                    <w:rPr>
                      <w:rFonts w:hint="eastAsia"/>
                      <w:color w:val="auto"/>
                      <w:sz w:val="18"/>
                      <w:szCs w:val="18"/>
                    </w:rPr>
                    <w:t>非甲烷总烃</w:t>
                  </w:r>
                </w:p>
              </w:tc>
              <w:tc>
                <w:tcPr>
                  <w:tcW w:w="735" w:type="dxa"/>
                  <w:vAlign w:val="center"/>
                </w:tcPr>
                <w:p>
                  <w:pPr>
                    <w:autoSpaceDE w:val="0"/>
                    <w:autoSpaceDN w:val="0"/>
                    <w:jc w:val="center"/>
                    <w:rPr>
                      <w:color w:val="auto"/>
                      <w:sz w:val="18"/>
                      <w:szCs w:val="18"/>
                    </w:rPr>
                  </w:pPr>
                  <w:r>
                    <w:rPr>
                      <w:rFonts w:hint="eastAsia"/>
                      <w:color w:val="auto"/>
                      <w:kern w:val="0"/>
                      <w:sz w:val="18"/>
                      <w:szCs w:val="18"/>
                    </w:rPr>
                    <w:t>7200</w:t>
                  </w:r>
                </w:p>
              </w:tc>
              <w:tc>
                <w:tcPr>
                  <w:tcW w:w="900" w:type="dxa"/>
                  <w:vAlign w:val="center"/>
                </w:tcPr>
                <w:p>
                  <w:pPr>
                    <w:autoSpaceDE w:val="0"/>
                    <w:autoSpaceDN w:val="0"/>
                    <w:jc w:val="center"/>
                    <w:rPr>
                      <w:color w:val="auto"/>
                      <w:kern w:val="0"/>
                      <w:sz w:val="18"/>
                      <w:szCs w:val="18"/>
                    </w:rPr>
                  </w:pPr>
                  <w:r>
                    <w:rPr>
                      <w:rFonts w:hint="eastAsia"/>
                      <w:color w:val="auto"/>
                      <w:kern w:val="0"/>
                      <w:sz w:val="18"/>
                      <w:szCs w:val="18"/>
                    </w:rPr>
                    <w:t>14000</w:t>
                  </w:r>
                </w:p>
              </w:tc>
              <w:tc>
                <w:tcPr>
                  <w:tcW w:w="855" w:type="dxa"/>
                  <w:vAlign w:val="center"/>
                </w:tcPr>
                <w:p>
                  <w:pPr>
                    <w:widowControl/>
                    <w:jc w:val="center"/>
                    <w:textAlignment w:val="center"/>
                    <w:rPr>
                      <w:color w:val="auto"/>
                      <w:sz w:val="18"/>
                      <w:szCs w:val="18"/>
                    </w:rPr>
                  </w:pPr>
                  <w:r>
                    <w:rPr>
                      <w:color w:val="auto"/>
                      <w:kern w:val="0"/>
                      <w:sz w:val="18"/>
                      <w:szCs w:val="18"/>
                      <w:lang w:bidi="ar"/>
                    </w:rPr>
                    <w:t>0.116</w:t>
                  </w:r>
                </w:p>
              </w:tc>
              <w:tc>
                <w:tcPr>
                  <w:tcW w:w="735" w:type="dxa"/>
                  <w:vAlign w:val="center"/>
                </w:tcPr>
                <w:p>
                  <w:pPr>
                    <w:autoSpaceDE w:val="0"/>
                    <w:autoSpaceDN w:val="0"/>
                    <w:jc w:val="center"/>
                    <w:rPr>
                      <w:color w:val="auto"/>
                      <w:sz w:val="18"/>
                      <w:szCs w:val="18"/>
                    </w:rPr>
                  </w:pPr>
                  <w:r>
                    <w:rPr>
                      <w:rFonts w:hint="eastAsia"/>
                      <w:color w:val="auto"/>
                      <w:kern w:val="0"/>
                      <w:sz w:val="18"/>
                      <w:szCs w:val="18"/>
                    </w:rPr>
                    <w:t>0.0016</w:t>
                  </w:r>
                </w:p>
              </w:tc>
              <w:tc>
                <w:tcPr>
                  <w:tcW w:w="780" w:type="dxa"/>
                  <w:vAlign w:val="center"/>
                </w:tcPr>
                <w:p>
                  <w:pPr>
                    <w:autoSpaceDE w:val="0"/>
                    <w:autoSpaceDN w:val="0"/>
                    <w:jc w:val="center"/>
                    <w:rPr>
                      <w:color w:val="auto"/>
                      <w:sz w:val="18"/>
                      <w:szCs w:val="18"/>
                    </w:rPr>
                  </w:pPr>
                  <w:r>
                    <w:rPr>
                      <w:rFonts w:hint="eastAsia"/>
                      <w:color w:val="auto"/>
                      <w:kern w:val="0"/>
                      <w:sz w:val="18"/>
                      <w:szCs w:val="18"/>
                    </w:rPr>
                    <w:t>0.0117</w:t>
                  </w:r>
                </w:p>
              </w:tc>
              <w:tc>
                <w:tcPr>
                  <w:tcW w:w="780" w:type="dxa"/>
                  <w:vAlign w:val="center"/>
                </w:tcPr>
                <w:p>
                  <w:pPr>
                    <w:jc w:val="center"/>
                    <w:rPr>
                      <w:color w:val="auto"/>
                      <w:sz w:val="18"/>
                      <w:szCs w:val="18"/>
                    </w:rPr>
                  </w:pPr>
                  <w:r>
                    <w:rPr>
                      <w:rFonts w:hint="eastAsia"/>
                      <w:color w:val="auto"/>
                      <w:sz w:val="18"/>
                      <w:szCs w:val="18"/>
                    </w:rPr>
                    <w:t>/</w:t>
                  </w:r>
                </w:p>
              </w:tc>
              <w:tc>
                <w:tcPr>
                  <w:tcW w:w="705" w:type="dxa"/>
                  <w:vAlign w:val="center"/>
                </w:tcPr>
                <w:p>
                  <w:pPr>
                    <w:jc w:val="center"/>
                    <w:rPr>
                      <w:color w:val="auto"/>
                      <w:sz w:val="18"/>
                      <w:szCs w:val="18"/>
                    </w:rPr>
                  </w:pPr>
                  <w:r>
                    <w:rPr>
                      <w:rFonts w:hint="eastAsia"/>
                      <w:color w:val="auto"/>
                      <w:sz w:val="18"/>
                      <w:szCs w:val="18"/>
                    </w:rPr>
                    <w:t>/</w:t>
                  </w:r>
                </w:p>
              </w:tc>
              <w:tc>
                <w:tcPr>
                  <w:tcW w:w="780" w:type="dxa"/>
                  <w:vAlign w:val="center"/>
                </w:tcPr>
                <w:p>
                  <w:pPr>
                    <w:jc w:val="center"/>
                    <w:rPr>
                      <w:color w:val="auto"/>
                      <w:sz w:val="18"/>
                      <w:szCs w:val="18"/>
                    </w:rPr>
                  </w:pPr>
                  <w:r>
                    <w:rPr>
                      <w:rFonts w:hint="eastAsia"/>
                      <w:color w:val="auto"/>
                      <w:sz w:val="18"/>
                      <w:szCs w:val="18"/>
                    </w:rPr>
                    <w:t>/</w:t>
                  </w:r>
                </w:p>
              </w:tc>
              <w:tc>
                <w:tcPr>
                  <w:tcW w:w="840" w:type="dxa"/>
                  <w:vMerge w:val="continue"/>
                  <w:vAlign w:val="center"/>
                </w:tcPr>
                <w:p>
                  <w:pPr>
                    <w:jc w:val="center"/>
                    <w:rPr>
                      <w:color w:val="auto"/>
                      <w:sz w:val="18"/>
                      <w:szCs w:val="18"/>
                    </w:rPr>
                  </w:pPr>
                </w:p>
              </w:tc>
              <w:tc>
                <w:tcPr>
                  <w:tcW w:w="675" w:type="dxa"/>
                  <w:vMerge w:val="continue"/>
                  <w:vAlign w:val="center"/>
                </w:tcPr>
                <w:p>
                  <w:pPr>
                    <w:jc w:val="center"/>
                    <w:rPr>
                      <w:color w:val="auto"/>
                      <w:sz w:val="18"/>
                      <w:szCs w:val="18"/>
                    </w:rPr>
                  </w:pPr>
                </w:p>
              </w:tc>
              <w:tc>
                <w:tcPr>
                  <w:tcW w:w="630" w:type="dxa"/>
                  <w:vMerge w:val="continue"/>
                  <w:vAlign w:val="center"/>
                </w:tcPr>
                <w:p>
                  <w:pPr>
                    <w:jc w:val="center"/>
                    <w:rPr>
                      <w:color w:val="auto"/>
                      <w:sz w:val="18"/>
                      <w:szCs w:val="18"/>
                    </w:rPr>
                  </w:pPr>
                </w:p>
              </w:tc>
              <w:tc>
                <w:tcPr>
                  <w:tcW w:w="645" w:type="dxa"/>
                  <w:vMerge w:val="continue"/>
                  <w:vAlign w:val="center"/>
                </w:tcPr>
                <w:p>
                  <w:pPr>
                    <w:jc w:val="center"/>
                    <w:rPr>
                      <w:color w:val="auto"/>
                      <w:sz w:val="18"/>
                      <w:szCs w:val="18"/>
                    </w:rPr>
                  </w:pPr>
                </w:p>
              </w:tc>
              <w:tc>
                <w:tcPr>
                  <w:tcW w:w="600" w:type="dxa"/>
                  <w:vMerge w:val="continue"/>
                  <w:vAlign w:val="center"/>
                </w:tcPr>
                <w:p>
                  <w:pPr>
                    <w:jc w:val="center"/>
                    <w:rPr>
                      <w:color w:val="auto"/>
                      <w:sz w:val="18"/>
                      <w:szCs w:val="18"/>
                    </w:rPr>
                  </w:pPr>
                </w:p>
              </w:tc>
              <w:tc>
                <w:tcPr>
                  <w:tcW w:w="420" w:type="dxa"/>
                  <w:vMerge w:val="continue"/>
                  <w:vAlign w:val="center"/>
                </w:tcPr>
                <w:p>
                  <w:pPr>
                    <w:jc w:val="center"/>
                    <w:rPr>
                      <w:color w:val="auto"/>
                      <w:sz w:val="18"/>
                      <w:szCs w:val="18"/>
                    </w:rPr>
                  </w:pPr>
                </w:p>
              </w:tc>
              <w:tc>
                <w:tcPr>
                  <w:tcW w:w="720" w:type="dxa"/>
                  <w:vMerge w:val="continue"/>
                  <w:vAlign w:val="center"/>
                </w:tcPr>
                <w:p>
                  <w:pPr>
                    <w:jc w:val="center"/>
                    <w:rPr>
                      <w:color w:val="auto"/>
                      <w:sz w:val="18"/>
                      <w:szCs w:val="18"/>
                    </w:rPr>
                  </w:pPr>
                </w:p>
              </w:tc>
              <w:tc>
                <w:tcPr>
                  <w:tcW w:w="855" w:type="dxa"/>
                  <w:vAlign w:val="center"/>
                </w:tcPr>
                <w:p>
                  <w:pPr>
                    <w:jc w:val="center"/>
                    <w:rPr>
                      <w:color w:val="auto"/>
                      <w:sz w:val="18"/>
                      <w:szCs w:val="18"/>
                    </w:rPr>
                  </w:pPr>
                  <w:r>
                    <w:rPr>
                      <w:rFonts w:hint="eastAsia"/>
                      <w:color w:val="auto"/>
                      <w:sz w:val="18"/>
                      <w:szCs w:val="18"/>
                    </w:rPr>
                    <w:t>/</w:t>
                  </w:r>
                </w:p>
              </w:tc>
              <w:tc>
                <w:tcPr>
                  <w:tcW w:w="715" w:type="dxa"/>
                  <w:vAlign w:val="center"/>
                </w:tcPr>
                <w:p>
                  <w:pPr>
                    <w:jc w:val="center"/>
                    <w:rPr>
                      <w:color w:val="auto"/>
                      <w:sz w:val="18"/>
                      <w:szCs w:val="18"/>
                    </w:rPr>
                  </w:pPr>
                  <w:r>
                    <w:rPr>
                      <w:rFonts w:hint="eastAsia"/>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74" w:type="dxa"/>
                  <w:vMerge w:val="continue"/>
                  <w:vAlign w:val="center"/>
                </w:tcPr>
                <w:p>
                  <w:pPr>
                    <w:jc w:val="center"/>
                    <w:rPr>
                      <w:color w:val="auto"/>
                      <w:sz w:val="18"/>
                      <w:szCs w:val="18"/>
                    </w:rPr>
                  </w:pPr>
                </w:p>
              </w:tc>
              <w:tc>
                <w:tcPr>
                  <w:tcW w:w="705" w:type="dxa"/>
                  <w:vAlign w:val="center"/>
                </w:tcPr>
                <w:p>
                  <w:pPr>
                    <w:adjustRightInd w:val="0"/>
                    <w:snapToGrid w:val="0"/>
                    <w:jc w:val="center"/>
                    <w:rPr>
                      <w:bCs/>
                      <w:color w:val="auto"/>
                      <w:sz w:val="18"/>
                      <w:szCs w:val="18"/>
                    </w:rPr>
                  </w:pPr>
                  <w:r>
                    <w:rPr>
                      <w:rFonts w:hint="eastAsia"/>
                      <w:bCs/>
                      <w:color w:val="auto"/>
                      <w:sz w:val="18"/>
                      <w:szCs w:val="18"/>
                    </w:rPr>
                    <w:t>二次成型废气</w:t>
                  </w:r>
                </w:p>
              </w:tc>
              <w:tc>
                <w:tcPr>
                  <w:tcW w:w="825" w:type="dxa"/>
                  <w:vAlign w:val="center"/>
                </w:tcPr>
                <w:p>
                  <w:pPr>
                    <w:widowControl/>
                    <w:jc w:val="center"/>
                    <w:rPr>
                      <w:color w:val="auto"/>
                      <w:sz w:val="18"/>
                      <w:szCs w:val="18"/>
                    </w:rPr>
                  </w:pPr>
                  <w:r>
                    <w:rPr>
                      <w:rFonts w:hint="eastAsia"/>
                      <w:color w:val="auto"/>
                      <w:sz w:val="18"/>
                      <w:szCs w:val="18"/>
                    </w:rPr>
                    <w:t>非甲烷总烃</w:t>
                  </w:r>
                </w:p>
              </w:tc>
              <w:tc>
                <w:tcPr>
                  <w:tcW w:w="735" w:type="dxa"/>
                  <w:vAlign w:val="center"/>
                </w:tcPr>
                <w:p>
                  <w:pPr>
                    <w:autoSpaceDE w:val="0"/>
                    <w:autoSpaceDN w:val="0"/>
                    <w:jc w:val="center"/>
                    <w:rPr>
                      <w:color w:val="auto"/>
                      <w:sz w:val="18"/>
                      <w:szCs w:val="18"/>
                    </w:rPr>
                  </w:pPr>
                  <w:r>
                    <w:rPr>
                      <w:rFonts w:hint="eastAsia"/>
                      <w:color w:val="auto"/>
                      <w:kern w:val="0"/>
                      <w:sz w:val="18"/>
                      <w:szCs w:val="18"/>
                    </w:rPr>
                    <w:t>7200</w:t>
                  </w:r>
                </w:p>
              </w:tc>
              <w:tc>
                <w:tcPr>
                  <w:tcW w:w="900" w:type="dxa"/>
                  <w:vAlign w:val="center"/>
                </w:tcPr>
                <w:p>
                  <w:pPr>
                    <w:autoSpaceDE w:val="0"/>
                    <w:autoSpaceDN w:val="0"/>
                    <w:jc w:val="center"/>
                    <w:rPr>
                      <w:color w:val="auto"/>
                      <w:kern w:val="0"/>
                      <w:sz w:val="18"/>
                      <w:szCs w:val="18"/>
                    </w:rPr>
                  </w:pPr>
                  <w:r>
                    <w:rPr>
                      <w:rFonts w:hint="eastAsia"/>
                      <w:color w:val="auto"/>
                      <w:kern w:val="0"/>
                      <w:sz w:val="18"/>
                      <w:szCs w:val="18"/>
                    </w:rPr>
                    <w:t>3500</w:t>
                  </w:r>
                </w:p>
              </w:tc>
              <w:tc>
                <w:tcPr>
                  <w:tcW w:w="855" w:type="dxa"/>
                  <w:vAlign w:val="center"/>
                </w:tcPr>
                <w:p>
                  <w:pPr>
                    <w:widowControl/>
                    <w:jc w:val="center"/>
                    <w:textAlignment w:val="center"/>
                    <w:rPr>
                      <w:color w:val="auto"/>
                      <w:sz w:val="18"/>
                      <w:szCs w:val="18"/>
                    </w:rPr>
                  </w:pPr>
                  <w:r>
                    <w:rPr>
                      <w:color w:val="auto"/>
                      <w:kern w:val="0"/>
                      <w:sz w:val="18"/>
                      <w:szCs w:val="18"/>
                      <w:lang w:bidi="ar"/>
                    </w:rPr>
                    <w:t>0.464</w:t>
                  </w:r>
                </w:p>
              </w:tc>
              <w:tc>
                <w:tcPr>
                  <w:tcW w:w="735" w:type="dxa"/>
                  <w:vAlign w:val="center"/>
                </w:tcPr>
                <w:p>
                  <w:pPr>
                    <w:autoSpaceDE w:val="0"/>
                    <w:autoSpaceDN w:val="0"/>
                    <w:jc w:val="center"/>
                    <w:rPr>
                      <w:color w:val="auto"/>
                      <w:sz w:val="18"/>
                      <w:szCs w:val="18"/>
                    </w:rPr>
                  </w:pPr>
                  <w:r>
                    <w:rPr>
                      <w:rFonts w:hint="eastAsia"/>
                      <w:color w:val="auto"/>
                      <w:kern w:val="0"/>
                      <w:sz w:val="18"/>
                      <w:szCs w:val="18"/>
                    </w:rPr>
                    <w:t>0.0016</w:t>
                  </w:r>
                </w:p>
              </w:tc>
              <w:tc>
                <w:tcPr>
                  <w:tcW w:w="780" w:type="dxa"/>
                  <w:vAlign w:val="center"/>
                </w:tcPr>
                <w:p>
                  <w:pPr>
                    <w:autoSpaceDE w:val="0"/>
                    <w:autoSpaceDN w:val="0"/>
                    <w:jc w:val="center"/>
                    <w:rPr>
                      <w:color w:val="auto"/>
                      <w:sz w:val="18"/>
                      <w:szCs w:val="18"/>
                    </w:rPr>
                  </w:pPr>
                  <w:r>
                    <w:rPr>
                      <w:rFonts w:hint="eastAsia"/>
                      <w:color w:val="auto"/>
                      <w:kern w:val="0"/>
                      <w:sz w:val="18"/>
                      <w:szCs w:val="18"/>
                    </w:rPr>
                    <w:t>0.0117</w:t>
                  </w:r>
                </w:p>
              </w:tc>
              <w:tc>
                <w:tcPr>
                  <w:tcW w:w="780" w:type="dxa"/>
                  <w:vAlign w:val="center"/>
                </w:tcPr>
                <w:p>
                  <w:pPr>
                    <w:jc w:val="center"/>
                    <w:rPr>
                      <w:color w:val="auto"/>
                      <w:sz w:val="18"/>
                      <w:szCs w:val="18"/>
                    </w:rPr>
                  </w:pPr>
                  <w:r>
                    <w:rPr>
                      <w:rFonts w:hint="eastAsia"/>
                      <w:color w:val="auto"/>
                      <w:sz w:val="18"/>
                      <w:szCs w:val="18"/>
                    </w:rPr>
                    <w:t>/</w:t>
                  </w:r>
                </w:p>
              </w:tc>
              <w:tc>
                <w:tcPr>
                  <w:tcW w:w="705" w:type="dxa"/>
                  <w:vAlign w:val="center"/>
                </w:tcPr>
                <w:p>
                  <w:pPr>
                    <w:jc w:val="center"/>
                    <w:rPr>
                      <w:color w:val="auto"/>
                      <w:sz w:val="18"/>
                      <w:szCs w:val="18"/>
                    </w:rPr>
                  </w:pPr>
                  <w:r>
                    <w:rPr>
                      <w:rFonts w:hint="eastAsia"/>
                      <w:color w:val="auto"/>
                      <w:sz w:val="18"/>
                      <w:szCs w:val="18"/>
                    </w:rPr>
                    <w:t>/</w:t>
                  </w:r>
                </w:p>
              </w:tc>
              <w:tc>
                <w:tcPr>
                  <w:tcW w:w="780" w:type="dxa"/>
                  <w:vAlign w:val="center"/>
                </w:tcPr>
                <w:p>
                  <w:pPr>
                    <w:jc w:val="center"/>
                    <w:rPr>
                      <w:color w:val="auto"/>
                      <w:sz w:val="18"/>
                      <w:szCs w:val="18"/>
                    </w:rPr>
                  </w:pPr>
                  <w:r>
                    <w:rPr>
                      <w:rFonts w:hint="eastAsia"/>
                      <w:color w:val="auto"/>
                      <w:sz w:val="18"/>
                      <w:szCs w:val="18"/>
                    </w:rPr>
                    <w:t>/</w:t>
                  </w:r>
                </w:p>
              </w:tc>
              <w:tc>
                <w:tcPr>
                  <w:tcW w:w="840" w:type="dxa"/>
                  <w:vMerge w:val="continue"/>
                  <w:vAlign w:val="center"/>
                </w:tcPr>
                <w:p>
                  <w:pPr>
                    <w:jc w:val="center"/>
                    <w:rPr>
                      <w:color w:val="auto"/>
                      <w:sz w:val="18"/>
                      <w:szCs w:val="18"/>
                    </w:rPr>
                  </w:pPr>
                </w:p>
              </w:tc>
              <w:tc>
                <w:tcPr>
                  <w:tcW w:w="675" w:type="dxa"/>
                  <w:vMerge w:val="continue"/>
                  <w:vAlign w:val="center"/>
                </w:tcPr>
                <w:p>
                  <w:pPr>
                    <w:jc w:val="center"/>
                    <w:rPr>
                      <w:color w:val="auto"/>
                      <w:sz w:val="18"/>
                      <w:szCs w:val="18"/>
                    </w:rPr>
                  </w:pPr>
                </w:p>
              </w:tc>
              <w:tc>
                <w:tcPr>
                  <w:tcW w:w="630" w:type="dxa"/>
                  <w:vMerge w:val="continue"/>
                  <w:vAlign w:val="center"/>
                </w:tcPr>
                <w:p>
                  <w:pPr>
                    <w:jc w:val="center"/>
                    <w:rPr>
                      <w:color w:val="auto"/>
                      <w:sz w:val="18"/>
                      <w:szCs w:val="18"/>
                    </w:rPr>
                  </w:pPr>
                </w:p>
              </w:tc>
              <w:tc>
                <w:tcPr>
                  <w:tcW w:w="645" w:type="dxa"/>
                  <w:vMerge w:val="continue"/>
                  <w:vAlign w:val="center"/>
                </w:tcPr>
                <w:p>
                  <w:pPr>
                    <w:jc w:val="center"/>
                    <w:rPr>
                      <w:color w:val="auto"/>
                      <w:sz w:val="18"/>
                      <w:szCs w:val="18"/>
                    </w:rPr>
                  </w:pPr>
                </w:p>
              </w:tc>
              <w:tc>
                <w:tcPr>
                  <w:tcW w:w="600" w:type="dxa"/>
                  <w:vMerge w:val="continue"/>
                  <w:vAlign w:val="center"/>
                </w:tcPr>
                <w:p>
                  <w:pPr>
                    <w:jc w:val="center"/>
                    <w:rPr>
                      <w:color w:val="auto"/>
                      <w:sz w:val="18"/>
                      <w:szCs w:val="18"/>
                    </w:rPr>
                  </w:pPr>
                </w:p>
              </w:tc>
              <w:tc>
                <w:tcPr>
                  <w:tcW w:w="420" w:type="dxa"/>
                  <w:vMerge w:val="continue"/>
                  <w:vAlign w:val="center"/>
                </w:tcPr>
                <w:p>
                  <w:pPr>
                    <w:jc w:val="center"/>
                    <w:rPr>
                      <w:color w:val="auto"/>
                      <w:sz w:val="18"/>
                      <w:szCs w:val="18"/>
                    </w:rPr>
                  </w:pPr>
                </w:p>
              </w:tc>
              <w:tc>
                <w:tcPr>
                  <w:tcW w:w="720" w:type="dxa"/>
                  <w:vMerge w:val="continue"/>
                  <w:vAlign w:val="center"/>
                </w:tcPr>
                <w:p>
                  <w:pPr>
                    <w:jc w:val="center"/>
                    <w:rPr>
                      <w:color w:val="auto"/>
                      <w:sz w:val="18"/>
                      <w:szCs w:val="18"/>
                    </w:rPr>
                  </w:pPr>
                </w:p>
              </w:tc>
              <w:tc>
                <w:tcPr>
                  <w:tcW w:w="855" w:type="dxa"/>
                  <w:vAlign w:val="center"/>
                </w:tcPr>
                <w:p>
                  <w:pPr>
                    <w:jc w:val="center"/>
                    <w:rPr>
                      <w:color w:val="auto"/>
                      <w:sz w:val="18"/>
                      <w:szCs w:val="18"/>
                    </w:rPr>
                  </w:pPr>
                  <w:r>
                    <w:rPr>
                      <w:rFonts w:hint="eastAsia"/>
                      <w:color w:val="auto"/>
                      <w:sz w:val="18"/>
                      <w:szCs w:val="18"/>
                    </w:rPr>
                    <w:t>/</w:t>
                  </w:r>
                </w:p>
              </w:tc>
              <w:tc>
                <w:tcPr>
                  <w:tcW w:w="715" w:type="dxa"/>
                  <w:vAlign w:val="center"/>
                </w:tcPr>
                <w:p>
                  <w:pPr>
                    <w:jc w:val="center"/>
                    <w:rPr>
                      <w:color w:val="auto"/>
                      <w:sz w:val="18"/>
                      <w:szCs w:val="18"/>
                    </w:rPr>
                  </w:pPr>
                  <w:r>
                    <w:rPr>
                      <w:rFonts w:hint="eastAsia"/>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74" w:type="dxa"/>
                  <w:vMerge w:val="continue"/>
                  <w:vAlign w:val="center"/>
                </w:tcPr>
                <w:p>
                  <w:pPr>
                    <w:jc w:val="center"/>
                    <w:rPr>
                      <w:color w:val="auto"/>
                      <w:sz w:val="18"/>
                      <w:szCs w:val="18"/>
                    </w:rPr>
                  </w:pPr>
                </w:p>
              </w:tc>
              <w:tc>
                <w:tcPr>
                  <w:tcW w:w="705" w:type="dxa"/>
                  <w:vAlign w:val="center"/>
                </w:tcPr>
                <w:p>
                  <w:pPr>
                    <w:jc w:val="center"/>
                    <w:rPr>
                      <w:bCs/>
                      <w:color w:val="auto"/>
                      <w:sz w:val="18"/>
                      <w:szCs w:val="18"/>
                    </w:rPr>
                  </w:pPr>
                  <w:r>
                    <w:rPr>
                      <w:rFonts w:hint="eastAsia"/>
                      <w:color w:val="auto"/>
                      <w:sz w:val="18"/>
                      <w:szCs w:val="18"/>
                    </w:rPr>
                    <w:t>注塑废气</w:t>
                  </w:r>
                </w:p>
              </w:tc>
              <w:tc>
                <w:tcPr>
                  <w:tcW w:w="825" w:type="dxa"/>
                  <w:vAlign w:val="center"/>
                </w:tcPr>
                <w:p>
                  <w:pPr>
                    <w:jc w:val="center"/>
                    <w:rPr>
                      <w:color w:val="auto"/>
                      <w:sz w:val="18"/>
                      <w:szCs w:val="18"/>
                    </w:rPr>
                  </w:pPr>
                  <w:r>
                    <w:rPr>
                      <w:rFonts w:hint="eastAsia"/>
                      <w:color w:val="auto"/>
                      <w:sz w:val="18"/>
                      <w:szCs w:val="18"/>
                    </w:rPr>
                    <w:t>非甲烷总烃</w:t>
                  </w:r>
                </w:p>
              </w:tc>
              <w:tc>
                <w:tcPr>
                  <w:tcW w:w="735" w:type="dxa"/>
                  <w:vAlign w:val="center"/>
                </w:tcPr>
                <w:p>
                  <w:pPr>
                    <w:autoSpaceDE w:val="0"/>
                    <w:autoSpaceDN w:val="0"/>
                    <w:jc w:val="center"/>
                    <w:rPr>
                      <w:color w:val="auto"/>
                      <w:sz w:val="18"/>
                      <w:szCs w:val="18"/>
                    </w:rPr>
                  </w:pPr>
                  <w:r>
                    <w:rPr>
                      <w:rFonts w:hint="eastAsia"/>
                      <w:color w:val="auto"/>
                      <w:kern w:val="0"/>
                      <w:sz w:val="18"/>
                      <w:szCs w:val="18"/>
                    </w:rPr>
                    <w:t>6500</w:t>
                  </w:r>
                </w:p>
              </w:tc>
              <w:tc>
                <w:tcPr>
                  <w:tcW w:w="900" w:type="dxa"/>
                  <w:vAlign w:val="center"/>
                </w:tcPr>
                <w:p>
                  <w:pPr>
                    <w:autoSpaceDE w:val="0"/>
                    <w:autoSpaceDN w:val="0"/>
                    <w:jc w:val="center"/>
                    <w:rPr>
                      <w:color w:val="auto"/>
                      <w:kern w:val="0"/>
                      <w:sz w:val="18"/>
                      <w:szCs w:val="18"/>
                    </w:rPr>
                  </w:pPr>
                  <w:r>
                    <w:rPr>
                      <w:rFonts w:hint="eastAsia"/>
                      <w:color w:val="auto"/>
                      <w:kern w:val="0"/>
                      <w:sz w:val="18"/>
                      <w:szCs w:val="18"/>
                    </w:rPr>
                    <w:t>2700</w:t>
                  </w:r>
                </w:p>
              </w:tc>
              <w:tc>
                <w:tcPr>
                  <w:tcW w:w="855" w:type="dxa"/>
                  <w:vAlign w:val="center"/>
                </w:tcPr>
                <w:p>
                  <w:pPr>
                    <w:widowControl/>
                    <w:jc w:val="center"/>
                    <w:textAlignment w:val="center"/>
                    <w:rPr>
                      <w:color w:val="auto"/>
                      <w:sz w:val="18"/>
                      <w:szCs w:val="18"/>
                    </w:rPr>
                  </w:pPr>
                  <w:r>
                    <w:rPr>
                      <w:color w:val="auto"/>
                      <w:kern w:val="0"/>
                      <w:sz w:val="18"/>
                      <w:szCs w:val="18"/>
                      <w:lang w:bidi="ar"/>
                    </w:rPr>
                    <w:t>0.564</w:t>
                  </w:r>
                </w:p>
              </w:tc>
              <w:tc>
                <w:tcPr>
                  <w:tcW w:w="735" w:type="dxa"/>
                  <w:vAlign w:val="center"/>
                </w:tcPr>
                <w:p>
                  <w:pPr>
                    <w:autoSpaceDE w:val="0"/>
                    <w:autoSpaceDN w:val="0"/>
                    <w:jc w:val="center"/>
                    <w:rPr>
                      <w:color w:val="auto"/>
                      <w:sz w:val="18"/>
                      <w:szCs w:val="18"/>
                    </w:rPr>
                  </w:pPr>
                  <w:r>
                    <w:rPr>
                      <w:rFonts w:hint="eastAsia"/>
                      <w:color w:val="auto"/>
                      <w:sz w:val="18"/>
                      <w:szCs w:val="18"/>
                    </w:rPr>
                    <w:t>0.0015</w:t>
                  </w:r>
                </w:p>
              </w:tc>
              <w:tc>
                <w:tcPr>
                  <w:tcW w:w="780" w:type="dxa"/>
                  <w:vAlign w:val="center"/>
                </w:tcPr>
                <w:p>
                  <w:pPr>
                    <w:autoSpaceDE w:val="0"/>
                    <w:autoSpaceDN w:val="0"/>
                    <w:jc w:val="center"/>
                    <w:rPr>
                      <w:color w:val="auto"/>
                      <w:sz w:val="18"/>
                      <w:szCs w:val="18"/>
                    </w:rPr>
                  </w:pPr>
                  <w:r>
                    <w:rPr>
                      <w:rFonts w:hint="eastAsia"/>
                      <w:color w:val="auto"/>
                      <w:kern w:val="0"/>
                      <w:sz w:val="18"/>
                      <w:szCs w:val="18"/>
                    </w:rPr>
                    <w:t>0.0099</w:t>
                  </w:r>
                </w:p>
              </w:tc>
              <w:tc>
                <w:tcPr>
                  <w:tcW w:w="780" w:type="dxa"/>
                  <w:vAlign w:val="center"/>
                </w:tcPr>
                <w:p>
                  <w:pPr>
                    <w:jc w:val="center"/>
                    <w:rPr>
                      <w:color w:val="auto"/>
                      <w:sz w:val="18"/>
                      <w:szCs w:val="18"/>
                    </w:rPr>
                  </w:pPr>
                  <w:r>
                    <w:rPr>
                      <w:rFonts w:hint="eastAsia"/>
                      <w:color w:val="auto"/>
                      <w:sz w:val="18"/>
                      <w:szCs w:val="18"/>
                    </w:rPr>
                    <w:t>/</w:t>
                  </w:r>
                </w:p>
              </w:tc>
              <w:tc>
                <w:tcPr>
                  <w:tcW w:w="705" w:type="dxa"/>
                  <w:vAlign w:val="center"/>
                </w:tcPr>
                <w:p>
                  <w:pPr>
                    <w:jc w:val="center"/>
                    <w:rPr>
                      <w:color w:val="auto"/>
                      <w:sz w:val="18"/>
                      <w:szCs w:val="18"/>
                    </w:rPr>
                  </w:pPr>
                  <w:r>
                    <w:rPr>
                      <w:rFonts w:hint="eastAsia"/>
                      <w:color w:val="auto"/>
                      <w:sz w:val="18"/>
                      <w:szCs w:val="18"/>
                    </w:rPr>
                    <w:t>/</w:t>
                  </w:r>
                </w:p>
              </w:tc>
              <w:tc>
                <w:tcPr>
                  <w:tcW w:w="780" w:type="dxa"/>
                  <w:vAlign w:val="center"/>
                </w:tcPr>
                <w:p>
                  <w:pPr>
                    <w:jc w:val="center"/>
                    <w:rPr>
                      <w:color w:val="auto"/>
                      <w:sz w:val="18"/>
                      <w:szCs w:val="18"/>
                    </w:rPr>
                  </w:pPr>
                  <w:r>
                    <w:rPr>
                      <w:rFonts w:hint="eastAsia"/>
                      <w:color w:val="auto"/>
                      <w:sz w:val="18"/>
                      <w:szCs w:val="18"/>
                    </w:rPr>
                    <w:t>/</w:t>
                  </w:r>
                </w:p>
              </w:tc>
              <w:tc>
                <w:tcPr>
                  <w:tcW w:w="840" w:type="dxa"/>
                  <w:vMerge w:val="continue"/>
                  <w:vAlign w:val="center"/>
                </w:tcPr>
                <w:p>
                  <w:pPr>
                    <w:jc w:val="center"/>
                    <w:rPr>
                      <w:color w:val="auto"/>
                      <w:sz w:val="18"/>
                      <w:szCs w:val="18"/>
                    </w:rPr>
                  </w:pPr>
                </w:p>
              </w:tc>
              <w:tc>
                <w:tcPr>
                  <w:tcW w:w="675" w:type="dxa"/>
                  <w:vMerge w:val="continue"/>
                  <w:vAlign w:val="center"/>
                </w:tcPr>
                <w:p>
                  <w:pPr>
                    <w:jc w:val="center"/>
                    <w:rPr>
                      <w:color w:val="auto"/>
                      <w:sz w:val="18"/>
                      <w:szCs w:val="18"/>
                    </w:rPr>
                  </w:pPr>
                </w:p>
              </w:tc>
              <w:tc>
                <w:tcPr>
                  <w:tcW w:w="630" w:type="dxa"/>
                  <w:vMerge w:val="continue"/>
                  <w:vAlign w:val="center"/>
                </w:tcPr>
                <w:p>
                  <w:pPr>
                    <w:jc w:val="center"/>
                    <w:rPr>
                      <w:color w:val="auto"/>
                      <w:sz w:val="18"/>
                      <w:szCs w:val="18"/>
                    </w:rPr>
                  </w:pPr>
                </w:p>
              </w:tc>
              <w:tc>
                <w:tcPr>
                  <w:tcW w:w="645" w:type="dxa"/>
                  <w:vMerge w:val="continue"/>
                  <w:vAlign w:val="center"/>
                </w:tcPr>
                <w:p>
                  <w:pPr>
                    <w:jc w:val="center"/>
                    <w:rPr>
                      <w:color w:val="auto"/>
                      <w:sz w:val="18"/>
                      <w:szCs w:val="18"/>
                    </w:rPr>
                  </w:pPr>
                </w:p>
              </w:tc>
              <w:tc>
                <w:tcPr>
                  <w:tcW w:w="600" w:type="dxa"/>
                  <w:vMerge w:val="continue"/>
                  <w:vAlign w:val="center"/>
                </w:tcPr>
                <w:p>
                  <w:pPr>
                    <w:jc w:val="center"/>
                    <w:rPr>
                      <w:color w:val="auto"/>
                      <w:sz w:val="18"/>
                      <w:szCs w:val="18"/>
                    </w:rPr>
                  </w:pPr>
                </w:p>
              </w:tc>
              <w:tc>
                <w:tcPr>
                  <w:tcW w:w="420" w:type="dxa"/>
                  <w:vMerge w:val="continue"/>
                  <w:vAlign w:val="center"/>
                </w:tcPr>
                <w:p>
                  <w:pPr>
                    <w:jc w:val="center"/>
                    <w:rPr>
                      <w:color w:val="auto"/>
                      <w:sz w:val="18"/>
                      <w:szCs w:val="18"/>
                    </w:rPr>
                  </w:pPr>
                </w:p>
              </w:tc>
              <w:tc>
                <w:tcPr>
                  <w:tcW w:w="720" w:type="dxa"/>
                  <w:vMerge w:val="continue"/>
                  <w:vAlign w:val="center"/>
                </w:tcPr>
                <w:p>
                  <w:pPr>
                    <w:jc w:val="center"/>
                    <w:rPr>
                      <w:color w:val="auto"/>
                      <w:sz w:val="18"/>
                      <w:szCs w:val="18"/>
                    </w:rPr>
                  </w:pPr>
                </w:p>
              </w:tc>
              <w:tc>
                <w:tcPr>
                  <w:tcW w:w="855" w:type="dxa"/>
                  <w:vAlign w:val="center"/>
                </w:tcPr>
                <w:p>
                  <w:pPr>
                    <w:jc w:val="center"/>
                    <w:rPr>
                      <w:color w:val="auto"/>
                      <w:sz w:val="18"/>
                      <w:szCs w:val="18"/>
                    </w:rPr>
                  </w:pPr>
                  <w:r>
                    <w:rPr>
                      <w:rFonts w:hint="eastAsia"/>
                      <w:color w:val="auto"/>
                      <w:sz w:val="18"/>
                      <w:szCs w:val="18"/>
                    </w:rPr>
                    <w:t>/</w:t>
                  </w:r>
                </w:p>
              </w:tc>
              <w:tc>
                <w:tcPr>
                  <w:tcW w:w="715" w:type="dxa"/>
                  <w:vAlign w:val="center"/>
                </w:tcPr>
                <w:p>
                  <w:pPr>
                    <w:jc w:val="center"/>
                    <w:rPr>
                      <w:color w:val="auto"/>
                      <w:sz w:val="18"/>
                      <w:szCs w:val="18"/>
                    </w:rPr>
                  </w:pPr>
                  <w:r>
                    <w:rPr>
                      <w:rFonts w:hint="eastAsia"/>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74" w:type="dxa"/>
                  <w:vMerge w:val="continue"/>
                  <w:vAlign w:val="center"/>
                </w:tcPr>
                <w:p>
                  <w:pPr>
                    <w:jc w:val="center"/>
                    <w:rPr>
                      <w:color w:val="auto"/>
                      <w:sz w:val="18"/>
                      <w:szCs w:val="18"/>
                    </w:rPr>
                  </w:pPr>
                </w:p>
              </w:tc>
              <w:tc>
                <w:tcPr>
                  <w:tcW w:w="705" w:type="dxa"/>
                  <w:vMerge w:val="restart"/>
                  <w:vAlign w:val="center"/>
                </w:tcPr>
                <w:p>
                  <w:pPr>
                    <w:adjustRightInd w:val="0"/>
                    <w:snapToGrid w:val="0"/>
                    <w:jc w:val="center"/>
                    <w:rPr>
                      <w:color w:val="auto"/>
                      <w:sz w:val="18"/>
                      <w:szCs w:val="18"/>
                    </w:rPr>
                  </w:pPr>
                  <w:r>
                    <w:rPr>
                      <w:rFonts w:hint="eastAsia"/>
                      <w:bCs/>
                      <w:color w:val="auto"/>
                      <w:sz w:val="18"/>
                      <w:szCs w:val="18"/>
                    </w:rPr>
                    <w:t>开炼废气</w:t>
                  </w:r>
                </w:p>
              </w:tc>
              <w:tc>
                <w:tcPr>
                  <w:tcW w:w="825" w:type="dxa"/>
                  <w:vAlign w:val="center"/>
                </w:tcPr>
                <w:p>
                  <w:pPr>
                    <w:widowControl/>
                    <w:jc w:val="center"/>
                    <w:rPr>
                      <w:color w:val="auto"/>
                      <w:sz w:val="18"/>
                      <w:szCs w:val="18"/>
                    </w:rPr>
                  </w:pPr>
                  <w:r>
                    <w:rPr>
                      <w:rFonts w:hint="eastAsia"/>
                      <w:color w:val="auto"/>
                      <w:sz w:val="18"/>
                      <w:szCs w:val="18"/>
                    </w:rPr>
                    <w:t>非甲烷总烃</w:t>
                  </w:r>
                </w:p>
              </w:tc>
              <w:tc>
                <w:tcPr>
                  <w:tcW w:w="735" w:type="dxa"/>
                  <w:vMerge w:val="restart"/>
                  <w:vAlign w:val="center"/>
                </w:tcPr>
                <w:p>
                  <w:pPr>
                    <w:jc w:val="center"/>
                    <w:rPr>
                      <w:color w:val="auto"/>
                      <w:sz w:val="18"/>
                      <w:szCs w:val="18"/>
                    </w:rPr>
                  </w:pPr>
                  <w:r>
                    <w:rPr>
                      <w:rFonts w:hint="eastAsia"/>
                      <w:color w:val="auto"/>
                      <w:sz w:val="18"/>
                      <w:szCs w:val="18"/>
                    </w:rPr>
                    <w:t>7200</w:t>
                  </w:r>
                </w:p>
              </w:tc>
              <w:tc>
                <w:tcPr>
                  <w:tcW w:w="900" w:type="dxa"/>
                  <w:vMerge w:val="restart"/>
                  <w:vAlign w:val="center"/>
                </w:tcPr>
                <w:p>
                  <w:pPr>
                    <w:jc w:val="center"/>
                    <w:rPr>
                      <w:color w:val="auto"/>
                      <w:sz w:val="18"/>
                      <w:szCs w:val="18"/>
                    </w:rPr>
                  </w:pPr>
                  <w:r>
                    <w:rPr>
                      <w:rFonts w:hint="eastAsia"/>
                      <w:color w:val="auto"/>
                      <w:kern w:val="0"/>
                      <w:sz w:val="18"/>
                      <w:szCs w:val="18"/>
                    </w:rPr>
                    <w:t>4500</w:t>
                  </w:r>
                </w:p>
              </w:tc>
              <w:tc>
                <w:tcPr>
                  <w:tcW w:w="855" w:type="dxa"/>
                  <w:vAlign w:val="center"/>
                </w:tcPr>
                <w:p>
                  <w:pPr>
                    <w:widowControl/>
                    <w:jc w:val="center"/>
                    <w:textAlignment w:val="center"/>
                    <w:rPr>
                      <w:color w:val="auto"/>
                      <w:sz w:val="18"/>
                      <w:szCs w:val="18"/>
                    </w:rPr>
                  </w:pPr>
                  <w:r>
                    <w:rPr>
                      <w:color w:val="auto"/>
                      <w:kern w:val="0"/>
                      <w:sz w:val="18"/>
                      <w:szCs w:val="18"/>
                      <w:lang w:bidi="ar"/>
                    </w:rPr>
                    <w:t>0.528</w:t>
                  </w:r>
                </w:p>
              </w:tc>
              <w:tc>
                <w:tcPr>
                  <w:tcW w:w="735" w:type="dxa"/>
                  <w:vAlign w:val="center"/>
                </w:tcPr>
                <w:p>
                  <w:pPr>
                    <w:autoSpaceDE w:val="0"/>
                    <w:autoSpaceDN w:val="0"/>
                    <w:jc w:val="center"/>
                    <w:rPr>
                      <w:color w:val="auto"/>
                      <w:sz w:val="18"/>
                      <w:szCs w:val="18"/>
                    </w:rPr>
                  </w:pPr>
                  <w:r>
                    <w:rPr>
                      <w:rFonts w:hint="eastAsia"/>
                      <w:color w:val="auto"/>
                      <w:kern w:val="0"/>
                      <w:sz w:val="18"/>
                      <w:szCs w:val="18"/>
                    </w:rPr>
                    <w:t>0.0024</w:t>
                  </w:r>
                </w:p>
              </w:tc>
              <w:tc>
                <w:tcPr>
                  <w:tcW w:w="780" w:type="dxa"/>
                  <w:vAlign w:val="center"/>
                </w:tcPr>
                <w:p>
                  <w:pPr>
                    <w:autoSpaceDE w:val="0"/>
                    <w:autoSpaceDN w:val="0"/>
                    <w:jc w:val="center"/>
                    <w:rPr>
                      <w:color w:val="auto"/>
                      <w:sz w:val="18"/>
                      <w:szCs w:val="18"/>
                    </w:rPr>
                  </w:pPr>
                  <w:r>
                    <w:rPr>
                      <w:rFonts w:hint="eastAsia"/>
                      <w:color w:val="auto"/>
                      <w:kern w:val="0"/>
                      <w:sz w:val="18"/>
                      <w:szCs w:val="18"/>
                    </w:rPr>
                    <w:t>0.0171</w:t>
                  </w:r>
                </w:p>
              </w:tc>
              <w:tc>
                <w:tcPr>
                  <w:tcW w:w="780" w:type="dxa"/>
                  <w:vAlign w:val="center"/>
                </w:tcPr>
                <w:p>
                  <w:pPr>
                    <w:jc w:val="center"/>
                    <w:rPr>
                      <w:color w:val="auto"/>
                      <w:sz w:val="18"/>
                      <w:szCs w:val="18"/>
                    </w:rPr>
                  </w:pPr>
                  <w:r>
                    <w:rPr>
                      <w:rFonts w:hint="eastAsia"/>
                      <w:color w:val="auto"/>
                      <w:sz w:val="18"/>
                      <w:szCs w:val="18"/>
                    </w:rPr>
                    <w:t>0.0292</w:t>
                  </w:r>
                </w:p>
              </w:tc>
              <w:tc>
                <w:tcPr>
                  <w:tcW w:w="705" w:type="dxa"/>
                  <w:vAlign w:val="center"/>
                </w:tcPr>
                <w:p>
                  <w:pPr>
                    <w:jc w:val="center"/>
                    <w:rPr>
                      <w:color w:val="auto"/>
                      <w:sz w:val="18"/>
                      <w:szCs w:val="18"/>
                    </w:rPr>
                  </w:pPr>
                  <w:r>
                    <w:rPr>
                      <w:rFonts w:hint="eastAsia"/>
                      <w:color w:val="auto"/>
                      <w:sz w:val="18"/>
                      <w:szCs w:val="18"/>
                    </w:rPr>
                    <w:t>0.00076</w:t>
                  </w:r>
                </w:p>
              </w:tc>
              <w:tc>
                <w:tcPr>
                  <w:tcW w:w="780" w:type="dxa"/>
                  <w:vAlign w:val="center"/>
                </w:tcPr>
                <w:p>
                  <w:pPr>
                    <w:jc w:val="center"/>
                    <w:rPr>
                      <w:color w:val="auto"/>
                      <w:sz w:val="18"/>
                      <w:szCs w:val="18"/>
                    </w:rPr>
                  </w:pPr>
                  <w:r>
                    <w:rPr>
                      <w:rFonts w:hint="eastAsia"/>
                      <w:color w:val="auto"/>
                      <w:sz w:val="18"/>
                      <w:szCs w:val="18"/>
                    </w:rPr>
                    <w:t>0.0075</w:t>
                  </w:r>
                </w:p>
              </w:tc>
              <w:tc>
                <w:tcPr>
                  <w:tcW w:w="840" w:type="dxa"/>
                  <w:vMerge w:val="continue"/>
                  <w:vAlign w:val="center"/>
                </w:tcPr>
                <w:p>
                  <w:pPr>
                    <w:jc w:val="center"/>
                    <w:rPr>
                      <w:color w:val="auto"/>
                      <w:sz w:val="18"/>
                      <w:szCs w:val="18"/>
                    </w:rPr>
                  </w:pPr>
                </w:p>
              </w:tc>
              <w:tc>
                <w:tcPr>
                  <w:tcW w:w="675" w:type="dxa"/>
                  <w:vMerge w:val="continue"/>
                  <w:vAlign w:val="center"/>
                </w:tcPr>
                <w:p>
                  <w:pPr>
                    <w:jc w:val="center"/>
                    <w:rPr>
                      <w:color w:val="auto"/>
                      <w:sz w:val="18"/>
                      <w:szCs w:val="18"/>
                    </w:rPr>
                  </w:pPr>
                </w:p>
              </w:tc>
              <w:tc>
                <w:tcPr>
                  <w:tcW w:w="630" w:type="dxa"/>
                  <w:vMerge w:val="continue"/>
                  <w:vAlign w:val="center"/>
                </w:tcPr>
                <w:p>
                  <w:pPr>
                    <w:jc w:val="center"/>
                    <w:rPr>
                      <w:color w:val="auto"/>
                      <w:sz w:val="18"/>
                      <w:szCs w:val="18"/>
                    </w:rPr>
                  </w:pPr>
                </w:p>
              </w:tc>
              <w:tc>
                <w:tcPr>
                  <w:tcW w:w="645" w:type="dxa"/>
                  <w:vMerge w:val="continue"/>
                  <w:vAlign w:val="center"/>
                </w:tcPr>
                <w:p>
                  <w:pPr>
                    <w:jc w:val="center"/>
                    <w:rPr>
                      <w:color w:val="auto"/>
                      <w:sz w:val="18"/>
                      <w:szCs w:val="18"/>
                    </w:rPr>
                  </w:pPr>
                </w:p>
              </w:tc>
              <w:tc>
                <w:tcPr>
                  <w:tcW w:w="600" w:type="dxa"/>
                  <w:vMerge w:val="continue"/>
                  <w:vAlign w:val="center"/>
                </w:tcPr>
                <w:p>
                  <w:pPr>
                    <w:jc w:val="center"/>
                    <w:rPr>
                      <w:color w:val="auto"/>
                      <w:sz w:val="18"/>
                      <w:szCs w:val="18"/>
                    </w:rPr>
                  </w:pPr>
                </w:p>
              </w:tc>
              <w:tc>
                <w:tcPr>
                  <w:tcW w:w="420" w:type="dxa"/>
                  <w:vMerge w:val="continue"/>
                  <w:vAlign w:val="center"/>
                </w:tcPr>
                <w:p>
                  <w:pPr>
                    <w:jc w:val="center"/>
                    <w:rPr>
                      <w:color w:val="auto"/>
                      <w:sz w:val="18"/>
                      <w:szCs w:val="18"/>
                    </w:rPr>
                  </w:pPr>
                </w:p>
              </w:tc>
              <w:tc>
                <w:tcPr>
                  <w:tcW w:w="720" w:type="dxa"/>
                  <w:vMerge w:val="continue"/>
                  <w:vAlign w:val="center"/>
                </w:tcPr>
                <w:p>
                  <w:pPr>
                    <w:jc w:val="center"/>
                    <w:rPr>
                      <w:color w:val="auto"/>
                      <w:sz w:val="18"/>
                      <w:szCs w:val="18"/>
                    </w:rPr>
                  </w:pPr>
                </w:p>
              </w:tc>
              <w:tc>
                <w:tcPr>
                  <w:tcW w:w="855" w:type="dxa"/>
                  <w:vAlign w:val="center"/>
                </w:tcPr>
                <w:p>
                  <w:pPr>
                    <w:jc w:val="center"/>
                    <w:rPr>
                      <w:color w:val="auto"/>
                      <w:sz w:val="18"/>
                      <w:szCs w:val="18"/>
                    </w:rPr>
                  </w:pPr>
                  <w:r>
                    <w:rPr>
                      <w:rFonts w:hint="eastAsia"/>
                      <w:color w:val="auto"/>
                      <w:sz w:val="18"/>
                      <w:szCs w:val="18"/>
                    </w:rPr>
                    <w:t>10</w:t>
                  </w:r>
                </w:p>
              </w:tc>
              <w:tc>
                <w:tcPr>
                  <w:tcW w:w="715" w:type="dxa"/>
                  <w:vAlign w:val="center"/>
                </w:tcPr>
                <w:p>
                  <w:pPr>
                    <w:jc w:val="center"/>
                    <w:rPr>
                      <w:color w:val="auto"/>
                      <w:sz w:val="18"/>
                      <w:szCs w:val="18"/>
                    </w:rPr>
                  </w:pPr>
                  <w:r>
                    <w:rPr>
                      <w:rFonts w:hint="eastAsia"/>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74" w:type="dxa"/>
                  <w:vMerge w:val="continue"/>
                  <w:vAlign w:val="center"/>
                </w:tcPr>
                <w:p>
                  <w:pPr>
                    <w:jc w:val="center"/>
                    <w:rPr>
                      <w:color w:val="auto"/>
                      <w:sz w:val="18"/>
                      <w:szCs w:val="18"/>
                    </w:rPr>
                  </w:pPr>
                </w:p>
              </w:tc>
              <w:tc>
                <w:tcPr>
                  <w:tcW w:w="705" w:type="dxa"/>
                  <w:vMerge w:val="continue"/>
                  <w:vAlign w:val="center"/>
                </w:tcPr>
                <w:p>
                  <w:pPr>
                    <w:jc w:val="center"/>
                    <w:rPr>
                      <w:color w:val="auto"/>
                      <w:sz w:val="18"/>
                      <w:szCs w:val="18"/>
                    </w:rPr>
                  </w:pPr>
                </w:p>
              </w:tc>
              <w:tc>
                <w:tcPr>
                  <w:tcW w:w="825" w:type="dxa"/>
                  <w:vAlign w:val="center"/>
                </w:tcPr>
                <w:p>
                  <w:pPr>
                    <w:widowControl/>
                    <w:jc w:val="center"/>
                    <w:rPr>
                      <w:color w:val="auto"/>
                      <w:sz w:val="18"/>
                      <w:szCs w:val="18"/>
                    </w:rPr>
                  </w:pPr>
                  <w:r>
                    <w:rPr>
                      <w:rFonts w:hint="eastAsia"/>
                      <w:color w:val="auto"/>
                      <w:sz w:val="18"/>
                      <w:szCs w:val="18"/>
                    </w:rPr>
                    <w:t>颗粒物</w:t>
                  </w:r>
                </w:p>
              </w:tc>
              <w:tc>
                <w:tcPr>
                  <w:tcW w:w="735" w:type="dxa"/>
                  <w:vMerge w:val="continue"/>
                  <w:vAlign w:val="center"/>
                </w:tcPr>
                <w:p>
                  <w:pPr>
                    <w:jc w:val="center"/>
                    <w:rPr>
                      <w:color w:val="auto"/>
                      <w:sz w:val="18"/>
                      <w:szCs w:val="18"/>
                    </w:rPr>
                  </w:pPr>
                </w:p>
              </w:tc>
              <w:tc>
                <w:tcPr>
                  <w:tcW w:w="900" w:type="dxa"/>
                  <w:vMerge w:val="continue"/>
                  <w:vAlign w:val="center"/>
                </w:tcPr>
                <w:p>
                  <w:pPr>
                    <w:jc w:val="center"/>
                    <w:rPr>
                      <w:color w:val="auto"/>
                      <w:sz w:val="18"/>
                      <w:szCs w:val="18"/>
                    </w:rPr>
                  </w:pPr>
                </w:p>
              </w:tc>
              <w:tc>
                <w:tcPr>
                  <w:tcW w:w="855" w:type="dxa"/>
                  <w:vAlign w:val="center"/>
                </w:tcPr>
                <w:p>
                  <w:pPr>
                    <w:widowControl/>
                    <w:jc w:val="center"/>
                    <w:textAlignment w:val="center"/>
                    <w:rPr>
                      <w:color w:val="auto"/>
                      <w:sz w:val="18"/>
                      <w:szCs w:val="18"/>
                    </w:rPr>
                  </w:pPr>
                  <w:r>
                    <w:rPr>
                      <w:color w:val="auto"/>
                      <w:kern w:val="0"/>
                      <w:sz w:val="18"/>
                      <w:szCs w:val="18"/>
                      <w:lang w:bidi="ar"/>
                    </w:rPr>
                    <w:t>2.306</w:t>
                  </w:r>
                </w:p>
              </w:tc>
              <w:tc>
                <w:tcPr>
                  <w:tcW w:w="735" w:type="dxa"/>
                  <w:vAlign w:val="center"/>
                </w:tcPr>
                <w:p>
                  <w:pPr>
                    <w:autoSpaceDE w:val="0"/>
                    <w:autoSpaceDN w:val="0"/>
                    <w:jc w:val="center"/>
                    <w:rPr>
                      <w:color w:val="auto"/>
                      <w:sz w:val="18"/>
                      <w:szCs w:val="18"/>
                    </w:rPr>
                  </w:pPr>
                  <w:r>
                    <w:rPr>
                      <w:rFonts w:hint="eastAsia"/>
                      <w:color w:val="auto"/>
                      <w:kern w:val="0"/>
                      <w:sz w:val="18"/>
                      <w:szCs w:val="18"/>
                    </w:rPr>
                    <w:t>0.0125</w:t>
                  </w:r>
                </w:p>
              </w:tc>
              <w:tc>
                <w:tcPr>
                  <w:tcW w:w="780" w:type="dxa"/>
                  <w:vAlign w:val="center"/>
                </w:tcPr>
                <w:p>
                  <w:pPr>
                    <w:autoSpaceDE w:val="0"/>
                    <w:autoSpaceDN w:val="0"/>
                    <w:jc w:val="center"/>
                    <w:rPr>
                      <w:color w:val="auto"/>
                      <w:sz w:val="18"/>
                      <w:szCs w:val="18"/>
                    </w:rPr>
                  </w:pPr>
                  <w:r>
                    <w:rPr>
                      <w:rFonts w:hint="eastAsia"/>
                      <w:color w:val="auto"/>
                      <w:kern w:val="0"/>
                      <w:sz w:val="18"/>
                      <w:szCs w:val="18"/>
                    </w:rPr>
                    <w:t>0.0747</w:t>
                  </w:r>
                </w:p>
              </w:tc>
              <w:tc>
                <w:tcPr>
                  <w:tcW w:w="780" w:type="dxa"/>
                  <w:vAlign w:val="center"/>
                </w:tcPr>
                <w:p>
                  <w:pPr>
                    <w:jc w:val="center"/>
                    <w:rPr>
                      <w:color w:val="auto"/>
                      <w:sz w:val="18"/>
                      <w:szCs w:val="18"/>
                    </w:rPr>
                  </w:pPr>
                  <w:r>
                    <w:rPr>
                      <w:rFonts w:hint="eastAsia"/>
                      <w:color w:val="auto"/>
                      <w:sz w:val="18"/>
                      <w:szCs w:val="18"/>
                    </w:rPr>
                    <w:t>0.004</w:t>
                  </w:r>
                </w:p>
              </w:tc>
              <w:tc>
                <w:tcPr>
                  <w:tcW w:w="705" w:type="dxa"/>
                  <w:vAlign w:val="center"/>
                </w:tcPr>
                <w:p>
                  <w:pPr>
                    <w:jc w:val="center"/>
                    <w:rPr>
                      <w:color w:val="auto"/>
                      <w:sz w:val="18"/>
                      <w:szCs w:val="18"/>
                    </w:rPr>
                  </w:pPr>
                  <w:r>
                    <w:rPr>
                      <w:rFonts w:hint="eastAsia"/>
                      <w:color w:val="auto"/>
                      <w:sz w:val="18"/>
                      <w:szCs w:val="18"/>
                    </w:rPr>
                    <w:t>0.00013</w:t>
                  </w:r>
                </w:p>
              </w:tc>
              <w:tc>
                <w:tcPr>
                  <w:tcW w:w="780" w:type="dxa"/>
                  <w:vAlign w:val="center"/>
                </w:tcPr>
                <w:p>
                  <w:pPr>
                    <w:jc w:val="center"/>
                    <w:rPr>
                      <w:color w:val="auto"/>
                      <w:sz w:val="18"/>
                      <w:szCs w:val="18"/>
                    </w:rPr>
                  </w:pPr>
                  <w:r>
                    <w:rPr>
                      <w:rFonts w:hint="eastAsia"/>
                      <w:color w:val="auto"/>
                      <w:sz w:val="18"/>
                      <w:szCs w:val="18"/>
                    </w:rPr>
                    <w:t>0.0007</w:t>
                  </w:r>
                </w:p>
              </w:tc>
              <w:tc>
                <w:tcPr>
                  <w:tcW w:w="840" w:type="dxa"/>
                  <w:vMerge w:val="continue"/>
                  <w:vAlign w:val="center"/>
                </w:tcPr>
                <w:p>
                  <w:pPr>
                    <w:jc w:val="center"/>
                    <w:rPr>
                      <w:color w:val="auto"/>
                      <w:sz w:val="18"/>
                      <w:szCs w:val="18"/>
                    </w:rPr>
                  </w:pPr>
                </w:p>
              </w:tc>
              <w:tc>
                <w:tcPr>
                  <w:tcW w:w="675" w:type="dxa"/>
                  <w:vMerge w:val="continue"/>
                  <w:vAlign w:val="center"/>
                </w:tcPr>
                <w:p>
                  <w:pPr>
                    <w:jc w:val="center"/>
                    <w:rPr>
                      <w:color w:val="auto"/>
                      <w:sz w:val="18"/>
                      <w:szCs w:val="18"/>
                    </w:rPr>
                  </w:pPr>
                </w:p>
              </w:tc>
              <w:tc>
                <w:tcPr>
                  <w:tcW w:w="630" w:type="dxa"/>
                  <w:vMerge w:val="continue"/>
                  <w:vAlign w:val="center"/>
                </w:tcPr>
                <w:p>
                  <w:pPr>
                    <w:jc w:val="center"/>
                    <w:rPr>
                      <w:color w:val="auto"/>
                      <w:sz w:val="18"/>
                      <w:szCs w:val="18"/>
                    </w:rPr>
                  </w:pPr>
                </w:p>
              </w:tc>
              <w:tc>
                <w:tcPr>
                  <w:tcW w:w="645" w:type="dxa"/>
                  <w:vMerge w:val="continue"/>
                  <w:vAlign w:val="center"/>
                </w:tcPr>
                <w:p>
                  <w:pPr>
                    <w:jc w:val="center"/>
                    <w:rPr>
                      <w:color w:val="auto"/>
                      <w:sz w:val="18"/>
                      <w:szCs w:val="18"/>
                    </w:rPr>
                  </w:pPr>
                </w:p>
              </w:tc>
              <w:tc>
                <w:tcPr>
                  <w:tcW w:w="600" w:type="dxa"/>
                  <w:vMerge w:val="continue"/>
                  <w:vAlign w:val="center"/>
                </w:tcPr>
                <w:p>
                  <w:pPr>
                    <w:jc w:val="center"/>
                    <w:rPr>
                      <w:color w:val="auto"/>
                      <w:sz w:val="18"/>
                      <w:szCs w:val="18"/>
                    </w:rPr>
                  </w:pPr>
                </w:p>
              </w:tc>
              <w:tc>
                <w:tcPr>
                  <w:tcW w:w="420" w:type="dxa"/>
                  <w:vMerge w:val="continue"/>
                  <w:vAlign w:val="center"/>
                </w:tcPr>
                <w:p>
                  <w:pPr>
                    <w:jc w:val="center"/>
                    <w:rPr>
                      <w:color w:val="auto"/>
                      <w:sz w:val="18"/>
                      <w:szCs w:val="18"/>
                    </w:rPr>
                  </w:pPr>
                </w:p>
              </w:tc>
              <w:tc>
                <w:tcPr>
                  <w:tcW w:w="720" w:type="dxa"/>
                  <w:vMerge w:val="continue"/>
                  <w:vAlign w:val="center"/>
                </w:tcPr>
                <w:p>
                  <w:pPr>
                    <w:jc w:val="center"/>
                    <w:rPr>
                      <w:color w:val="auto"/>
                      <w:sz w:val="18"/>
                      <w:szCs w:val="18"/>
                    </w:rPr>
                  </w:pPr>
                </w:p>
              </w:tc>
              <w:tc>
                <w:tcPr>
                  <w:tcW w:w="855" w:type="dxa"/>
                  <w:vAlign w:val="center"/>
                </w:tcPr>
                <w:p>
                  <w:pPr>
                    <w:jc w:val="center"/>
                    <w:rPr>
                      <w:color w:val="auto"/>
                      <w:sz w:val="18"/>
                      <w:szCs w:val="18"/>
                    </w:rPr>
                  </w:pPr>
                  <w:r>
                    <w:rPr>
                      <w:rFonts w:hint="eastAsia"/>
                      <w:color w:val="auto"/>
                      <w:sz w:val="18"/>
                      <w:szCs w:val="18"/>
                    </w:rPr>
                    <w:t>12</w:t>
                  </w:r>
                </w:p>
              </w:tc>
              <w:tc>
                <w:tcPr>
                  <w:tcW w:w="715" w:type="dxa"/>
                  <w:vAlign w:val="center"/>
                </w:tcPr>
                <w:p>
                  <w:pPr>
                    <w:jc w:val="center"/>
                    <w:rPr>
                      <w:color w:val="auto"/>
                      <w:sz w:val="18"/>
                      <w:szCs w:val="18"/>
                    </w:rPr>
                  </w:pPr>
                  <w:r>
                    <w:rPr>
                      <w:rFonts w:hint="eastAsia"/>
                      <w:color w:val="auto"/>
                      <w:sz w:val="18"/>
                      <w:szCs w:val="18"/>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74" w:type="dxa"/>
                  <w:vMerge w:val="continue"/>
                  <w:vAlign w:val="center"/>
                </w:tcPr>
                <w:p>
                  <w:pPr>
                    <w:jc w:val="center"/>
                    <w:rPr>
                      <w:color w:val="auto"/>
                      <w:sz w:val="18"/>
                      <w:szCs w:val="18"/>
                    </w:rPr>
                  </w:pPr>
                </w:p>
              </w:tc>
              <w:tc>
                <w:tcPr>
                  <w:tcW w:w="705" w:type="dxa"/>
                  <w:vMerge w:val="restart"/>
                  <w:vAlign w:val="center"/>
                </w:tcPr>
                <w:p>
                  <w:pPr>
                    <w:adjustRightInd w:val="0"/>
                    <w:snapToGrid w:val="0"/>
                    <w:jc w:val="center"/>
                    <w:rPr>
                      <w:color w:val="auto"/>
                      <w:sz w:val="18"/>
                      <w:szCs w:val="18"/>
                    </w:rPr>
                  </w:pPr>
                  <w:r>
                    <w:rPr>
                      <w:rFonts w:hint="eastAsia"/>
                      <w:bCs/>
                      <w:color w:val="auto"/>
                      <w:sz w:val="18"/>
                      <w:szCs w:val="18"/>
                    </w:rPr>
                    <w:t>恶臭废气</w:t>
                  </w:r>
                </w:p>
              </w:tc>
              <w:tc>
                <w:tcPr>
                  <w:tcW w:w="825" w:type="dxa"/>
                  <w:vAlign w:val="center"/>
                </w:tcPr>
                <w:p>
                  <w:pPr>
                    <w:widowControl/>
                    <w:jc w:val="center"/>
                    <w:rPr>
                      <w:color w:val="auto"/>
                      <w:sz w:val="18"/>
                      <w:szCs w:val="18"/>
                    </w:rPr>
                  </w:pPr>
                  <w:r>
                    <w:rPr>
                      <w:rFonts w:hint="eastAsia"/>
                      <w:color w:val="auto"/>
                      <w:sz w:val="18"/>
                      <w:szCs w:val="18"/>
                    </w:rPr>
                    <w:t>CS</w:t>
                  </w:r>
                  <w:r>
                    <w:rPr>
                      <w:rFonts w:hint="eastAsia"/>
                      <w:color w:val="auto"/>
                      <w:sz w:val="18"/>
                      <w:szCs w:val="18"/>
                      <w:vertAlign w:val="subscript"/>
                    </w:rPr>
                    <w:t>2</w:t>
                  </w:r>
                </w:p>
              </w:tc>
              <w:tc>
                <w:tcPr>
                  <w:tcW w:w="735" w:type="dxa"/>
                  <w:vAlign w:val="center"/>
                </w:tcPr>
                <w:p>
                  <w:pPr>
                    <w:jc w:val="center"/>
                    <w:rPr>
                      <w:color w:val="auto"/>
                      <w:sz w:val="18"/>
                      <w:szCs w:val="18"/>
                    </w:rPr>
                  </w:pPr>
                  <w:r>
                    <w:rPr>
                      <w:rFonts w:hint="eastAsia"/>
                      <w:color w:val="auto"/>
                      <w:sz w:val="18"/>
                      <w:szCs w:val="18"/>
                    </w:rPr>
                    <w:t>7200</w:t>
                  </w:r>
                </w:p>
              </w:tc>
              <w:tc>
                <w:tcPr>
                  <w:tcW w:w="900" w:type="dxa"/>
                  <w:vMerge w:val="restart"/>
                  <w:vAlign w:val="center"/>
                </w:tcPr>
                <w:p>
                  <w:pPr>
                    <w:jc w:val="center"/>
                    <w:rPr>
                      <w:color w:val="auto"/>
                      <w:sz w:val="18"/>
                      <w:szCs w:val="18"/>
                    </w:rPr>
                  </w:pPr>
                  <w:r>
                    <w:rPr>
                      <w:rFonts w:hint="eastAsia"/>
                      <w:color w:val="auto"/>
                      <w:sz w:val="18"/>
                      <w:szCs w:val="18"/>
                    </w:rPr>
                    <w:t>26000</w:t>
                  </w:r>
                </w:p>
              </w:tc>
              <w:tc>
                <w:tcPr>
                  <w:tcW w:w="855" w:type="dxa"/>
                  <w:vAlign w:val="center"/>
                </w:tcPr>
                <w:p>
                  <w:pPr>
                    <w:jc w:val="center"/>
                    <w:rPr>
                      <w:color w:val="auto"/>
                      <w:sz w:val="18"/>
                      <w:szCs w:val="18"/>
                    </w:rPr>
                  </w:pPr>
                  <w:r>
                    <w:rPr>
                      <w:rFonts w:hint="eastAsia"/>
                      <w:color w:val="auto"/>
                      <w:sz w:val="18"/>
                      <w:szCs w:val="18"/>
                    </w:rPr>
                    <w:t>0.00125</w:t>
                  </w:r>
                </w:p>
              </w:tc>
              <w:tc>
                <w:tcPr>
                  <w:tcW w:w="735" w:type="dxa"/>
                  <w:vAlign w:val="center"/>
                </w:tcPr>
                <w:p>
                  <w:pPr>
                    <w:jc w:val="center"/>
                    <w:rPr>
                      <w:color w:val="auto"/>
                      <w:sz w:val="18"/>
                      <w:szCs w:val="18"/>
                    </w:rPr>
                  </w:pPr>
                  <w:r>
                    <w:rPr>
                      <w:rFonts w:hint="eastAsia"/>
                      <w:color w:val="auto"/>
                      <w:sz w:val="18"/>
                      <w:szCs w:val="18"/>
                    </w:rPr>
                    <w:t>0.00004</w:t>
                  </w:r>
                </w:p>
              </w:tc>
              <w:tc>
                <w:tcPr>
                  <w:tcW w:w="780" w:type="dxa"/>
                  <w:vAlign w:val="center"/>
                </w:tcPr>
                <w:p>
                  <w:pPr>
                    <w:jc w:val="center"/>
                    <w:rPr>
                      <w:color w:val="auto"/>
                      <w:sz w:val="18"/>
                      <w:szCs w:val="18"/>
                    </w:rPr>
                  </w:pPr>
                  <w:r>
                    <w:rPr>
                      <w:rFonts w:hint="eastAsia"/>
                      <w:color w:val="auto"/>
                      <w:sz w:val="18"/>
                      <w:szCs w:val="18"/>
                    </w:rPr>
                    <w:t>0.00027</w:t>
                  </w:r>
                </w:p>
              </w:tc>
              <w:tc>
                <w:tcPr>
                  <w:tcW w:w="780" w:type="dxa"/>
                  <w:vAlign w:val="center"/>
                </w:tcPr>
                <w:p>
                  <w:pPr>
                    <w:jc w:val="center"/>
                    <w:rPr>
                      <w:color w:val="auto"/>
                      <w:sz w:val="18"/>
                      <w:szCs w:val="18"/>
                    </w:rPr>
                  </w:pPr>
                  <w:r>
                    <w:rPr>
                      <w:rFonts w:hint="eastAsia"/>
                      <w:color w:val="auto"/>
                      <w:sz w:val="18"/>
                      <w:szCs w:val="18"/>
                    </w:rPr>
                    <w:t>0.0001</w:t>
                  </w:r>
                </w:p>
              </w:tc>
              <w:tc>
                <w:tcPr>
                  <w:tcW w:w="705" w:type="dxa"/>
                  <w:vAlign w:val="center"/>
                </w:tcPr>
                <w:p>
                  <w:pPr>
                    <w:jc w:val="center"/>
                    <w:rPr>
                      <w:color w:val="auto"/>
                      <w:sz w:val="18"/>
                      <w:szCs w:val="18"/>
                    </w:rPr>
                  </w:pPr>
                  <w:r>
                    <w:rPr>
                      <w:rFonts w:hint="eastAsia"/>
                      <w:color w:val="auto"/>
                      <w:sz w:val="18"/>
                      <w:szCs w:val="18"/>
                    </w:rPr>
                    <w:t>0.000004</w:t>
                  </w:r>
                </w:p>
              </w:tc>
              <w:tc>
                <w:tcPr>
                  <w:tcW w:w="780" w:type="dxa"/>
                  <w:vAlign w:val="center"/>
                </w:tcPr>
                <w:p>
                  <w:pPr>
                    <w:jc w:val="center"/>
                    <w:rPr>
                      <w:color w:val="auto"/>
                      <w:sz w:val="18"/>
                      <w:szCs w:val="18"/>
                    </w:rPr>
                  </w:pPr>
                  <w:r>
                    <w:rPr>
                      <w:rFonts w:hint="eastAsia"/>
                      <w:color w:val="auto"/>
                      <w:sz w:val="18"/>
                      <w:szCs w:val="18"/>
                    </w:rPr>
                    <w:t>0.00003</w:t>
                  </w:r>
                </w:p>
              </w:tc>
              <w:tc>
                <w:tcPr>
                  <w:tcW w:w="840" w:type="dxa"/>
                  <w:vMerge w:val="continue"/>
                  <w:vAlign w:val="center"/>
                </w:tcPr>
                <w:p>
                  <w:pPr>
                    <w:jc w:val="center"/>
                    <w:rPr>
                      <w:color w:val="auto"/>
                      <w:sz w:val="18"/>
                      <w:szCs w:val="18"/>
                    </w:rPr>
                  </w:pPr>
                </w:p>
              </w:tc>
              <w:tc>
                <w:tcPr>
                  <w:tcW w:w="675" w:type="dxa"/>
                  <w:vMerge w:val="continue"/>
                  <w:vAlign w:val="center"/>
                </w:tcPr>
                <w:p>
                  <w:pPr>
                    <w:jc w:val="center"/>
                    <w:rPr>
                      <w:color w:val="auto"/>
                      <w:sz w:val="18"/>
                      <w:szCs w:val="18"/>
                    </w:rPr>
                  </w:pPr>
                </w:p>
              </w:tc>
              <w:tc>
                <w:tcPr>
                  <w:tcW w:w="630" w:type="dxa"/>
                  <w:vMerge w:val="continue"/>
                  <w:vAlign w:val="center"/>
                </w:tcPr>
                <w:p>
                  <w:pPr>
                    <w:jc w:val="center"/>
                    <w:rPr>
                      <w:color w:val="auto"/>
                      <w:sz w:val="18"/>
                      <w:szCs w:val="18"/>
                    </w:rPr>
                  </w:pPr>
                </w:p>
              </w:tc>
              <w:tc>
                <w:tcPr>
                  <w:tcW w:w="645" w:type="dxa"/>
                  <w:vMerge w:val="continue"/>
                  <w:vAlign w:val="center"/>
                </w:tcPr>
                <w:p>
                  <w:pPr>
                    <w:jc w:val="center"/>
                    <w:rPr>
                      <w:color w:val="auto"/>
                      <w:sz w:val="18"/>
                      <w:szCs w:val="18"/>
                    </w:rPr>
                  </w:pPr>
                </w:p>
              </w:tc>
              <w:tc>
                <w:tcPr>
                  <w:tcW w:w="600" w:type="dxa"/>
                  <w:vMerge w:val="continue"/>
                  <w:vAlign w:val="center"/>
                </w:tcPr>
                <w:p>
                  <w:pPr>
                    <w:jc w:val="center"/>
                    <w:rPr>
                      <w:color w:val="auto"/>
                      <w:sz w:val="18"/>
                      <w:szCs w:val="18"/>
                    </w:rPr>
                  </w:pPr>
                </w:p>
              </w:tc>
              <w:tc>
                <w:tcPr>
                  <w:tcW w:w="420" w:type="dxa"/>
                  <w:vMerge w:val="continue"/>
                  <w:vAlign w:val="center"/>
                </w:tcPr>
                <w:p>
                  <w:pPr>
                    <w:jc w:val="center"/>
                    <w:rPr>
                      <w:color w:val="auto"/>
                      <w:sz w:val="18"/>
                      <w:szCs w:val="18"/>
                    </w:rPr>
                  </w:pPr>
                </w:p>
              </w:tc>
              <w:tc>
                <w:tcPr>
                  <w:tcW w:w="720" w:type="dxa"/>
                  <w:vMerge w:val="continue"/>
                  <w:vAlign w:val="center"/>
                </w:tcPr>
                <w:p>
                  <w:pPr>
                    <w:jc w:val="center"/>
                    <w:rPr>
                      <w:color w:val="auto"/>
                      <w:sz w:val="18"/>
                      <w:szCs w:val="18"/>
                    </w:rPr>
                  </w:pPr>
                </w:p>
              </w:tc>
              <w:tc>
                <w:tcPr>
                  <w:tcW w:w="855" w:type="dxa"/>
                  <w:vAlign w:val="center"/>
                </w:tcPr>
                <w:p>
                  <w:pPr>
                    <w:jc w:val="center"/>
                    <w:rPr>
                      <w:color w:val="auto"/>
                      <w:sz w:val="18"/>
                      <w:szCs w:val="18"/>
                    </w:rPr>
                  </w:pPr>
                  <w:r>
                    <w:rPr>
                      <w:rFonts w:hint="eastAsia"/>
                      <w:color w:val="auto"/>
                      <w:sz w:val="18"/>
                      <w:szCs w:val="18"/>
                    </w:rPr>
                    <w:t>/</w:t>
                  </w:r>
                </w:p>
              </w:tc>
              <w:tc>
                <w:tcPr>
                  <w:tcW w:w="715"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4.2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274" w:type="dxa"/>
                  <w:vMerge w:val="continue"/>
                  <w:vAlign w:val="center"/>
                </w:tcPr>
                <w:p>
                  <w:pPr>
                    <w:jc w:val="center"/>
                    <w:rPr>
                      <w:color w:val="auto"/>
                      <w:sz w:val="18"/>
                      <w:szCs w:val="18"/>
                    </w:rPr>
                  </w:pPr>
                </w:p>
              </w:tc>
              <w:tc>
                <w:tcPr>
                  <w:tcW w:w="705" w:type="dxa"/>
                  <w:vMerge w:val="continue"/>
                  <w:vAlign w:val="center"/>
                </w:tcPr>
                <w:p>
                  <w:pPr>
                    <w:jc w:val="center"/>
                    <w:rPr>
                      <w:color w:val="auto"/>
                      <w:sz w:val="18"/>
                      <w:szCs w:val="18"/>
                    </w:rPr>
                  </w:pPr>
                </w:p>
              </w:tc>
              <w:tc>
                <w:tcPr>
                  <w:tcW w:w="825" w:type="dxa"/>
                  <w:vAlign w:val="center"/>
                </w:tcPr>
                <w:p>
                  <w:pPr>
                    <w:jc w:val="center"/>
                    <w:rPr>
                      <w:color w:val="auto"/>
                      <w:sz w:val="18"/>
                      <w:szCs w:val="18"/>
                    </w:rPr>
                  </w:pPr>
                  <w:r>
                    <w:rPr>
                      <w:rFonts w:hint="eastAsia"/>
                      <w:color w:val="auto"/>
                      <w:sz w:val="18"/>
                      <w:szCs w:val="18"/>
                    </w:rPr>
                    <w:t>硫化氢</w:t>
                  </w:r>
                </w:p>
              </w:tc>
              <w:tc>
                <w:tcPr>
                  <w:tcW w:w="735" w:type="dxa"/>
                  <w:vAlign w:val="center"/>
                </w:tcPr>
                <w:p>
                  <w:pPr>
                    <w:jc w:val="center"/>
                    <w:rPr>
                      <w:color w:val="auto"/>
                      <w:sz w:val="18"/>
                      <w:szCs w:val="18"/>
                    </w:rPr>
                  </w:pPr>
                  <w:r>
                    <w:rPr>
                      <w:rFonts w:hint="eastAsia"/>
                      <w:color w:val="auto"/>
                      <w:sz w:val="18"/>
                      <w:szCs w:val="18"/>
                    </w:rPr>
                    <w:t>7200</w:t>
                  </w:r>
                </w:p>
              </w:tc>
              <w:tc>
                <w:tcPr>
                  <w:tcW w:w="900" w:type="dxa"/>
                  <w:vMerge w:val="continue"/>
                  <w:vAlign w:val="center"/>
                </w:tcPr>
                <w:p>
                  <w:pPr>
                    <w:jc w:val="center"/>
                    <w:rPr>
                      <w:color w:val="auto"/>
                      <w:sz w:val="18"/>
                      <w:szCs w:val="18"/>
                    </w:rPr>
                  </w:pPr>
                </w:p>
              </w:tc>
              <w:tc>
                <w:tcPr>
                  <w:tcW w:w="855" w:type="dxa"/>
                  <w:vAlign w:val="center"/>
                </w:tcPr>
                <w:p>
                  <w:pPr>
                    <w:jc w:val="center"/>
                    <w:rPr>
                      <w:color w:val="auto"/>
                      <w:sz w:val="18"/>
                      <w:szCs w:val="18"/>
                    </w:rPr>
                  </w:pPr>
                  <w:r>
                    <w:rPr>
                      <w:rFonts w:hint="eastAsia"/>
                      <w:color w:val="auto"/>
                      <w:sz w:val="18"/>
                      <w:szCs w:val="18"/>
                    </w:rPr>
                    <w:t>0.0125</w:t>
                  </w:r>
                </w:p>
              </w:tc>
              <w:tc>
                <w:tcPr>
                  <w:tcW w:w="735" w:type="dxa"/>
                  <w:vAlign w:val="center"/>
                </w:tcPr>
                <w:p>
                  <w:pPr>
                    <w:jc w:val="center"/>
                    <w:rPr>
                      <w:color w:val="auto"/>
                      <w:sz w:val="18"/>
                      <w:szCs w:val="18"/>
                    </w:rPr>
                  </w:pPr>
                  <w:r>
                    <w:rPr>
                      <w:rFonts w:hint="eastAsia"/>
                      <w:color w:val="auto"/>
                      <w:sz w:val="18"/>
                      <w:szCs w:val="18"/>
                    </w:rPr>
                    <w:t>0.0004</w:t>
                  </w:r>
                </w:p>
              </w:tc>
              <w:tc>
                <w:tcPr>
                  <w:tcW w:w="780" w:type="dxa"/>
                  <w:vAlign w:val="center"/>
                </w:tcPr>
                <w:p>
                  <w:pPr>
                    <w:jc w:val="center"/>
                    <w:rPr>
                      <w:color w:val="auto"/>
                      <w:sz w:val="18"/>
                      <w:szCs w:val="18"/>
                    </w:rPr>
                  </w:pPr>
                  <w:r>
                    <w:rPr>
                      <w:rFonts w:hint="eastAsia"/>
                      <w:color w:val="auto"/>
                      <w:sz w:val="18"/>
                      <w:szCs w:val="18"/>
                    </w:rPr>
                    <w:t>0.0027</w:t>
                  </w:r>
                </w:p>
              </w:tc>
              <w:tc>
                <w:tcPr>
                  <w:tcW w:w="780" w:type="dxa"/>
                  <w:vAlign w:val="center"/>
                </w:tcPr>
                <w:p>
                  <w:pPr>
                    <w:jc w:val="center"/>
                    <w:rPr>
                      <w:color w:val="auto"/>
                      <w:sz w:val="18"/>
                      <w:szCs w:val="18"/>
                    </w:rPr>
                  </w:pPr>
                  <w:r>
                    <w:rPr>
                      <w:rFonts w:hint="eastAsia"/>
                      <w:color w:val="auto"/>
                      <w:sz w:val="18"/>
                      <w:szCs w:val="18"/>
                    </w:rPr>
                    <w:t>0.001</w:t>
                  </w:r>
                </w:p>
              </w:tc>
              <w:tc>
                <w:tcPr>
                  <w:tcW w:w="705" w:type="dxa"/>
                  <w:vAlign w:val="center"/>
                </w:tcPr>
                <w:p>
                  <w:pPr>
                    <w:jc w:val="center"/>
                    <w:rPr>
                      <w:color w:val="auto"/>
                      <w:sz w:val="18"/>
                      <w:szCs w:val="18"/>
                    </w:rPr>
                  </w:pPr>
                  <w:r>
                    <w:rPr>
                      <w:rFonts w:hint="eastAsia"/>
                      <w:color w:val="auto"/>
                      <w:sz w:val="18"/>
                      <w:szCs w:val="18"/>
                    </w:rPr>
                    <w:t>0.00004</w:t>
                  </w:r>
                </w:p>
              </w:tc>
              <w:tc>
                <w:tcPr>
                  <w:tcW w:w="780" w:type="dxa"/>
                  <w:vAlign w:val="center"/>
                </w:tcPr>
                <w:p>
                  <w:pPr>
                    <w:jc w:val="center"/>
                    <w:rPr>
                      <w:color w:val="auto"/>
                      <w:sz w:val="18"/>
                      <w:szCs w:val="18"/>
                    </w:rPr>
                  </w:pPr>
                  <w:r>
                    <w:rPr>
                      <w:rFonts w:hint="eastAsia"/>
                      <w:color w:val="auto"/>
                      <w:sz w:val="18"/>
                      <w:szCs w:val="18"/>
                    </w:rPr>
                    <w:t>0.0003</w:t>
                  </w:r>
                </w:p>
              </w:tc>
              <w:tc>
                <w:tcPr>
                  <w:tcW w:w="840" w:type="dxa"/>
                  <w:vMerge w:val="continue"/>
                  <w:vAlign w:val="center"/>
                </w:tcPr>
                <w:p>
                  <w:pPr>
                    <w:jc w:val="center"/>
                    <w:rPr>
                      <w:color w:val="auto"/>
                      <w:sz w:val="18"/>
                      <w:szCs w:val="18"/>
                    </w:rPr>
                  </w:pPr>
                </w:p>
              </w:tc>
              <w:tc>
                <w:tcPr>
                  <w:tcW w:w="675" w:type="dxa"/>
                  <w:vMerge w:val="continue"/>
                  <w:vAlign w:val="center"/>
                </w:tcPr>
                <w:p>
                  <w:pPr>
                    <w:jc w:val="center"/>
                    <w:rPr>
                      <w:color w:val="auto"/>
                      <w:sz w:val="18"/>
                      <w:szCs w:val="18"/>
                    </w:rPr>
                  </w:pPr>
                </w:p>
              </w:tc>
              <w:tc>
                <w:tcPr>
                  <w:tcW w:w="630" w:type="dxa"/>
                  <w:vMerge w:val="continue"/>
                  <w:vAlign w:val="center"/>
                </w:tcPr>
                <w:p>
                  <w:pPr>
                    <w:jc w:val="center"/>
                    <w:rPr>
                      <w:color w:val="auto"/>
                      <w:sz w:val="18"/>
                      <w:szCs w:val="18"/>
                    </w:rPr>
                  </w:pPr>
                </w:p>
              </w:tc>
              <w:tc>
                <w:tcPr>
                  <w:tcW w:w="645" w:type="dxa"/>
                  <w:vMerge w:val="continue"/>
                  <w:vAlign w:val="center"/>
                </w:tcPr>
                <w:p>
                  <w:pPr>
                    <w:jc w:val="center"/>
                    <w:rPr>
                      <w:color w:val="auto"/>
                      <w:sz w:val="18"/>
                      <w:szCs w:val="18"/>
                    </w:rPr>
                  </w:pPr>
                </w:p>
              </w:tc>
              <w:tc>
                <w:tcPr>
                  <w:tcW w:w="600" w:type="dxa"/>
                  <w:vMerge w:val="continue"/>
                  <w:vAlign w:val="center"/>
                </w:tcPr>
                <w:p>
                  <w:pPr>
                    <w:jc w:val="center"/>
                    <w:rPr>
                      <w:color w:val="auto"/>
                      <w:sz w:val="18"/>
                      <w:szCs w:val="18"/>
                    </w:rPr>
                  </w:pPr>
                </w:p>
              </w:tc>
              <w:tc>
                <w:tcPr>
                  <w:tcW w:w="420" w:type="dxa"/>
                  <w:vMerge w:val="continue"/>
                  <w:vAlign w:val="center"/>
                </w:tcPr>
                <w:p>
                  <w:pPr>
                    <w:jc w:val="center"/>
                    <w:rPr>
                      <w:color w:val="auto"/>
                      <w:sz w:val="18"/>
                      <w:szCs w:val="18"/>
                    </w:rPr>
                  </w:pPr>
                </w:p>
              </w:tc>
              <w:tc>
                <w:tcPr>
                  <w:tcW w:w="720" w:type="dxa"/>
                  <w:vMerge w:val="continue"/>
                  <w:vAlign w:val="center"/>
                </w:tcPr>
                <w:p>
                  <w:pPr>
                    <w:jc w:val="center"/>
                    <w:rPr>
                      <w:color w:val="auto"/>
                      <w:sz w:val="18"/>
                      <w:szCs w:val="18"/>
                      <w:highlight w:val="yellow"/>
                    </w:rPr>
                  </w:pPr>
                </w:p>
              </w:tc>
              <w:tc>
                <w:tcPr>
                  <w:tcW w:w="855" w:type="dxa"/>
                  <w:vAlign w:val="center"/>
                </w:tcPr>
                <w:p>
                  <w:pPr>
                    <w:jc w:val="center"/>
                    <w:rPr>
                      <w:color w:val="auto"/>
                      <w:sz w:val="18"/>
                      <w:szCs w:val="18"/>
                    </w:rPr>
                  </w:pPr>
                  <w:r>
                    <w:rPr>
                      <w:rFonts w:hint="eastAsia"/>
                      <w:color w:val="auto"/>
                      <w:sz w:val="18"/>
                      <w:szCs w:val="18"/>
                    </w:rPr>
                    <w:t>/</w:t>
                  </w:r>
                </w:p>
              </w:tc>
              <w:tc>
                <w:tcPr>
                  <w:tcW w:w="715" w:type="dxa"/>
                  <w:vAlign w:val="center"/>
                </w:tcPr>
                <w:p>
                  <w:pPr>
                    <w:jc w:val="center"/>
                    <w:rPr>
                      <w:rFonts w:hint="default" w:eastAsia="宋体"/>
                      <w:color w:val="auto"/>
                      <w:sz w:val="18"/>
                      <w:szCs w:val="18"/>
                      <w:lang w:val="en-US" w:eastAsia="zh-CN"/>
                    </w:rPr>
                  </w:pPr>
                  <w:r>
                    <w:rPr>
                      <w:rFonts w:hint="eastAsia"/>
                      <w:color w:val="auto"/>
                      <w:sz w:val="18"/>
                      <w:szCs w:val="18"/>
                      <w:lang w:val="en-US" w:eastAsia="zh-CN"/>
                    </w:rPr>
                    <w:t>0.6</w:t>
                  </w:r>
                </w:p>
              </w:tc>
            </w:tr>
          </w:tbl>
          <w:p>
            <w:pPr>
              <w:spacing w:line="360" w:lineRule="auto"/>
              <w:rPr>
                <w:b/>
                <w:bCs/>
                <w:color w:val="auto"/>
                <w:kern w:val="0"/>
                <w:sz w:val="18"/>
                <w:szCs w:val="18"/>
              </w:rPr>
            </w:pPr>
            <w:r>
              <w:rPr>
                <w:b/>
                <w:bCs/>
                <w:color w:val="auto"/>
                <w:kern w:val="0"/>
                <w:sz w:val="18"/>
                <w:szCs w:val="18"/>
              </w:rPr>
              <w:t>注：*按照各工序同时进行情况下核算最大排放速率及排放浓度；</w:t>
            </w:r>
          </w:p>
          <w:p>
            <w:pPr>
              <w:spacing w:line="360" w:lineRule="auto"/>
              <w:ind w:firstLine="420" w:firstLineChars="200"/>
              <w:rPr>
                <w:color w:val="auto"/>
                <w:kern w:val="0"/>
                <w:szCs w:val="21"/>
              </w:rPr>
            </w:pPr>
            <w:r>
              <w:rPr>
                <w:rFonts w:hint="eastAsia"/>
                <w:color w:val="auto"/>
                <w:kern w:val="0"/>
                <w:szCs w:val="21"/>
              </w:rPr>
              <w:t>根据《橡胶制品工业污染物排放标准》（GB 27632-2011），“轮胎企业及其他制品企业炼胶、硫化装置”的非甲烷总烃的基准排气量限值为2000m</w:t>
            </w:r>
            <w:r>
              <w:rPr>
                <w:rFonts w:hint="eastAsia"/>
                <w:color w:val="auto"/>
                <w:kern w:val="0"/>
                <w:szCs w:val="21"/>
                <w:vertAlign w:val="superscript"/>
              </w:rPr>
              <w:t>3</w:t>
            </w:r>
            <w:r>
              <w:rPr>
                <w:rFonts w:hint="eastAsia"/>
                <w:color w:val="auto"/>
                <w:kern w:val="0"/>
                <w:szCs w:val="21"/>
              </w:rPr>
              <w:t>/t 胶料，颗粒物的基准排气量限值为2000m</w:t>
            </w:r>
            <w:r>
              <w:rPr>
                <w:rFonts w:hint="eastAsia"/>
                <w:color w:val="auto"/>
                <w:kern w:val="0"/>
                <w:szCs w:val="21"/>
                <w:vertAlign w:val="superscript"/>
              </w:rPr>
              <w:t>3</w:t>
            </w:r>
            <w:r>
              <w:rPr>
                <w:rFonts w:hint="eastAsia"/>
                <w:color w:val="auto"/>
                <w:kern w:val="0"/>
                <w:szCs w:val="21"/>
              </w:rPr>
              <w:t>/t 胶料。</w:t>
            </w:r>
          </w:p>
          <w:p>
            <w:pPr>
              <w:spacing w:line="360" w:lineRule="auto"/>
              <w:ind w:firstLine="420" w:firstLineChars="200"/>
              <w:rPr>
                <w:color w:val="auto"/>
                <w:kern w:val="0"/>
                <w:szCs w:val="21"/>
              </w:rPr>
            </w:pPr>
            <w:r>
              <w:rPr>
                <w:rFonts w:hint="eastAsia"/>
                <w:color w:val="auto"/>
                <w:kern w:val="0"/>
                <w:szCs w:val="21"/>
              </w:rPr>
              <w:t>根据《橡胶制品工业污染物排放标准》（GB 27632-2011）中4.2.8：”大气污染物排放浓度限值适用于单位胶料实际排气量不高于单位胶料基准排气量的情况。若单位胶料实际排气量超过单位胶料基准排气量，须将实测大气污染物浓度换算为大气污染物基准气量排放浓度，并以大气污染物基准气量排放浓度作为判定排放是否达标的依据”。</w:t>
            </w:r>
          </w:p>
          <w:p>
            <w:pPr>
              <w:spacing w:line="360" w:lineRule="auto"/>
              <w:ind w:firstLine="420" w:firstLineChars="200"/>
              <w:rPr>
                <w:color w:val="auto"/>
                <w:kern w:val="0"/>
                <w:szCs w:val="21"/>
              </w:rPr>
            </w:pPr>
            <w:r>
              <w:rPr>
                <w:rFonts w:hint="eastAsia"/>
                <w:color w:val="auto"/>
                <w:kern w:val="0"/>
                <w:szCs w:val="21"/>
              </w:rPr>
              <w:t>根据《关于橡胶(轮胎)行业执行标准问题的复函》(环函[2014]244号)“考虑企业对生胶可能需经过多次重复炼胶，基准排气量可以将计算炼胶次数后的总胶量作为企业用胶量进行核算，同时也应将计算炼胶次数后的总气量作为企业排气量进行核算”。</w:t>
            </w:r>
          </w:p>
          <w:p>
            <w:pPr>
              <w:spacing w:line="360" w:lineRule="auto"/>
              <w:ind w:firstLine="420" w:firstLineChars="200"/>
              <w:rPr>
                <w:color w:val="auto"/>
                <w:kern w:val="0"/>
                <w:szCs w:val="21"/>
              </w:rPr>
            </w:pPr>
            <w:r>
              <w:rPr>
                <w:rFonts w:hint="eastAsia"/>
                <w:color w:val="auto"/>
                <w:kern w:val="0"/>
                <w:szCs w:val="21"/>
              </w:rPr>
              <w:t>本项目用胶量90t/a，日加工胶料0.3t。又因本项目对混炼胶多次重复炼胶（密炼、开炼、一次成型、二次成型），参照《关于橡胶(轮胎)行业执行标准问题的复函》(环函[2014]244号)，密炼胶量1/30t/d、开炼胶量为0.3t/d、一次成型0.3t/d、二次成型0.3t/d，则项目每天总炼胶量为0.933t/d，则项目基准气量为1934</w:t>
            </w:r>
            <w:r>
              <w:rPr>
                <w:color w:val="auto"/>
                <w:kern w:val="0"/>
                <w:szCs w:val="21"/>
              </w:rPr>
              <w:t>m</w:t>
            </w:r>
            <w:r>
              <w:rPr>
                <w:color w:val="auto"/>
                <w:kern w:val="0"/>
                <w:szCs w:val="21"/>
                <w:vertAlign w:val="superscript"/>
              </w:rPr>
              <w:t>3</w:t>
            </w:r>
            <w:r>
              <w:rPr>
                <w:rFonts w:hint="eastAsia"/>
                <w:color w:val="auto"/>
                <w:kern w:val="0"/>
                <w:szCs w:val="21"/>
              </w:rPr>
              <w:t>。</w:t>
            </w:r>
          </w:p>
          <w:p>
            <w:pPr>
              <w:spacing w:line="360" w:lineRule="auto"/>
              <w:ind w:firstLine="420" w:firstLineChars="200"/>
              <w:rPr>
                <w:color w:val="auto"/>
                <w:kern w:val="0"/>
                <w:szCs w:val="21"/>
              </w:rPr>
            </w:pPr>
            <w:r>
              <w:rPr>
                <w:rFonts w:hint="eastAsia"/>
                <w:color w:val="auto"/>
                <w:kern w:val="0"/>
                <w:szCs w:val="21"/>
              </w:rPr>
              <w:t>建设项目风机总风量为26000m</w:t>
            </w:r>
            <w:r>
              <w:rPr>
                <w:rFonts w:hint="eastAsia"/>
                <w:color w:val="auto"/>
                <w:kern w:val="0"/>
                <w:szCs w:val="21"/>
                <w:vertAlign w:val="superscript"/>
              </w:rPr>
              <w:t>3</w:t>
            </w:r>
            <w:r>
              <w:rPr>
                <w:rFonts w:hint="eastAsia"/>
                <w:color w:val="auto"/>
                <w:kern w:val="0"/>
                <w:szCs w:val="21"/>
              </w:rPr>
              <w:t>/h，日工作24h，故风机总排气量为624000m</w:t>
            </w:r>
            <w:r>
              <w:rPr>
                <w:rFonts w:hint="eastAsia"/>
                <w:color w:val="auto"/>
                <w:kern w:val="0"/>
                <w:szCs w:val="21"/>
                <w:vertAlign w:val="superscript"/>
              </w:rPr>
              <w:t>3</w:t>
            </w:r>
            <w:r>
              <w:rPr>
                <w:rFonts w:hint="eastAsia"/>
                <w:color w:val="auto"/>
                <w:kern w:val="0"/>
                <w:szCs w:val="21"/>
              </w:rPr>
              <w:t>/d，因此需计算基准气量排放浓度。基准气量排放浓度的换算公式如下：</w:t>
            </w:r>
          </w:p>
          <w:p>
            <w:pPr>
              <w:pStyle w:val="358"/>
              <w:ind w:firstLine="420"/>
              <w:jc w:val="center"/>
              <w:rPr>
                <w:color w:val="auto"/>
                <w:sz w:val="21"/>
                <w:szCs w:val="21"/>
                <w:lang w:bidi="zh-CN"/>
              </w:rPr>
            </w:pPr>
            <w:r>
              <w:rPr>
                <w:color w:val="auto"/>
                <w:sz w:val="21"/>
                <w:szCs w:val="21"/>
              </w:rPr>
              <w:drawing>
                <wp:inline distT="0" distB="0" distL="114300" distR="114300">
                  <wp:extent cx="1390650" cy="480060"/>
                  <wp:effectExtent l="0" t="0" r="0" b="152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9"/>
                          <a:stretch>
                            <a:fillRect/>
                          </a:stretch>
                        </pic:blipFill>
                        <pic:spPr>
                          <a:xfrm>
                            <a:off x="0" y="0"/>
                            <a:ext cx="1390650" cy="480060"/>
                          </a:xfrm>
                          <a:prstGeom prst="rect">
                            <a:avLst/>
                          </a:prstGeom>
                          <a:noFill/>
                          <a:ln>
                            <a:noFill/>
                          </a:ln>
                        </pic:spPr>
                      </pic:pic>
                    </a:graphicData>
                  </a:graphic>
                </wp:inline>
              </w:drawing>
            </w:r>
          </w:p>
          <w:p>
            <w:pPr>
              <w:spacing w:line="360" w:lineRule="auto"/>
              <w:ind w:firstLine="420" w:firstLineChars="200"/>
              <w:rPr>
                <w:color w:val="auto"/>
                <w:kern w:val="0"/>
                <w:szCs w:val="21"/>
              </w:rPr>
            </w:pPr>
            <w:r>
              <w:rPr>
                <w:color w:val="auto"/>
                <w:kern w:val="0"/>
                <w:szCs w:val="21"/>
              </w:rPr>
              <w:t>式中：ρ基----大气污染物基准气量排放浓度，mg/m</w:t>
            </w:r>
            <w:r>
              <w:rPr>
                <w:color w:val="auto"/>
                <w:kern w:val="0"/>
                <w:szCs w:val="21"/>
                <w:vertAlign w:val="superscript"/>
              </w:rPr>
              <w:t>3</w:t>
            </w:r>
            <w:r>
              <w:rPr>
                <w:color w:val="auto"/>
                <w:kern w:val="0"/>
                <w:szCs w:val="21"/>
              </w:rPr>
              <w:t>；</w:t>
            </w:r>
          </w:p>
          <w:p>
            <w:pPr>
              <w:spacing w:line="360" w:lineRule="auto"/>
              <w:ind w:firstLine="420" w:firstLineChars="200"/>
              <w:rPr>
                <w:color w:val="auto"/>
                <w:kern w:val="0"/>
                <w:szCs w:val="21"/>
              </w:rPr>
            </w:pPr>
            <w:r>
              <w:rPr>
                <w:color w:val="auto"/>
                <w:kern w:val="0"/>
                <w:szCs w:val="21"/>
              </w:rPr>
              <w:t xml:space="preserve">      Q</w:t>
            </w:r>
            <w:r>
              <w:rPr>
                <w:color w:val="auto"/>
                <w:kern w:val="0"/>
                <w:szCs w:val="21"/>
                <w:vertAlign w:val="subscript"/>
              </w:rPr>
              <w:t>总</w:t>
            </w:r>
            <w:r>
              <w:rPr>
                <w:color w:val="auto"/>
                <w:kern w:val="0"/>
                <w:szCs w:val="21"/>
              </w:rPr>
              <w:t>----排气总量，m</w:t>
            </w:r>
            <w:r>
              <w:rPr>
                <w:color w:val="auto"/>
                <w:kern w:val="0"/>
                <w:szCs w:val="21"/>
                <w:vertAlign w:val="superscript"/>
              </w:rPr>
              <w:t>3</w:t>
            </w:r>
            <w:r>
              <w:rPr>
                <w:color w:val="auto"/>
                <w:kern w:val="0"/>
                <w:szCs w:val="21"/>
              </w:rPr>
              <w:t>；</w:t>
            </w:r>
          </w:p>
          <w:p>
            <w:pPr>
              <w:spacing w:line="360" w:lineRule="auto"/>
              <w:ind w:firstLine="420" w:firstLineChars="200"/>
              <w:rPr>
                <w:color w:val="auto"/>
                <w:kern w:val="0"/>
                <w:szCs w:val="21"/>
              </w:rPr>
            </w:pPr>
            <w:r>
              <w:rPr>
                <w:color w:val="auto"/>
                <w:kern w:val="0"/>
                <w:szCs w:val="21"/>
              </w:rPr>
              <w:t xml:space="preserve">      Y</w:t>
            </w:r>
            <w:r>
              <w:rPr>
                <w:color w:val="auto"/>
                <w:kern w:val="0"/>
                <w:szCs w:val="21"/>
                <w:vertAlign w:val="subscript"/>
              </w:rPr>
              <w:t>i-</w:t>
            </w:r>
            <w:r>
              <w:rPr>
                <w:color w:val="auto"/>
                <w:kern w:val="0"/>
                <w:szCs w:val="21"/>
              </w:rPr>
              <w:t>---第i种产品胶料消耗量，t；</w:t>
            </w:r>
          </w:p>
          <w:p>
            <w:pPr>
              <w:spacing w:line="360" w:lineRule="auto"/>
              <w:ind w:firstLine="420" w:firstLineChars="200"/>
              <w:rPr>
                <w:color w:val="auto"/>
                <w:kern w:val="0"/>
                <w:szCs w:val="21"/>
              </w:rPr>
            </w:pPr>
            <w:r>
              <w:rPr>
                <w:color w:val="auto"/>
                <w:kern w:val="0"/>
                <w:szCs w:val="21"/>
              </w:rPr>
              <w:t xml:space="preserve">      Q</w:t>
            </w:r>
            <w:r>
              <w:rPr>
                <w:color w:val="auto"/>
                <w:kern w:val="0"/>
                <w:szCs w:val="21"/>
                <w:vertAlign w:val="subscript"/>
              </w:rPr>
              <w:t>i基</w:t>
            </w:r>
            <w:r>
              <w:rPr>
                <w:color w:val="auto"/>
                <w:kern w:val="0"/>
                <w:szCs w:val="21"/>
              </w:rPr>
              <w:t>----第i种产品的单位胶料基准排气量，m</w:t>
            </w:r>
            <w:r>
              <w:rPr>
                <w:color w:val="auto"/>
                <w:kern w:val="0"/>
                <w:szCs w:val="21"/>
                <w:vertAlign w:val="superscript"/>
              </w:rPr>
              <w:t>3</w:t>
            </w:r>
            <w:r>
              <w:rPr>
                <w:color w:val="auto"/>
                <w:kern w:val="0"/>
                <w:szCs w:val="21"/>
              </w:rPr>
              <w:t xml:space="preserve">/t； </w:t>
            </w:r>
          </w:p>
          <w:p>
            <w:pPr>
              <w:spacing w:line="360" w:lineRule="auto"/>
              <w:ind w:firstLine="420" w:firstLineChars="200"/>
              <w:rPr>
                <w:color w:val="auto"/>
                <w:kern w:val="0"/>
                <w:szCs w:val="21"/>
              </w:rPr>
            </w:pPr>
            <w:r>
              <w:rPr>
                <w:color w:val="auto"/>
                <w:kern w:val="0"/>
                <w:szCs w:val="21"/>
              </w:rPr>
              <w:t xml:space="preserve">      ρ</w:t>
            </w:r>
            <w:r>
              <w:rPr>
                <w:color w:val="auto"/>
                <w:kern w:val="0"/>
                <w:szCs w:val="21"/>
                <w:vertAlign w:val="subscript"/>
              </w:rPr>
              <w:t>实</w:t>
            </w:r>
            <w:r>
              <w:rPr>
                <w:color w:val="auto"/>
                <w:kern w:val="0"/>
                <w:szCs w:val="21"/>
              </w:rPr>
              <w:t>----实测大气污染物排放浓度mg/m</w:t>
            </w:r>
            <w:r>
              <w:rPr>
                <w:color w:val="auto"/>
                <w:kern w:val="0"/>
                <w:szCs w:val="21"/>
                <w:vertAlign w:val="superscript"/>
              </w:rPr>
              <w:t>3</w:t>
            </w:r>
            <w:r>
              <w:rPr>
                <w:color w:val="auto"/>
                <w:kern w:val="0"/>
                <w:szCs w:val="21"/>
              </w:rPr>
              <w:t>。</w:t>
            </w:r>
          </w:p>
          <w:p>
            <w:pPr>
              <w:spacing w:line="360" w:lineRule="auto"/>
              <w:ind w:firstLine="420" w:firstLineChars="200"/>
              <w:rPr>
                <w:color w:val="auto"/>
                <w:szCs w:val="21"/>
              </w:rPr>
            </w:pPr>
            <w:r>
              <w:rPr>
                <w:rFonts w:hint="eastAsia"/>
                <w:color w:val="auto"/>
                <w:kern w:val="0"/>
                <w:szCs w:val="21"/>
              </w:rPr>
              <w:t>根据以上公式计算，各工序同时进行时，本项目颗粒物基准排气量换算浓度4.16mg/m</w:t>
            </w:r>
            <w:r>
              <w:rPr>
                <w:rFonts w:hint="eastAsia"/>
                <w:color w:val="auto"/>
                <w:kern w:val="0"/>
                <w:szCs w:val="21"/>
                <w:vertAlign w:val="superscript"/>
              </w:rPr>
              <w:t>3</w:t>
            </w:r>
            <w:r>
              <w:rPr>
                <w:rFonts w:hint="eastAsia"/>
                <w:color w:val="auto"/>
                <w:kern w:val="0"/>
                <w:szCs w:val="21"/>
              </w:rPr>
              <w:t>，非甲烷总烃基准排气量换算浓度9.76mg/m</w:t>
            </w:r>
            <w:r>
              <w:rPr>
                <w:rFonts w:hint="eastAsia"/>
                <w:color w:val="auto"/>
                <w:kern w:val="0"/>
                <w:szCs w:val="21"/>
                <w:vertAlign w:val="superscript"/>
              </w:rPr>
              <w:t>3</w:t>
            </w:r>
            <w:r>
              <w:rPr>
                <w:rFonts w:hint="eastAsia"/>
                <w:color w:val="auto"/>
                <w:kern w:val="0"/>
                <w:szCs w:val="21"/>
              </w:rPr>
              <w:t>，项目排放的有组织废气均满足《橡胶制品工业污染物排放标准》（GB27632-2011）中相应的排放限值要求。</w:t>
            </w:r>
          </w:p>
          <w:p>
            <w:pPr>
              <w:autoSpaceDE w:val="0"/>
              <w:autoSpaceDN w:val="0"/>
              <w:adjustRightInd w:val="0"/>
              <w:snapToGrid w:val="0"/>
              <w:spacing w:before="120" w:beforeLines="50" w:line="360" w:lineRule="auto"/>
              <w:ind w:firstLine="420" w:firstLineChars="200"/>
              <w:rPr>
                <w:color w:val="auto"/>
                <w:szCs w:val="21"/>
              </w:rPr>
            </w:pPr>
          </w:p>
        </w:tc>
      </w:tr>
    </w:tbl>
    <w:p>
      <w:pPr>
        <w:outlineLvl w:val="0"/>
        <w:rPr>
          <w:snapToGrid w:val="0"/>
          <w:color w:val="auto"/>
          <w:sz w:val="18"/>
          <w:szCs w:val="18"/>
        </w:rPr>
        <w:sectPr>
          <w:pgSz w:w="16838" w:h="11906" w:orient="landscape"/>
          <w:pgMar w:top="1440" w:right="1080" w:bottom="1440" w:left="1080" w:header="851" w:footer="851" w:gutter="0"/>
          <w:cols w:space="720" w:num="1"/>
          <w:docGrid w:linePitch="312" w:charSpace="0"/>
        </w:sectPr>
      </w:pPr>
    </w:p>
    <w:tbl>
      <w:tblPr>
        <w:tblStyle w:val="37"/>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59"/>
        <w:gridCol w:w="962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882" w:hRule="atLeast"/>
          <w:jc w:val="center"/>
        </w:trPr>
        <w:tc>
          <w:tcPr>
            <w:tcW w:w="421" w:type="dxa"/>
            <w:tcBorders>
              <w:top w:val="single" w:color="auto" w:sz="4" w:space="0"/>
              <w:left w:val="single" w:color="auto" w:sz="4" w:space="0"/>
              <w:bottom w:val="single" w:color="auto" w:sz="4" w:space="0"/>
            </w:tcBorders>
            <w:tcMar>
              <w:left w:w="28" w:type="dxa"/>
              <w:right w:w="28" w:type="dxa"/>
            </w:tcMar>
            <w:vAlign w:val="center"/>
          </w:tcPr>
          <w:p>
            <w:pPr>
              <w:adjustRightInd w:val="0"/>
              <w:snapToGrid w:val="0"/>
              <w:jc w:val="center"/>
              <w:rPr>
                <w:bCs/>
                <w:color w:val="auto"/>
                <w:szCs w:val="21"/>
              </w:rPr>
            </w:pPr>
            <w:r>
              <w:rPr>
                <w:bCs/>
                <w:color w:val="auto"/>
                <w:szCs w:val="21"/>
              </w:rPr>
              <w:t>运营</w:t>
            </w:r>
          </w:p>
          <w:p>
            <w:pPr>
              <w:adjustRightInd w:val="0"/>
              <w:snapToGrid w:val="0"/>
              <w:jc w:val="center"/>
              <w:rPr>
                <w:bCs/>
                <w:color w:val="auto"/>
                <w:szCs w:val="21"/>
              </w:rPr>
            </w:pPr>
            <w:r>
              <w:rPr>
                <w:bCs/>
                <w:color w:val="auto"/>
                <w:szCs w:val="21"/>
              </w:rPr>
              <w:t>期环</w:t>
            </w:r>
          </w:p>
          <w:p>
            <w:pPr>
              <w:adjustRightInd w:val="0"/>
              <w:snapToGrid w:val="0"/>
              <w:jc w:val="center"/>
              <w:rPr>
                <w:bCs/>
                <w:color w:val="auto"/>
                <w:szCs w:val="21"/>
              </w:rPr>
            </w:pPr>
            <w:r>
              <w:rPr>
                <w:bCs/>
                <w:color w:val="auto"/>
                <w:szCs w:val="21"/>
              </w:rPr>
              <w:t>境影</w:t>
            </w:r>
          </w:p>
          <w:p>
            <w:pPr>
              <w:adjustRightInd w:val="0"/>
              <w:snapToGrid w:val="0"/>
              <w:jc w:val="center"/>
              <w:rPr>
                <w:bCs/>
                <w:color w:val="auto"/>
                <w:szCs w:val="21"/>
              </w:rPr>
            </w:pPr>
            <w:r>
              <w:rPr>
                <w:bCs/>
                <w:color w:val="auto"/>
                <w:szCs w:val="21"/>
              </w:rPr>
              <w:t>响和</w:t>
            </w:r>
          </w:p>
          <w:p>
            <w:pPr>
              <w:adjustRightInd w:val="0"/>
              <w:snapToGrid w:val="0"/>
              <w:jc w:val="center"/>
              <w:rPr>
                <w:bCs/>
                <w:color w:val="auto"/>
                <w:szCs w:val="21"/>
              </w:rPr>
            </w:pPr>
            <w:r>
              <w:rPr>
                <w:bCs/>
                <w:color w:val="auto"/>
                <w:szCs w:val="21"/>
              </w:rPr>
              <w:t>保护</w:t>
            </w:r>
          </w:p>
          <w:p>
            <w:pPr>
              <w:adjustRightInd w:val="0"/>
              <w:snapToGrid w:val="0"/>
              <w:jc w:val="center"/>
              <w:rPr>
                <w:bCs/>
                <w:color w:val="auto"/>
                <w:szCs w:val="21"/>
              </w:rPr>
            </w:pPr>
            <w:r>
              <w:rPr>
                <w:bCs/>
                <w:color w:val="auto"/>
                <w:szCs w:val="21"/>
              </w:rPr>
              <w:t>措施</w:t>
            </w:r>
          </w:p>
        </w:tc>
        <w:tc>
          <w:tcPr>
            <w:tcW w:w="8413" w:type="dxa"/>
            <w:tcBorders>
              <w:top w:val="single" w:color="auto" w:sz="4" w:space="0"/>
              <w:bottom w:val="single" w:color="auto" w:sz="4" w:space="0"/>
              <w:right w:val="single" w:color="auto" w:sz="4" w:space="0"/>
            </w:tcBorders>
          </w:tcPr>
          <w:p>
            <w:pPr>
              <w:spacing w:line="360" w:lineRule="auto"/>
              <w:ind w:firstLine="420" w:firstLineChars="200"/>
              <w:rPr>
                <w:color w:val="auto"/>
                <w:kern w:val="0"/>
                <w:szCs w:val="21"/>
              </w:rPr>
            </w:pPr>
            <w:r>
              <w:rPr>
                <w:color w:val="auto"/>
                <w:kern w:val="0"/>
                <w:szCs w:val="21"/>
              </w:rPr>
              <w:t>（2）无组织废气产生和排放情况表</w:t>
            </w:r>
          </w:p>
          <w:p>
            <w:pPr>
              <w:spacing w:line="360" w:lineRule="auto"/>
              <w:ind w:firstLine="420" w:firstLineChars="200"/>
              <w:rPr>
                <w:color w:val="auto"/>
                <w:szCs w:val="21"/>
              </w:rPr>
            </w:pPr>
            <w:r>
              <w:rPr>
                <w:snapToGrid w:val="0"/>
                <w:color w:val="auto"/>
                <w:kern w:val="0"/>
                <w:szCs w:val="21"/>
              </w:rPr>
              <w:t>本项目</w:t>
            </w:r>
            <w:r>
              <w:rPr>
                <w:color w:val="auto"/>
                <w:szCs w:val="21"/>
              </w:rPr>
              <w:t>无组织废气产生及排放情况见表4-</w:t>
            </w:r>
            <w:r>
              <w:rPr>
                <w:rFonts w:hint="eastAsia"/>
                <w:color w:val="auto"/>
                <w:szCs w:val="21"/>
              </w:rPr>
              <w:t>5</w:t>
            </w:r>
            <w:r>
              <w:rPr>
                <w:color w:val="auto"/>
                <w:szCs w:val="21"/>
              </w:rPr>
              <w:t>。</w:t>
            </w:r>
          </w:p>
          <w:p>
            <w:pPr>
              <w:topLinePunct/>
              <w:autoSpaceDE w:val="0"/>
              <w:jc w:val="center"/>
              <w:rPr>
                <w:b/>
                <w:color w:val="auto"/>
                <w:szCs w:val="21"/>
              </w:rPr>
            </w:pPr>
            <w:r>
              <w:rPr>
                <w:b/>
                <w:color w:val="auto"/>
                <w:szCs w:val="21"/>
              </w:rPr>
              <w:t>表4-</w:t>
            </w:r>
            <w:r>
              <w:rPr>
                <w:rFonts w:hint="eastAsia"/>
                <w:b/>
                <w:color w:val="auto"/>
                <w:szCs w:val="21"/>
              </w:rPr>
              <w:t>5</w:t>
            </w:r>
            <w:r>
              <w:rPr>
                <w:b/>
                <w:color w:val="auto"/>
                <w:szCs w:val="21"/>
              </w:rPr>
              <w:t xml:space="preserve">  本项目无组织废气产生及排放情况一览表</w:t>
            </w:r>
          </w:p>
          <w:tbl>
            <w:tblPr>
              <w:tblStyle w:val="37"/>
              <w:tblW w:w="4995"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120"/>
              <w:gridCol w:w="1039"/>
              <w:gridCol w:w="1234"/>
              <w:gridCol w:w="841"/>
              <w:gridCol w:w="1095"/>
              <w:gridCol w:w="796"/>
              <w:gridCol w:w="1268"/>
              <w:gridCol w:w="1075"/>
              <w:gridCol w:w="93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pct"/>
                  <w:vAlign w:val="center"/>
                </w:tcPr>
                <w:p>
                  <w:pPr>
                    <w:pStyle w:val="85"/>
                    <w:rPr>
                      <w:b/>
                      <w:bCs/>
                      <w:snapToGrid w:val="0"/>
                      <w:color w:val="auto"/>
                      <w:sz w:val="18"/>
                      <w:szCs w:val="18"/>
                    </w:rPr>
                  </w:pPr>
                  <w:r>
                    <w:rPr>
                      <w:b/>
                      <w:bCs/>
                      <w:snapToGrid w:val="0"/>
                      <w:color w:val="auto"/>
                      <w:sz w:val="18"/>
                      <w:szCs w:val="18"/>
                    </w:rPr>
                    <w:t>来源</w:t>
                  </w:r>
                </w:p>
              </w:tc>
              <w:tc>
                <w:tcPr>
                  <w:tcW w:w="552" w:type="pct"/>
                  <w:vAlign w:val="center"/>
                </w:tcPr>
                <w:p>
                  <w:pPr>
                    <w:pStyle w:val="85"/>
                    <w:rPr>
                      <w:b/>
                      <w:bCs/>
                      <w:snapToGrid w:val="0"/>
                      <w:color w:val="auto"/>
                      <w:sz w:val="18"/>
                      <w:szCs w:val="18"/>
                    </w:rPr>
                  </w:pPr>
                  <w:r>
                    <w:rPr>
                      <w:b/>
                      <w:bCs/>
                      <w:snapToGrid w:val="0"/>
                      <w:color w:val="auto"/>
                      <w:sz w:val="18"/>
                      <w:szCs w:val="18"/>
                    </w:rPr>
                    <w:t>面源名称</w:t>
                  </w:r>
                </w:p>
              </w:tc>
              <w:tc>
                <w:tcPr>
                  <w:tcW w:w="656" w:type="pct"/>
                  <w:vAlign w:val="center"/>
                </w:tcPr>
                <w:p>
                  <w:pPr>
                    <w:pStyle w:val="85"/>
                    <w:rPr>
                      <w:b/>
                      <w:bCs/>
                      <w:snapToGrid w:val="0"/>
                      <w:color w:val="auto"/>
                      <w:sz w:val="18"/>
                      <w:szCs w:val="18"/>
                    </w:rPr>
                  </w:pPr>
                  <w:r>
                    <w:rPr>
                      <w:b/>
                      <w:bCs/>
                      <w:snapToGrid w:val="0"/>
                      <w:color w:val="auto"/>
                      <w:sz w:val="18"/>
                      <w:szCs w:val="18"/>
                    </w:rPr>
                    <w:t>污染物名称</w:t>
                  </w:r>
                </w:p>
              </w:tc>
              <w:tc>
                <w:tcPr>
                  <w:tcW w:w="447" w:type="pct"/>
                  <w:vAlign w:val="center"/>
                </w:tcPr>
                <w:p>
                  <w:pPr>
                    <w:pStyle w:val="85"/>
                    <w:rPr>
                      <w:b/>
                      <w:bCs/>
                      <w:snapToGrid w:val="0"/>
                      <w:color w:val="auto"/>
                      <w:sz w:val="18"/>
                      <w:szCs w:val="18"/>
                    </w:rPr>
                  </w:pPr>
                  <w:r>
                    <w:rPr>
                      <w:b/>
                      <w:bCs/>
                      <w:snapToGrid w:val="0"/>
                      <w:color w:val="auto"/>
                      <w:sz w:val="18"/>
                      <w:szCs w:val="18"/>
                    </w:rPr>
                    <w:t>产生量t/a</w:t>
                  </w:r>
                </w:p>
              </w:tc>
              <w:tc>
                <w:tcPr>
                  <w:tcW w:w="582" w:type="pct"/>
                  <w:vAlign w:val="center"/>
                </w:tcPr>
                <w:p>
                  <w:pPr>
                    <w:pStyle w:val="85"/>
                    <w:rPr>
                      <w:b/>
                      <w:bCs/>
                      <w:snapToGrid w:val="0"/>
                      <w:color w:val="auto"/>
                      <w:sz w:val="18"/>
                      <w:szCs w:val="18"/>
                    </w:rPr>
                  </w:pPr>
                  <w:r>
                    <w:rPr>
                      <w:b/>
                      <w:bCs/>
                      <w:snapToGrid w:val="0"/>
                      <w:color w:val="auto"/>
                      <w:sz w:val="18"/>
                      <w:szCs w:val="18"/>
                    </w:rPr>
                    <w:t>产生速率</w:t>
                  </w:r>
                  <w:r>
                    <w:rPr>
                      <w:rFonts w:hint="eastAsia"/>
                      <w:b/>
                      <w:bCs/>
                      <w:snapToGrid w:val="0"/>
                      <w:color w:val="auto"/>
                      <w:sz w:val="18"/>
                      <w:szCs w:val="18"/>
                    </w:rPr>
                    <w:t>*</w:t>
                  </w:r>
                  <w:r>
                    <w:rPr>
                      <w:b/>
                      <w:bCs/>
                      <w:snapToGrid w:val="0"/>
                      <w:color w:val="auto"/>
                      <w:sz w:val="18"/>
                      <w:szCs w:val="18"/>
                    </w:rPr>
                    <w:t>kg/h</w:t>
                  </w:r>
                </w:p>
              </w:tc>
              <w:tc>
                <w:tcPr>
                  <w:tcW w:w="423" w:type="pct"/>
                  <w:vAlign w:val="center"/>
                </w:tcPr>
                <w:p>
                  <w:pPr>
                    <w:pStyle w:val="85"/>
                    <w:rPr>
                      <w:b/>
                      <w:bCs/>
                      <w:snapToGrid w:val="0"/>
                      <w:color w:val="auto"/>
                      <w:sz w:val="18"/>
                      <w:szCs w:val="18"/>
                    </w:rPr>
                  </w:pPr>
                  <w:r>
                    <w:rPr>
                      <w:b/>
                      <w:bCs/>
                      <w:snapToGrid w:val="0"/>
                      <w:color w:val="auto"/>
                      <w:sz w:val="18"/>
                      <w:szCs w:val="18"/>
                    </w:rPr>
                    <w:t>排放量t/a</w:t>
                  </w:r>
                </w:p>
              </w:tc>
              <w:tc>
                <w:tcPr>
                  <w:tcW w:w="674" w:type="pct"/>
                  <w:vAlign w:val="center"/>
                </w:tcPr>
                <w:p>
                  <w:pPr>
                    <w:pStyle w:val="85"/>
                    <w:rPr>
                      <w:b/>
                      <w:bCs/>
                      <w:snapToGrid w:val="0"/>
                      <w:color w:val="auto"/>
                      <w:sz w:val="18"/>
                      <w:szCs w:val="18"/>
                    </w:rPr>
                  </w:pPr>
                  <w:r>
                    <w:rPr>
                      <w:b/>
                      <w:bCs/>
                      <w:snapToGrid w:val="0"/>
                      <w:color w:val="auto"/>
                      <w:sz w:val="18"/>
                      <w:szCs w:val="18"/>
                    </w:rPr>
                    <w:t>排放速率</w:t>
                  </w:r>
                  <w:r>
                    <w:rPr>
                      <w:rFonts w:hint="eastAsia"/>
                      <w:b/>
                      <w:bCs/>
                      <w:snapToGrid w:val="0"/>
                      <w:color w:val="auto"/>
                      <w:sz w:val="18"/>
                      <w:szCs w:val="18"/>
                    </w:rPr>
                    <w:t>*</w:t>
                  </w:r>
                </w:p>
                <w:p>
                  <w:pPr>
                    <w:pStyle w:val="85"/>
                    <w:rPr>
                      <w:b/>
                      <w:bCs/>
                      <w:snapToGrid w:val="0"/>
                      <w:color w:val="auto"/>
                      <w:sz w:val="18"/>
                      <w:szCs w:val="18"/>
                    </w:rPr>
                  </w:pPr>
                  <w:r>
                    <w:rPr>
                      <w:b/>
                      <w:bCs/>
                      <w:snapToGrid w:val="0"/>
                      <w:color w:val="auto"/>
                      <w:sz w:val="18"/>
                      <w:szCs w:val="18"/>
                    </w:rPr>
                    <w:t>kg/h</w:t>
                  </w:r>
                </w:p>
              </w:tc>
              <w:tc>
                <w:tcPr>
                  <w:tcW w:w="571" w:type="pct"/>
                  <w:vAlign w:val="center"/>
                </w:tcPr>
                <w:p>
                  <w:pPr>
                    <w:pStyle w:val="85"/>
                    <w:rPr>
                      <w:b/>
                      <w:bCs/>
                      <w:snapToGrid w:val="0"/>
                      <w:color w:val="auto"/>
                      <w:sz w:val="18"/>
                      <w:szCs w:val="18"/>
                    </w:rPr>
                  </w:pPr>
                  <w:r>
                    <w:rPr>
                      <w:b/>
                      <w:bCs/>
                      <w:snapToGrid w:val="0"/>
                      <w:color w:val="auto"/>
                      <w:sz w:val="18"/>
                      <w:szCs w:val="18"/>
                    </w:rPr>
                    <w:t>面源面积m</w:t>
                  </w:r>
                  <w:r>
                    <w:rPr>
                      <w:b/>
                      <w:bCs/>
                      <w:snapToGrid w:val="0"/>
                      <w:color w:val="auto"/>
                      <w:sz w:val="18"/>
                      <w:szCs w:val="18"/>
                      <w:vertAlign w:val="superscript"/>
                    </w:rPr>
                    <w:t>2</w:t>
                  </w:r>
                </w:p>
              </w:tc>
              <w:tc>
                <w:tcPr>
                  <w:tcW w:w="494" w:type="pct"/>
                  <w:vAlign w:val="center"/>
                </w:tcPr>
                <w:p>
                  <w:pPr>
                    <w:pStyle w:val="85"/>
                    <w:rPr>
                      <w:b/>
                      <w:bCs/>
                      <w:snapToGrid w:val="0"/>
                      <w:color w:val="auto"/>
                      <w:sz w:val="18"/>
                      <w:szCs w:val="18"/>
                    </w:rPr>
                  </w:pPr>
                  <w:r>
                    <w:rPr>
                      <w:b/>
                      <w:bCs/>
                      <w:snapToGrid w:val="0"/>
                      <w:color w:val="auto"/>
                      <w:sz w:val="18"/>
                      <w:szCs w:val="18"/>
                    </w:rPr>
                    <w:t>面源高度m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pct"/>
                  <w:vMerge w:val="restart"/>
                  <w:vAlign w:val="center"/>
                </w:tcPr>
                <w:p>
                  <w:pPr>
                    <w:jc w:val="center"/>
                    <w:rPr>
                      <w:color w:val="auto"/>
                      <w:sz w:val="18"/>
                      <w:szCs w:val="18"/>
                    </w:rPr>
                  </w:pPr>
                  <w:r>
                    <w:rPr>
                      <w:rFonts w:hint="eastAsia"/>
                      <w:color w:val="auto"/>
                      <w:sz w:val="18"/>
                      <w:szCs w:val="18"/>
                    </w:rPr>
                    <w:t>混炼、开炼、成型、注塑</w:t>
                  </w:r>
                </w:p>
              </w:tc>
              <w:tc>
                <w:tcPr>
                  <w:tcW w:w="552" w:type="pct"/>
                  <w:vMerge w:val="restart"/>
                  <w:vAlign w:val="center"/>
                </w:tcPr>
                <w:p>
                  <w:pPr>
                    <w:jc w:val="center"/>
                    <w:rPr>
                      <w:snapToGrid w:val="0"/>
                      <w:color w:val="auto"/>
                      <w:sz w:val="18"/>
                      <w:szCs w:val="18"/>
                    </w:rPr>
                  </w:pPr>
                  <w:r>
                    <w:rPr>
                      <w:rFonts w:hint="eastAsia"/>
                      <w:snapToGrid w:val="0"/>
                      <w:color w:val="auto"/>
                      <w:sz w:val="18"/>
                      <w:szCs w:val="18"/>
                    </w:rPr>
                    <w:t>一楼生产车间</w:t>
                  </w:r>
                </w:p>
              </w:tc>
              <w:tc>
                <w:tcPr>
                  <w:tcW w:w="656" w:type="pct"/>
                  <w:vAlign w:val="center"/>
                </w:tcPr>
                <w:p>
                  <w:pPr>
                    <w:widowControl/>
                    <w:jc w:val="center"/>
                    <w:rPr>
                      <w:snapToGrid w:val="0"/>
                      <w:color w:val="auto"/>
                      <w:kern w:val="0"/>
                      <w:sz w:val="18"/>
                      <w:szCs w:val="18"/>
                    </w:rPr>
                  </w:pPr>
                  <w:r>
                    <w:rPr>
                      <w:rFonts w:hint="eastAsia"/>
                      <w:color w:val="auto"/>
                      <w:sz w:val="18"/>
                      <w:szCs w:val="18"/>
                    </w:rPr>
                    <w:t>非甲烷总烃</w:t>
                  </w:r>
                </w:p>
              </w:tc>
              <w:tc>
                <w:tcPr>
                  <w:tcW w:w="447" w:type="pct"/>
                  <w:vAlign w:val="center"/>
                </w:tcPr>
                <w:p>
                  <w:pPr>
                    <w:widowControl/>
                    <w:jc w:val="center"/>
                    <w:textAlignment w:val="center"/>
                    <w:rPr>
                      <w:snapToGrid w:val="0"/>
                      <w:color w:val="auto"/>
                      <w:sz w:val="18"/>
                      <w:szCs w:val="18"/>
                    </w:rPr>
                  </w:pPr>
                  <w:r>
                    <w:rPr>
                      <w:color w:val="auto"/>
                      <w:kern w:val="0"/>
                      <w:sz w:val="18"/>
                      <w:szCs w:val="18"/>
                    </w:rPr>
                    <w:t>0.0083</w:t>
                  </w:r>
                </w:p>
              </w:tc>
              <w:tc>
                <w:tcPr>
                  <w:tcW w:w="582" w:type="pct"/>
                  <w:vAlign w:val="center"/>
                </w:tcPr>
                <w:p>
                  <w:pPr>
                    <w:widowControl/>
                    <w:jc w:val="center"/>
                    <w:textAlignment w:val="center"/>
                    <w:rPr>
                      <w:snapToGrid w:val="0"/>
                      <w:color w:val="auto"/>
                      <w:sz w:val="18"/>
                      <w:szCs w:val="18"/>
                    </w:rPr>
                  </w:pPr>
                  <w:r>
                    <w:rPr>
                      <w:rFonts w:hint="eastAsia"/>
                      <w:color w:val="auto"/>
                      <w:kern w:val="0"/>
                      <w:sz w:val="18"/>
                      <w:szCs w:val="18"/>
                    </w:rPr>
                    <w:t>0.00096</w:t>
                  </w:r>
                </w:p>
              </w:tc>
              <w:tc>
                <w:tcPr>
                  <w:tcW w:w="423" w:type="pct"/>
                  <w:vAlign w:val="center"/>
                </w:tcPr>
                <w:p>
                  <w:pPr>
                    <w:widowControl/>
                    <w:jc w:val="center"/>
                    <w:textAlignment w:val="center"/>
                    <w:rPr>
                      <w:snapToGrid w:val="0"/>
                      <w:color w:val="auto"/>
                      <w:sz w:val="18"/>
                      <w:szCs w:val="18"/>
                    </w:rPr>
                  </w:pPr>
                  <w:r>
                    <w:rPr>
                      <w:color w:val="auto"/>
                      <w:kern w:val="0"/>
                      <w:sz w:val="18"/>
                      <w:szCs w:val="18"/>
                    </w:rPr>
                    <w:t>0.0083</w:t>
                  </w:r>
                </w:p>
              </w:tc>
              <w:tc>
                <w:tcPr>
                  <w:tcW w:w="674" w:type="pct"/>
                  <w:vAlign w:val="center"/>
                </w:tcPr>
                <w:p>
                  <w:pPr>
                    <w:widowControl/>
                    <w:jc w:val="center"/>
                    <w:textAlignment w:val="center"/>
                    <w:rPr>
                      <w:snapToGrid w:val="0"/>
                      <w:color w:val="auto"/>
                      <w:sz w:val="18"/>
                      <w:szCs w:val="18"/>
                    </w:rPr>
                  </w:pPr>
                  <w:r>
                    <w:rPr>
                      <w:rFonts w:hint="eastAsia"/>
                      <w:color w:val="auto"/>
                      <w:kern w:val="0"/>
                      <w:sz w:val="18"/>
                      <w:szCs w:val="18"/>
                    </w:rPr>
                    <w:t>0.00096</w:t>
                  </w:r>
                </w:p>
              </w:tc>
              <w:tc>
                <w:tcPr>
                  <w:tcW w:w="571" w:type="pct"/>
                  <w:vMerge w:val="restart"/>
                  <w:vAlign w:val="center"/>
                </w:tcPr>
                <w:p>
                  <w:pPr>
                    <w:pStyle w:val="85"/>
                    <w:rPr>
                      <w:snapToGrid w:val="0"/>
                      <w:color w:val="auto"/>
                      <w:sz w:val="18"/>
                      <w:szCs w:val="18"/>
                    </w:rPr>
                  </w:pPr>
                  <w:r>
                    <w:rPr>
                      <w:rFonts w:hint="eastAsia"/>
                      <w:snapToGrid w:val="0"/>
                      <w:color w:val="auto"/>
                      <w:sz w:val="18"/>
                      <w:szCs w:val="18"/>
                    </w:rPr>
                    <w:t>600</w:t>
                  </w:r>
                </w:p>
              </w:tc>
              <w:tc>
                <w:tcPr>
                  <w:tcW w:w="494" w:type="pct"/>
                  <w:vAlign w:val="center"/>
                </w:tcPr>
                <w:p>
                  <w:pPr>
                    <w:pStyle w:val="85"/>
                    <w:rPr>
                      <w:snapToGrid w:val="0"/>
                      <w:color w:val="auto"/>
                      <w:sz w:val="18"/>
                      <w:szCs w:val="18"/>
                    </w:rPr>
                  </w:pPr>
                  <w:r>
                    <w:rPr>
                      <w:rFonts w:hint="eastAsia"/>
                      <w:snapToGrid w:val="0"/>
                      <w:color w:val="auto"/>
                      <w:sz w:val="18"/>
                      <w:szCs w:val="18"/>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pct"/>
                  <w:vMerge w:val="continue"/>
                  <w:vAlign w:val="center"/>
                </w:tcPr>
                <w:p>
                  <w:pPr>
                    <w:jc w:val="center"/>
                    <w:rPr>
                      <w:color w:val="auto"/>
                      <w:sz w:val="18"/>
                      <w:szCs w:val="18"/>
                    </w:rPr>
                  </w:pPr>
                </w:p>
              </w:tc>
              <w:tc>
                <w:tcPr>
                  <w:tcW w:w="552" w:type="pct"/>
                  <w:vMerge w:val="continue"/>
                  <w:vAlign w:val="center"/>
                </w:tcPr>
                <w:p>
                  <w:pPr>
                    <w:jc w:val="center"/>
                    <w:rPr>
                      <w:snapToGrid w:val="0"/>
                      <w:color w:val="auto"/>
                      <w:sz w:val="18"/>
                      <w:szCs w:val="18"/>
                    </w:rPr>
                  </w:pPr>
                </w:p>
              </w:tc>
              <w:tc>
                <w:tcPr>
                  <w:tcW w:w="656" w:type="pct"/>
                  <w:vAlign w:val="center"/>
                </w:tcPr>
                <w:p>
                  <w:pPr>
                    <w:widowControl/>
                    <w:jc w:val="center"/>
                    <w:rPr>
                      <w:snapToGrid w:val="0"/>
                      <w:color w:val="auto"/>
                      <w:kern w:val="0"/>
                      <w:sz w:val="18"/>
                      <w:szCs w:val="18"/>
                    </w:rPr>
                  </w:pPr>
                  <w:r>
                    <w:rPr>
                      <w:rFonts w:hint="eastAsia"/>
                      <w:color w:val="auto"/>
                      <w:sz w:val="18"/>
                      <w:szCs w:val="18"/>
                    </w:rPr>
                    <w:t>颗粒物</w:t>
                  </w:r>
                </w:p>
              </w:tc>
              <w:tc>
                <w:tcPr>
                  <w:tcW w:w="447" w:type="pct"/>
                  <w:vAlign w:val="center"/>
                </w:tcPr>
                <w:p>
                  <w:pPr>
                    <w:autoSpaceDE w:val="0"/>
                    <w:autoSpaceDN w:val="0"/>
                    <w:jc w:val="center"/>
                    <w:rPr>
                      <w:snapToGrid w:val="0"/>
                      <w:color w:val="auto"/>
                      <w:sz w:val="18"/>
                      <w:szCs w:val="18"/>
                    </w:rPr>
                  </w:pPr>
                  <w:r>
                    <w:rPr>
                      <w:rFonts w:hint="eastAsia"/>
                      <w:color w:val="auto"/>
                      <w:kern w:val="0"/>
                      <w:sz w:val="18"/>
                      <w:szCs w:val="18"/>
                    </w:rPr>
                    <w:t>0.0083</w:t>
                  </w:r>
                </w:p>
              </w:tc>
              <w:tc>
                <w:tcPr>
                  <w:tcW w:w="582" w:type="pct"/>
                  <w:vAlign w:val="center"/>
                </w:tcPr>
                <w:p>
                  <w:pPr>
                    <w:autoSpaceDE w:val="0"/>
                    <w:autoSpaceDN w:val="0"/>
                    <w:jc w:val="center"/>
                    <w:rPr>
                      <w:bCs/>
                      <w:snapToGrid w:val="0"/>
                      <w:color w:val="auto"/>
                      <w:sz w:val="18"/>
                      <w:szCs w:val="18"/>
                    </w:rPr>
                  </w:pPr>
                  <w:r>
                    <w:rPr>
                      <w:rFonts w:hint="eastAsia"/>
                      <w:color w:val="auto"/>
                      <w:kern w:val="0"/>
                      <w:sz w:val="18"/>
                      <w:szCs w:val="18"/>
                    </w:rPr>
                    <w:t>0.0014</w:t>
                  </w:r>
                </w:p>
              </w:tc>
              <w:tc>
                <w:tcPr>
                  <w:tcW w:w="423" w:type="pct"/>
                  <w:vAlign w:val="center"/>
                </w:tcPr>
                <w:p>
                  <w:pPr>
                    <w:autoSpaceDE w:val="0"/>
                    <w:autoSpaceDN w:val="0"/>
                    <w:jc w:val="center"/>
                    <w:rPr>
                      <w:snapToGrid w:val="0"/>
                      <w:color w:val="auto"/>
                      <w:sz w:val="18"/>
                      <w:szCs w:val="18"/>
                    </w:rPr>
                  </w:pPr>
                  <w:r>
                    <w:rPr>
                      <w:rFonts w:hint="eastAsia"/>
                      <w:color w:val="auto"/>
                      <w:kern w:val="0"/>
                      <w:sz w:val="18"/>
                      <w:szCs w:val="18"/>
                    </w:rPr>
                    <w:t>0.0083</w:t>
                  </w:r>
                </w:p>
              </w:tc>
              <w:tc>
                <w:tcPr>
                  <w:tcW w:w="674" w:type="pct"/>
                  <w:vAlign w:val="center"/>
                </w:tcPr>
                <w:p>
                  <w:pPr>
                    <w:autoSpaceDE w:val="0"/>
                    <w:autoSpaceDN w:val="0"/>
                    <w:jc w:val="center"/>
                    <w:rPr>
                      <w:bCs/>
                      <w:snapToGrid w:val="0"/>
                      <w:color w:val="auto"/>
                      <w:sz w:val="18"/>
                      <w:szCs w:val="18"/>
                    </w:rPr>
                  </w:pPr>
                  <w:r>
                    <w:rPr>
                      <w:rFonts w:hint="eastAsia"/>
                      <w:color w:val="auto"/>
                      <w:kern w:val="0"/>
                      <w:sz w:val="18"/>
                      <w:szCs w:val="18"/>
                    </w:rPr>
                    <w:t>0.0014</w:t>
                  </w:r>
                </w:p>
              </w:tc>
              <w:tc>
                <w:tcPr>
                  <w:tcW w:w="571" w:type="pct"/>
                  <w:vMerge w:val="continue"/>
                  <w:vAlign w:val="center"/>
                </w:tcPr>
                <w:p>
                  <w:pPr>
                    <w:pStyle w:val="85"/>
                    <w:rPr>
                      <w:snapToGrid w:val="0"/>
                      <w:color w:val="auto"/>
                      <w:sz w:val="18"/>
                      <w:szCs w:val="18"/>
                    </w:rPr>
                  </w:pPr>
                </w:p>
              </w:tc>
              <w:tc>
                <w:tcPr>
                  <w:tcW w:w="494" w:type="pct"/>
                  <w:vAlign w:val="center"/>
                </w:tcPr>
                <w:p>
                  <w:pPr>
                    <w:pStyle w:val="85"/>
                    <w:rPr>
                      <w:snapToGrid w:val="0"/>
                      <w:color w:val="auto"/>
                      <w:sz w:val="18"/>
                      <w:szCs w:val="18"/>
                    </w:rPr>
                  </w:pPr>
                  <w:r>
                    <w:rPr>
                      <w:rFonts w:hint="eastAsia"/>
                      <w:snapToGrid w:val="0"/>
                      <w:color w:val="auto"/>
                      <w:sz w:val="18"/>
                      <w:szCs w:val="18"/>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pct"/>
                  <w:vMerge w:val="continue"/>
                  <w:vAlign w:val="center"/>
                </w:tcPr>
                <w:p>
                  <w:pPr>
                    <w:jc w:val="center"/>
                    <w:rPr>
                      <w:color w:val="auto"/>
                      <w:sz w:val="18"/>
                      <w:szCs w:val="18"/>
                    </w:rPr>
                  </w:pPr>
                </w:p>
              </w:tc>
              <w:tc>
                <w:tcPr>
                  <w:tcW w:w="552" w:type="pct"/>
                  <w:vMerge w:val="continue"/>
                  <w:vAlign w:val="center"/>
                </w:tcPr>
                <w:p>
                  <w:pPr>
                    <w:jc w:val="center"/>
                    <w:rPr>
                      <w:snapToGrid w:val="0"/>
                      <w:color w:val="auto"/>
                      <w:sz w:val="18"/>
                      <w:szCs w:val="18"/>
                    </w:rPr>
                  </w:pPr>
                </w:p>
              </w:tc>
              <w:tc>
                <w:tcPr>
                  <w:tcW w:w="656" w:type="pct"/>
                  <w:vAlign w:val="center"/>
                </w:tcPr>
                <w:p>
                  <w:pPr>
                    <w:widowControl/>
                    <w:jc w:val="center"/>
                    <w:rPr>
                      <w:snapToGrid w:val="0"/>
                      <w:color w:val="auto"/>
                      <w:kern w:val="0"/>
                      <w:sz w:val="18"/>
                      <w:szCs w:val="18"/>
                    </w:rPr>
                  </w:pPr>
                  <w:r>
                    <w:rPr>
                      <w:rFonts w:hint="eastAsia"/>
                      <w:color w:val="auto"/>
                      <w:sz w:val="18"/>
                      <w:szCs w:val="18"/>
                    </w:rPr>
                    <w:t>CS</w:t>
                  </w:r>
                  <w:r>
                    <w:rPr>
                      <w:rFonts w:hint="eastAsia"/>
                      <w:color w:val="auto"/>
                      <w:sz w:val="18"/>
                      <w:szCs w:val="18"/>
                      <w:vertAlign w:val="subscript"/>
                    </w:rPr>
                    <w:t>2</w:t>
                  </w:r>
                </w:p>
              </w:tc>
              <w:tc>
                <w:tcPr>
                  <w:tcW w:w="447" w:type="pct"/>
                  <w:vAlign w:val="center"/>
                </w:tcPr>
                <w:p>
                  <w:pPr>
                    <w:autoSpaceDE w:val="0"/>
                    <w:autoSpaceDN w:val="0"/>
                    <w:jc w:val="center"/>
                    <w:rPr>
                      <w:snapToGrid w:val="0"/>
                      <w:color w:val="auto"/>
                      <w:sz w:val="18"/>
                      <w:szCs w:val="18"/>
                    </w:rPr>
                  </w:pPr>
                  <w:r>
                    <w:rPr>
                      <w:rFonts w:hint="eastAsia"/>
                      <w:color w:val="auto"/>
                      <w:kern w:val="0"/>
                      <w:sz w:val="18"/>
                      <w:szCs w:val="18"/>
                    </w:rPr>
                    <w:t>0.00003</w:t>
                  </w:r>
                </w:p>
              </w:tc>
              <w:tc>
                <w:tcPr>
                  <w:tcW w:w="582" w:type="pct"/>
                  <w:vAlign w:val="center"/>
                </w:tcPr>
                <w:p>
                  <w:pPr>
                    <w:autoSpaceDE w:val="0"/>
                    <w:autoSpaceDN w:val="0"/>
                    <w:jc w:val="center"/>
                    <w:rPr>
                      <w:bCs/>
                      <w:snapToGrid w:val="0"/>
                      <w:color w:val="auto"/>
                      <w:sz w:val="18"/>
                      <w:szCs w:val="18"/>
                    </w:rPr>
                  </w:pPr>
                  <w:r>
                    <w:rPr>
                      <w:rFonts w:hint="eastAsia"/>
                      <w:color w:val="auto"/>
                      <w:kern w:val="0"/>
                      <w:sz w:val="18"/>
                      <w:szCs w:val="18"/>
                    </w:rPr>
                    <w:t>0.000004</w:t>
                  </w:r>
                </w:p>
              </w:tc>
              <w:tc>
                <w:tcPr>
                  <w:tcW w:w="423" w:type="pct"/>
                  <w:vAlign w:val="center"/>
                </w:tcPr>
                <w:p>
                  <w:pPr>
                    <w:autoSpaceDE w:val="0"/>
                    <w:autoSpaceDN w:val="0"/>
                    <w:jc w:val="center"/>
                    <w:rPr>
                      <w:snapToGrid w:val="0"/>
                      <w:color w:val="auto"/>
                      <w:sz w:val="18"/>
                      <w:szCs w:val="18"/>
                    </w:rPr>
                  </w:pPr>
                  <w:r>
                    <w:rPr>
                      <w:rFonts w:hint="eastAsia"/>
                      <w:color w:val="auto"/>
                      <w:kern w:val="0"/>
                      <w:sz w:val="18"/>
                      <w:szCs w:val="18"/>
                    </w:rPr>
                    <w:t>0.00003</w:t>
                  </w:r>
                </w:p>
              </w:tc>
              <w:tc>
                <w:tcPr>
                  <w:tcW w:w="674" w:type="pct"/>
                  <w:vAlign w:val="center"/>
                </w:tcPr>
                <w:p>
                  <w:pPr>
                    <w:autoSpaceDE w:val="0"/>
                    <w:autoSpaceDN w:val="0"/>
                    <w:jc w:val="center"/>
                    <w:rPr>
                      <w:bCs/>
                      <w:snapToGrid w:val="0"/>
                      <w:color w:val="auto"/>
                      <w:sz w:val="18"/>
                      <w:szCs w:val="18"/>
                    </w:rPr>
                  </w:pPr>
                  <w:r>
                    <w:rPr>
                      <w:rFonts w:hint="eastAsia"/>
                      <w:color w:val="auto"/>
                      <w:kern w:val="0"/>
                      <w:sz w:val="18"/>
                      <w:szCs w:val="18"/>
                    </w:rPr>
                    <w:t>0.000004</w:t>
                  </w:r>
                </w:p>
              </w:tc>
              <w:tc>
                <w:tcPr>
                  <w:tcW w:w="571" w:type="pct"/>
                  <w:vMerge w:val="continue"/>
                  <w:vAlign w:val="center"/>
                </w:tcPr>
                <w:p>
                  <w:pPr>
                    <w:pStyle w:val="85"/>
                    <w:rPr>
                      <w:snapToGrid w:val="0"/>
                      <w:color w:val="auto"/>
                      <w:sz w:val="18"/>
                      <w:szCs w:val="18"/>
                    </w:rPr>
                  </w:pPr>
                </w:p>
              </w:tc>
              <w:tc>
                <w:tcPr>
                  <w:tcW w:w="494" w:type="pct"/>
                  <w:vAlign w:val="center"/>
                </w:tcPr>
                <w:p>
                  <w:pPr>
                    <w:pStyle w:val="85"/>
                    <w:rPr>
                      <w:snapToGrid w:val="0"/>
                      <w:color w:val="auto"/>
                      <w:sz w:val="18"/>
                      <w:szCs w:val="18"/>
                    </w:rPr>
                  </w:pPr>
                  <w:r>
                    <w:rPr>
                      <w:rFonts w:hint="eastAsia"/>
                      <w:snapToGrid w:val="0"/>
                      <w:color w:val="auto"/>
                      <w:sz w:val="18"/>
                      <w:szCs w:val="18"/>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595" w:type="pct"/>
                  <w:vMerge w:val="continue"/>
                  <w:vAlign w:val="center"/>
                </w:tcPr>
                <w:p>
                  <w:pPr>
                    <w:jc w:val="center"/>
                    <w:rPr>
                      <w:color w:val="auto"/>
                      <w:sz w:val="18"/>
                      <w:szCs w:val="18"/>
                    </w:rPr>
                  </w:pPr>
                </w:p>
              </w:tc>
              <w:tc>
                <w:tcPr>
                  <w:tcW w:w="552" w:type="pct"/>
                  <w:vMerge w:val="continue"/>
                  <w:vAlign w:val="center"/>
                </w:tcPr>
                <w:p>
                  <w:pPr>
                    <w:jc w:val="center"/>
                    <w:rPr>
                      <w:snapToGrid w:val="0"/>
                      <w:color w:val="auto"/>
                      <w:sz w:val="18"/>
                      <w:szCs w:val="18"/>
                    </w:rPr>
                  </w:pPr>
                </w:p>
              </w:tc>
              <w:tc>
                <w:tcPr>
                  <w:tcW w:w="656" w:type="pct"/>
                  <w:vAlign w:val="center"/>
                </w:tcPr>
                <w:p>
                  <w:pPr>
                    <w:widowControl/>
                    <w:jc w:val="center"/>
                    <w:rPr>
                      <w:snapToGrid w:val="0"/>
                      <w:color w:val="auto"/>
                      <w:kern w:val="0"/>
                      <w:sz w:val="18"/>
                      <w:szCs w:val="18"/>
                    </w:rPr>
                  </w:pPr>
                  <w:r>
                    <w:rPr>
                      <w:rFonts w:hint="eastAsia"/>
                      <w:color w:val="auto"/>
                      <w:sz w:val="18"/>
                      <w:szCs w:val="18"/>
                    </w:rPr>
                    <w:t>H</w:t>
                  </w:r>
                  <w:r>
                    <w:rPr>
                      <w:rFonts w:hint="eastAsia"/>
                      <w:color w:val="auto"/>
                      <w:sz w:val="18"/>
                      <w:szCs w:val="18"/>
                      <w:vertAlign w:val="subscript"/>
                    </w:rPr>
                    <w:t>2</w:t>
                  </w:r>
                  <w:r>
                    <w:rPr>
                      <w:rFonts w:hint="eastAsia"/>
                      <w:color w:val="auto"/>
                      <w:sz w:val="18"/>
                      <w:szCs w:val="18"/>
                    </w:rPr>
                    <w:t>S</w:t>
                  </w:r>
                </w:p>
              </w:tc>
              <w:tc>
                <w:tcPr>
                  <w:tcW w:w="447" w:type="pct"/>
                  <w:vAlign w:val="center"/>
                </w:tcPr>
                <w:p>
                  <w:pPr>
                    <w:autoSpaceDE w:val="0"/>
                    <w:autoSpaceDN w:val="0"/>
                    <w:jc w:val="center"/>
                    <w:rPr>
                      <w:snapToGrid w:val="0"/>
                      <w:color w:val="auto"/>
                      <w:kern w:val="0"/>
                      <w:sz w:val="18"/>
                      <w:szCs w:val="18"/>
                    </w:rPr>
                  </w:pPr>
                  <w:r>
                    <w:rPr>
                      <w:rFonts w:hint="eastAsia"/>
                      <w:color w:val="auto"/>
                      <w:kern w:val="0"/>
                      <w:sz w:val="18"/>
                      <w:szCs w:val="18"/>
                    </w:rPr>
                    <w:t>0.0003</w:t>
                  </w:r>
                </w:p>
              </w:tc>
              <w:tc>
                <w:tcPr>
                  <w:tcW w:w="582" w:type="pct"/>
                  <w:vAlign w:val="center"/>
                </w:tcPr>
                <w:p>
                  <w:pPr>
                    <w:autoSpaceDE w:val="0"/>
                    <w:autoSpaceDN w:val="0"/>
                    <w:jc w:val="center"/>
                    <w:rPr>
                      <w:snapToGrid w:val="0"/>
                      <w:color w:val="auto"/>
                      <w:kern w:val="0"/>
                      <w:sz w:val="18"/>
                      <w:szCs w:val="18"/>
                    </w:rPr>
                  </w:pPr>
                  <w:r>
                    <w:rPr>
                      <w:rFonts w:hint="eastAsia"/>
                      <w:color w:val="auto"/>
                      <w:kern w:val="0"/>
                      <w:sz w:val="18"/>
                      <w:szCs w:val="18"/>
                    </w:rPr>
                    <w:t>0.00004</w:t>
                  </w:r>
                </w:p>
              </w:tc>
              <w:tc>
                <w:tcPr>
                  <w:tcW w:w="423" w:type="pct"/>
                  <w:vAlign w:val="center"/>
                </w:tcPr>
                <w:p>
                  <w:pPr>
                    <w:autoSpaceDE w:val="0"/>
                    <w:autoSpaceDN w:val="0"/>
                    <w:jc w:val="center"/>
                    <w:rPr>
                      <w:snapToGrid w:val="0"/>
                      <w:color w:val="auto"/>
                      <w:kern w:val="0"/>
                      <w:sz w:val="18"/>
                      <w:szCs w:val="18"/>
                    </w:rPr>
                  </w:pPr>
                  <w:r>
                    <w:rPr>
                      <w:rFonts w:hint="eastAsia"/>
                      <w:color w:val="auto"/>
                      <w:kern w:val="0"/>
                      <w:sz w:val="18"/>
                      <w:szCs w:val="18"/>
                    </w:rPr>
                    <w:t>0.0003</w:t>
                  </w:r>
                </w:p>
              </w:tc>
              <w:tc>
                <w:tcPr>
                  <w:tcW w:w="674" w:type="pct"/>
                  <w:vAlign w:val="center"/>
                </w:tcPr>
                <w:p>
                  <w:pPr>
                    <w:autoSpaceDE w:val="0"/>
                    <w:autoSpaceDN w:val="0"/>
                    <w:jc w:val="center"/>
                    <w:rPr>
                      <w:snapToGrid w:val="0"/>
                      <w:color w:val="auto"/>
                      <w:kern w:val="0"/>
                      <w:sz w:val="18"/>
                      <w:szCs w:val="18"/>
                    </w:rPr>
                  </w:pPr>
                  <w:r>
                    <w:rPr>
                      <w:rFonts w:hint="eastAsia"/>
                      <w:color w:val="auto"/>
                      <w:kern w:val="0"/>
                      <w:sz w:val="18"/>
                      <w:szCs w:val="18"/>
                    </w:rPr>
                    <w:t>0.00004</w:t>
                  </w:r>
                </w:p>
              </w:tc>
              <w:tc>
                <w:tcPr>
                  <w:tcW w:w="571" w:type="pct"/>
                  <w:vMerge w:val="continue"/>
                  <w:vAlign w:val="center"/>
                </w:tcPr>
                <w:p>
                  <w:pPr>
                    <w:jc w:val="center"/>
                    <w:rPr>
                      <w:snapToGrid w:val="0"/>
                      <w:color w:val="auto"/>
                      <w:sz w:val="18"/>
                      <w:szCs w:val="18"/>
                    </w:rPr>
                  </w:pPr>
                </w:p>
              </w:tc>
              <w:tc>
                <w:tcPr>
                  <w:tcW w:w="494" w:type="pct"/>
                  <w:vAlign w:val="center"/>
                </w:tcPr>
                <w:p>
                  <w:pPr>
                    <w:jc w:val="center"/>
                    <w:rPr>
                      <w:snapToGrid w:val="0"/>
                      <w:color w:val="auto"/>
                      <w:kern w:val="0"/>
                      <w:sz w:val="18"/>
                      <w:szCs w:val="18"/>
                    </w:rPr>
                  </w:pPr>
                  <w:r>
                    <w:rPr>
                      <w:rFonts w:hint="eastAsia"/>
                      <w:snapToGrid w:val="0"/>
                      <w:color w:val="auto"/>
                      <w:kern w:val="0"/>
                      <w:sz w:val="18"/>
                      <w:szCs w:val="18"/>
                    </w:rPr>
                    <w:t>4</w:t>
                  </w:r>
                </w:p>
              </w:tc>
            </w:tr>
          </w:tbl>
          <w:p>
            <w:pPr>
              <w:spacing w:line="360" w:lineRule="auto"/>
              <w:rPr>
                <w:b/>
                <w:bCs/>
                <w:color w:val="auto"/>
                <w:kern w:val="0"/>
                <w:sz w:val="18"/>
                <w:szCs w:val="18"/>
              </w:rPr>
            </w:pPr>
            <w:r>
              <w:rPr>
                <w:b/>
                <w:bCs/>
                <w:color w:val="auto"/>
                <w:kern w:val="0"/>
                <w:sz w:val="18"/>
                <w:szCs w:val="18"/>
              </w:rPr>
              <w:t>注：*按照各工序同时进行情况下核算最大排放速率；</w:t>
            </w:r>
          </w:p>
          <w:p>
            <w:pPr>
              <w:adjustRightInd w:val="0"/>
              <w:snapToGrid w:val="0"/>
              <w:spacing w:before="120" w:beforeLines="50" w:line="360" w:lineRule="auto"/>
              <w:ind w:firstLine="420" w:firstLineChars="200"/>
              <w:rPr>
                <w:color w:val="auto"/>
                <w:kern w:val="0"/>
                <w:szCs w:val="21"/>
              </w:rPr>
            </w:pPr>
            <w:r>
              <w:rPr>
                <w:color w:val="auto"/>
                <w:kern w:val="0"/>
                <w:szCs w:val="21"/>
              </w:rPr>
              <w:t>（</w:t>
            </w:r>
            <w:r>
              <w:rPr>
                <w:rFonts w:hint="eastAsia"/>
                <w:color w:val="auto"/>
                <w:kern w:val="0"/>
                <w:szCs w:val="21"/>
              </w:rPr>
              <w:t>3</w:t>
            </w:r>
            <w:r>
              <w:rPr>
                <w:color w:val="auto"/>
                <w:kern w:val="0"/>
                <w:szCs w:val="21"/>
              </w:rPr>
              <w:t>）非正常工况</w:t>
            </w:r>
          </w:p>
          <w:p>
            <w:pPr>
              <w:overflowPunct w:val="0"/>
              <w:autoSpaceDE w:val="0"/>
              <w:autoSpaceDN w:val="0"/>
              <w:snapToGrid w:val="0"/>
              <w:spacing w:line="360" w:lineRule="auto"/>
              <w:ind w:firstLine="420" w:firstLineChars="200"/>
              <w:rPr>
                <w:snapToGrid w:val="0"/>
                <w:color w:val="auto"/>
              </w:rPr>
            </w:pPr>
            <w:r>
              <w:rPr>
                <w:snapToGrid w:val="0"/>
                <w:color w:val="auto"/>
              </w:rPr>
              <w:t>本项目涉及到的事故排放主要是废气处理设施发生故障，主要考虑废气处理装置发生故障，达不到设计的去除效率，本项目考虑非正常排放是对废气的去除效率降低一半，非正常排放历时不超过10min，每年发生次数不超过一次。</w:t>
            </w:r>
          </w:p>
          <w:p>
            <w:pPr>
              <w:overflowPunct w:val="0"/>
              <w:autoSpaceDE w:val="0"/>
              <w:autoSpaceDN w:val="0"/>
              <w:snapToGrid w:val="0"/>
              <w:spacing w:line="360" w:lineRule="auto"/>
              <w:ind w:firstLine="420" w:firstLineChars="200"/>
              <w:rPr>
                <w:b/>
                <w:bCs/>
                <w:snapToGrid w:val="0"/>
                <w:color w:val="auto"/>
              </w:rPr>
            </w:pPr>
            <w:r>
              <w:rPr>
                <w:snapToGrid w:val="0"/>
                <w:color w:val="auto"/>
              </w:rPr>
              <w:t>非正常排放时，具体排放源强见表4-</w:t>
            </w:r>
            <w:r>
              <w:rPr>
                <w:rFonts w:hint="eastAsia"/>
                <w:snapToGrid w:val="0"/>
                <w:color w:val="auto"/>
              </w:rPr>
              <w:t>6</w:t>
            </w:r>
            <w:r>
              <w:rPr>
                <w:snapToGrid w:val="0"/>
                <w:color w:val="auto"/>
              </w:rPr>
              <w:t>。</w:t>
            </w:r>
          </w:p>
          <w:p>
            <w:pPr>
              <w:overflowPunct w:val="0"/>
              <w:autoSpaceDE w:val="0"/>
              <w:autoSpaceDN w:val="0"/>
              <w:snapToGrid w:val="0"/>
              <w:jc w:val="center"/>
              <w:rPr>
                <w:b/>
                <w:bCs/>
                <w:snapToGrid w:val="0"/>
                <w:color w:val="auto"/>
              </w:rPr>
            </w:pPr>
            <w:bookmarkStart w:id="7" w:name="_Hlk76401024"/>
            <w:r>
              <w:rPr>
                <w:b/>
                <w:bCs/>
                <w:snapToGrid w:val="0"/>
                <w:color w:val="auto"/>
              </w:rPr>
              <w:t>表4-</w:t>
            </w:r>
            <w:r>
              <w:rPr>
                <w:rFonts w:hint="eastAsia"/>
                <w:b/>
                <w:bCs/>
                <w:snapToGrid w:val="0"/>
                <w:color w:val="auto"/>
              </w:rPr>
              <w:t>6</w:t>
            </w:r>
            <w:r>
              <w:rPr>
                <w:b/>
                <w:bCs/>
                <w:snapToGrid w:val="0"/>
                <w:color w:val="auto"/>
              </w:rPr>
              <w:t xml:space="preserve">  非正常排放时大气污染物排放情况一览表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1246"/>
              <w:gridCol w:w="2422"/>
              <w:gridCol w:w="1474"/>
              <w:gridCol w:w="1619"/>
              <w:gridCol w:w="1515"/>
              <w:gridCol w:w="113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662" w:type="pct"/>
                  <w:vAlign w:val="center"/>
                </w:tcPr>
                <w:p>
                  <w:pPr>
                    <w:overflowPunct w:val="0"/>
                    <w:autoSpaceDE w:val="0"/>
                    <w:autoSpaceDN w:val="0"/>
                    <w:snapToGrid w:val="0"/>
                    <w:jc w:val="center"/>
                    <w:rPr>
                      <w:b/>
                      <w:bCs/>
                      <w:snapToGrid w:val="0"/>
                      <w:color w:val="auto"/>
                      <w:sz w:val="18"/>
                      <w:szCs w:val="18"/>
                    </w:rPr>
                  </w:pPr>
                  <w:r>
                    <w:rPr>
                      <w:b/>
                      <w:bCs/>
                      <w:snapToGrid w:val="0"/>
                      <w:color w:val="auto"/>
                      <w:sz w:val="18"/>
                      <w:szCs w:val="18"/>
                    </w:rPr>
                    <w:t>污染源</w:t>
                  </w:r>
                </w:p>
              </w:tc>
              <w:tc>
                <w:tcPr>
                  <w:tcW w:w="1287" w:type="pct"/>
                  <w:vAlign w:val="center"/>
                </w:tcPr>
                <w:p>
                  <w:pPr>
                    <w:overflowPunct w:val="0"/>
                    <w:autoSpaceDE w:val="0"/>
                    <w:autoSpaceDN w:val="0"/>
                    <w:snapToGrid w:val="0"/>
                    <w:jc w:val="center"/>
                    <w:rPr>
                      <w:b/>
                      <w:bCs/>
                      <w:snapToGrid w:val="0"/>
                      <w:color w:val="auto"/>
                      <w:sz w:val="18"/>
                      <w:szCs w:val="18"/>
                    </w:rPr>
                  </w:pPr>
                  <w:r>
                    <w:rPr>
                      <w:b/>
                      <w:bCs/>
                      <w:snapToGrid w:val="0"/>
                      <w:color w:val="auto"/>
                      <w:sz w:val="18"/>
                      <w:szCs w:val="18"/>
                    </w:rPr>
                    <w:t>废气处理装置</w:t>
                  </w:r>
                </w:p>
              </w:tc>
              <w:tc>
                <w:tcPr>
                  <w:tcW w:w="783" w:type="pct"/>
                  <w:vAlign w:val="center"/>
                </w:tcPr>
                <w:p>
                  <w:pPr>
                    <w:overflowPunct w:val="0"/>
                    <w:autoSpaceDE w:val="0"/>
                    <w:autoSpaceDN w:val="0"/>
                    <w:snapToGrid w:val="0"/>
                    <w:jc w:val="center"/>
                    <w:rPr>
                      <w:b/>
                      <w:bCs/>
                      <w:snapToGrid w:val="0"/>
                      <w:color w:val="auto"/>
                      <w:sz w:val="18"/>
                      <w:szCs w:val="18"/>
                    </w:rPr>
                  </w:pPr>
                  <w:r>
                    <w:rPr>
                      <w:b/>
                      <w:bCs/>
                      <w:snapToGrid w:val="0"/>
                      <w:color w:val="auto"/>
                      <w:sz w:val="18"/>
                      <w:szCs w:val="18"/>
                    </w:rPr>
                    <w:t>废气量m</w:t>
                  </w:r>
                  <w:r>
                    <w:rPr>
                      <w:b/>
                      <w:bCs/>
                      <w:snapToGrid w:val="0"/>
                      <w:color w:val="auto"/>
                      <w:sz w:val="18"/>
                      <w:szCs w:val="18"/>
                      <w:vertAlign w:val="superscript"/>
                    </w:rPr>
                    <w:t>3</w:t>
                  </w:r>
                  <w:r>
                    <w:rPr>
                      <w:b/>
                      <w:bCs/>
                      <w:snapToGrid w:val="0"/>
                      <w:color w:val="auto"/>
                      <w:sz w:val="18"/>
                      <w:szCs w:val="18"/>
                    </w:rPr>
                    <w:t>/h</w:t>
                  </w:r>
                </w:p>
              </w:tc>
              <w:tc>
                <w:tcPr>
                  <w:tcW w:w="860" w:type="pct"/>
                  <w:vAlign w:val="center"/>
                </w:tcPr>
                <w:p>
                  <w:pPr>
                    <w:overflowPunct w:val="0"/>
                    <w:autoSpaceDE w:val="0"/>
                    <w:autoSpaceDN w:val="0"/>
                    <w:snapToGrid w:val="0"/>
                    <w:jc w:val="center"/>
                    <w:rPr>
                      <w:b/>
                      <w:bCs/>
                      <w:snapToGrid w:val="0"/>
                      <w:color w:val="auto"/>
                      <w:sz w:val="18"/>
                      <w:szCs w:val="18"/>
                    </w:rPr>
                  </w:pPr>
                  <w:r>
                    <w:rPr>
                      <w:b/>
                      <w:bCs/>
                      <w:snapToGrid w:val="0"/>
                      <w:color w:val="auto"/>
                      <w:sz w:val="18"/>
                      <w:szCs w:val="18"/>
                    </w:rPr>
                    <w:t>污染物名称</w:t>
                  </w:r>
                </w:p>
              </w:tc>
              <w:tc>
                <w:tcPr>
                  <w:tcW w:w="805" w:type="pct"/>
                  <w:vAlign w:val="center"/>
                </w:tcPr>
                <w:p>
                  <w:pPr>
                    <w:overflowPunct w:val="0"/>
                    <w:autoSpaceDE w:val="0"/>
                    <w:autoSpaceDN w:val="0"/>
                    <w:snapToGrid w:val="0"/>
                    <w:jc w:val="center"/>
                    <w:rPr>
                      <w:b/>
                      <w:snapToGrid w:val="0"/>
                      <w:color w:val="auto"/>
                      <w:sz w:val="18"/>
                      <w:szCs w:val="18"/>
                    </w:rPr>
                  </w:pPr>
                  <w:r>
                    <w:rPr>
                      <w:b/>
                      <w:snapToGrid w:val="0"/>
                      <w:color w:val="auto"/>
                      <w:sz w:val="18"/>
                      <w:szCs w:val="18"/>
                    </w:rPr>
                    <w:t>排放速率kg/h</w:t>
                  </w:r>
                </w:p>
              </w:tc>
              <w:tc>
                <w:tcPr>
                  <w:tcW w:w="601" w:type="pct"/>
                  <w:vAlign w:val="center"/>
                </w:tcPr>
                <w:p>
                  <w:pPr>
                    <w:overflowPunct w:val="0"/>
                    <w:autoSpaceDE w:val="0"/>
                    <w:autoSpaceDN w:val="0"/>
                    <w:snapToGrid w:val="0"/>
                    <w:jc w:val="center"/>
                    <w:rPr>
                      <w:b/>
                      <w:snapToGrid w:val="0"/>
                      <w:color w:val="auto"/>
                      <w:sz w:val="18"/>
                      <w:szCs w:val="18"/>
                    </w:rPr>
                  </w:pPr>
                  <w:r>
                    <w:rPr>
                      <w:b/>
                      <w:snapToGrid w:val="0"/>
                      <w:color w:val="auto"/>
                      <w:sz w:val="18"/>
                      <w:szCs w:val="18"/>
                    </w:rPr>
                    <w:t>排放时间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662" w:type="pct"/>
                  <w:vMerge w:val="restart"/>
                  <w:vAlign w:val="center"/>
                </w:tcPr>
                <w:p>
                  <w:pPr>
                    <w:overflowPunct w:val="0"/>
                    <w:autoSpaceDE w:val="0"/>
                    <w:autoSpaceDN w:val="0"/>
                    <w:snapToGrid w:val="0"/>
                    <w:jc w:val="center"/>
                    <w:rPr>
                      <w:snapToGrid w:val="0"/>
                      <w:color w:val="auto"/>
                      <w:sz w:val="18"/>
                      <w:szCs w:val="18"/>
                    </w:rPr>
                  </w:pPr>
                  <w:r>
                    <w:rPr>
                      <w:rFonts w:hint="eastAsia"/>
                      <w:color w:val="auto"/>
                      <w:sz w:val="18"/>
                      <w:szCs w:val="18"/>
                    </w:rPr>
                    <w:t>生产车间</w:t>
                  </w:r>
                </w:p>
              </w:tc>
              <w:tc>
                <w:tcPr>
                  <w:tcW w:w="1287" w:type="pct"/>
                  <w:vMerge w:val="restart"/>
                  <w:vAlign w:val="center"/>
                </w:tcPr>
                <w:p>
                  <w:pPr>
                    <w:overflowPunct w:val="0"/>
                    <w:autoSpaceDE w:val="0"/>
                    <w:autoSpaceDN w:val="0"/>
                    <w:snapToGrid w:val="0"/>
                    <w:jc w:val="center"/>
                    <w:rPr>
                      <w:snapToGrid w:val="0"/>
                      <w:color w:val="auto"/>
                      <w:sz w:val="18"/>
                      <w:szCs w:val="18"/>
                    </w:rPr>
                  </w:pPr>
                  <w:r>
                    <w:rPr>
                      <w:rFonts w:hint="eastAsia"/>
                      <w:snapToGrid w:val="0"/>
                      <w:color w:val="auto"/>
                      <w:sz w:val="18"/>
                      <w:szCs w:val="18"/>
                    </w:rPr>
                    <w:t>布袋除尘+</w:t>
                  </w:r>
                  <w:r>
                    <w:rPr>
                      <w:snapToGrid w:val="0"/>
                      <w:color w:val="auto"/>
                      <w:sz w:val="18"/>
                      <w:szCs w:val="18"/>
                    </w:rPr>
                    <w:t>二级活性炭</w:t>
                  </w:r>
                </w:p>
              </w:tc>
              <w:tc>
                <w:tcPr>
                  <w:tcW w:w="783" w:type="pct"/>
                  <w:vMerge w:val="restart"/>
                  <w:vAlign w:val="center"/>
                </w:tcPr>
                <w:p>
                  <w:pPr>
                    <w:overflowPunct w:val="0"/>
                    <w:autoSpaceDE w:val="0"/>
                    <w:autoSpaceDN w:val="0"/>
                    <w:snapToGrid w:val="0"/>
                    <w:jc w:val="center"/>
                    <w:rPr>
                      <w:snapToGrid w:val="0"/>
                      <w:color w:val="auto"/>
                      <w:sz w:val="18"/>
                      <w:szCs w:val="18"/>
                    </w:rPr>
                  </w:pPr>
                  <w:r>
                    <w:rPr>
                      <w:rFonts w:hint="eastAsia"/>
                      <w:snapToGrid w:val="0"/>
                      <w:color w:val="auto"/>
                      <w:sz w:val="18"/>
                      <w:szCs w:val="18"/>
                    </w:rPr>
                    <w:t>26000</w:t>
                  </w:r>
                </w:p>
              </w:tc>
              <w:tc>
                <w:tcPr>
                  <w:tcW w:w="1582" w:type="dxa"/>
                  <w:vAlign w:val="center"/>
                </w:tcPr>
                <w:p>
                  <w:pPr>
                    <w:widowControl/>
                    <w:jc w:val="center"/>
                    <w:rPr>
                      <w:snapToGrid w:val="0"/>
                      <w:color w:val="auto"/>
                      <w:sz w:val="18"/>
                      <w:szCs w:val="18"/>
                    </w:rPr>
                  </w:pPr>
                  <w:r>
                    <w:rPr>
                      <w:rFonts w:hint="eastAsia"/>
                      <w:color w:val="auto"/>
                      <w:sz w:val="18"/>
                      <w:szCs w:val="18"/>
                    </w:rPr>
                    <w:t>非甲烷总烃</w:t>
                  </w:r>
                </w:p>
              </w:tc>
              <w:tc>
                <w:tcPr>
                  <w:tcW w:w="1489" w:type="dxa"/>
                  <w:vAlign w:val="center"/>
                </w:tcPr>
                <w:p>
                  <w:pPr>
                    <w:widowControl/>
                    <w:jc w:val="center"/>
                    <w:rPr>
                      <w:color w:val="auto"/>
                      <w:sz w:val="18"/>
                      <w:szCs w:val="18"/>
                    </w:rPr>
                  </w:pPr>
                  <w:r>
                    <w:rPr>
                      <w:rFonts w:hint="eastAsia"/>
                      <w:color w:val="auto"/>
                      <w:sz w:val="18"/>
                      <w:szCs w:val="18"/>
                    </w:rPr>
                    <w:t>0.00382</w:t>
                  </w:r>
                </w:p>
              </w:tc>
              <w:tc>
                <w:tcPr>
                  <w:tcW w:w="601" w:type="pct"/>
                  <w:vMerge w:val="restart"/>
                  <w:vAlign w:val="center"/>
                </w:tcPr>
                <w:p>
                  <w:pPr>
                    <w:overflowPunct w:val="0"/>
                    <w:autoSpaceDE w:val="0"/>
                    <w:autoSpaceDN w:val="0"/>
                    <w:snapToGrid w:val="0"/>
                    <w:jc w:val="center"/>
                    <w:rPr>
                      <w:snapToGrid w:val="0"/>
                      <w:color w:val="auto"/>
                      <w:sz w:val="18"/>
                      <w:szCs w:val="18"/>
                    </w:rPr>
                  </w:pPr>
                  <w:r>
                    <w:rPr>
                      <w:rFonts w:hint="eastAsia"/>
                      <w:snapToGrid w:val="0"/>
                      <w:color w:val="auto"/>
                      <w:sz w:val="18"/>
                      <w:szCs w:val="18"/>
                    </w:rPr>
                    <w:t>10min</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662" w:type="pct"/>
                  <w:vMerge w:val="continue"/>
                  <w:vAlign w:val="center"/>
                </w:tcPr>
                <w:p>
                  <w:pPr>
                    <w:overflowPunct w:val="0"/>
                    <w:autoSpaceDE w:val="0"/>
                    <w:autoSpaceDN w:val="0"/>
                    <w:snapToGrid w:val="0"/>
                    <w:jc w:val="center"/>
                    <w:rPr>
                      <w:color w:val="auto"/>
                      <w:sz w:val="18"/>
                      <w:szCs w:val="18"/>
                    </w:rPr>
                  </w:pPr>
                </w:p>
              </w:tc>
              <w:tc>
                <w:tcPr>
                  <w:tcW w:w="1287" w:type="pct"/>
                  <w:vMerge w:val="continue"/>
                  <w:vAlign w:val="center"/>
                </w:tcPr>
                <w:p>
                  <w:pPr>
                    <w:overflowPunct w:val="0"/>
                    <w:autoSpaceDE w:val="0"/>
                    <w:autoSpaceDN w:val="0"/>
                    <w:snapToGrid w:val="0"/>
                    <w:jc w:val="center"/>
                    <w:rPr>
                      <w:snapToGrid w:val="0"/>
                      <w:color w:val="auto"/>
                      <w:sz w:val="18"/>
                      <w:szCs w:val="18"/>
                    </w:rPr>
                  </w:pPr>
                </w:p>
              </w:tc>
              <w:tc>
                <w:tcPr>
                  <w:tcW w:w="783" w:type="pct"/>
                  <w:vMerge w:val="continue"/>
                  <w:vAlign w:val="center"/>
                </w:tcPr>
                <w:p>
                  <w:pPr>
                    <w:overflowPunct w:val="0"/>
                    <w:autoSpaceDE w:val="0"/>
                    <w:autoSpaceDN w:val="0"/>
                    <w:snapToGrid w:val="0"/>
                    <w:jc w:val="center"/>
                    <w:rPr>
                      <w:snapToGrid w:val="0"/>
                      <w:color w:val="auto"/>
                      <w:sz w:val="18"/>
                      <w:szCs w:val="18"/>
                    </w:rPr>
                  </w:pPr>
                </w:p>
              </w:tc>
              <w:tc>
                <w:tcPr>
                  <w:tcW w:w="1582" w:type="dxa"/>
                  <w:vAlign w:val="center"/>
                </w:tcPr>
                <w:p>
                  <w:pPr>
                    <w:widowControl/>
                    <w:jc w:val="center"/>
                    <w:rPr>
                      <w:bCs/>
                      <w:snapToGrid w:val="0"/>
                      <w:color w:val="auto"/>
                      <w:sz w:val="18"/>
                      <w:szCs w:val="18"/>
                    </w:rPr>
                  </w:pPr>
                  <w:r>
                    <w:rPr>
                      <w:rFonts w:hint="eastAsia"/>
                      <w:color w:val="auto"/>
                      <w:sz w:val="18"/>
                      <w:szCs w:val="18"/>
                    </w:rPr>
                    <w:t>颗粒物</w:t>
                  </w:r>
                </w:p>
              </w:tc>
              <w:tc>
                <w:tcPr>
                  <w:tcW w:w="1489" w:type="dxa"/>
                  <w:vAlign w:val="center"/>
                </w:tcPr>
                <w:p>
                  <w:pPr>
                    <w:widowControl/>
                    <w:jc w:val="center"/>
                    <w:rPr>
                      <w:color w:val="auto"/>
                      <w:sz w:val="18"/>
                      <w:szCs w:val="18"/>
                    </w:rPr>
                  </w:pPr>
                  <w:r>
                    <w:rPr>
                      <w:rFonts w:hint="eastAsia"/>
                      <w:color w:val="auto"/>
                      <w:sz w:val="18"/>
                      <w:szCs w:val="18"/>
                    </w:rPr>
                    <w:t>0.00625</w:t>
                  </w:r>
                </w:p>
              </w:tc>
              <w:tc>
                <w:tcPr>
                  <w:tcW w:w="601" w:type="pct"/>
                  <w:vMerge w:val="continue"/>
                  <w:vAlign w:val="center"/>
                </w:tcPr>
                <w:p>
                  <w:pPr>
                    <w:overflowPunct w:val="0"/>
                    <w:autoSpaceDE w:val="0"/>
                    <w:autoSpaceDN w:val="0"/>
                    <w:snapToGrid w:val="0"/>
                    <w:jc w:val="center"/>
                    <w:rPr>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662" w:type="pct"/>
                  <w:vMerge w:val="continue"/>
                  <w:vAlign w:val="center"/>
                </w:tcPr>
                <w:p>
                  <w:pPr>
                    <w:overflowPunct w:val="0"/>
                    <w:autoSpaceDE w:val="0"/>
                    <w:autoSpaceDN w:val="0"/>
                    <w:snapToGrid w:val="0"/>
                    <w:jc w:val="center"/>
                    <w:rPr>
                      <w:color w:val="auto"/>
                      <w:sz w:val="18"/>
                      <w:szCs w:val="18"/>
                    </w:rPr>
                  </w:pPr>
                </w:p>
              </w:tc>
              <w:tc>
                <w:tcPr>
                  <w:tcW w:w="1287" w:type="pct"/>
                  <w:vMerge w:val="continue"/>
                  <w:vAlign w:val="center"/>
                </w:tcPr>
                <w:p>
                  <w:pPr>
                    <w:overflowPunct w:val="0"/>
                    <w:autoSpaceDE w:val="0"/>
                    <w:autoSpaceDN w:val="0"/>
                    <w:snapToGrid w:val="0"/>
                    <w:jc w:val="center"/>
                    <w:rPr>
                      <w:snapToGrid w:val="0"/>
                      <w:color w:val="auto"/>
                      <w:sz w:val="18"/>
                      <w:szCs w:val="18"/>
                    </w:rPr>
                  </w:pPr>
                </w:p>
              </w:tc>
              <w:tc>
                <w:tcPr>
                  <w:tcW w:w="783" w:type="pct"/>
                  <w:vMerge w:val="continue"/>
                  <w:vAlign w:val="center"/>
                </w:tcPr>
                <w:p>
                  <w:pPr>
                    <w:overflowPunct w:val="0"/>
                    <w:autoSpaceDE w:val="0"/>
                    <w:autoSpaceDN w:val="0"/>
                    <w:snapToGrid w:val="0"/>
                    <w:jc w:val="center"/>
                    <w:rPr>
                      <w:snapToGrid w:val="0"/>
                      <w:color w:val="auto"/>
                      <w:sz w:val="18"/>
                      <w:szCs w:val="18"/>
                    </w:rPr>
                  </w:pPr>
                </w:p>
              </w:tc>
              <w:tc>
                <w:tcPr>
                  <w:tcW w:w="1582" w:type="dxa"/>
                  <w:vAlign w:val="center"/>
                </w:tcPr>
                <w:p>
                  <w:pPr>
                    <w:widowControl/>
                    <w:jc w:val="center"/>
                    <w:rPr>
                      <w:bCs/>
                      <w:snapToGrid w:val="0"/>
                      <w:color w:val="auto"/>
                      <w:sz w:val="18"/>
                      <w:szCs w:val="18"/>
                    </w:rPr>
                  </w:pPr>
                  <w:r>
                    <w:rPr>
                      <w:rFonts w:hint="eastAsia"/>
                      <w:color w:val="auto"/>
                      <w:sz w:val="18"/>
                      <w:szCs w:val="18"/>
                    </w:rPr>
                    <w:t>CS</w:t>
                  </w:r>
                  <w:r>
                    <w:rPr>
                      <w:rFonts w:hint="eastAsia"/>
                      <w:color w:val="auto"/>
                      <w:sz w:val="18"/>
                      <w:szCs w:val="18"/>
                      <w:vertAlign w:val="subscript"/>
                    </w:rPr>
                    <w:t>2</w:t>
                  </w:r>
                </w:p>
              </w:tc>
              <w:tc>
                <w:tcPr>
                  <w:tcW w:w="1489" w:type="dxa"/>
                  <w:vAlign w:val="center"/>
                </w:tcPr>
                <w:p>
                  <w:pPr>
                    <w:widowControl/>
                    <w:jc w:val="center"/>
                    <w:rPr>
                      <w:color w:val="auto"/>
                      <w:sz w:val="18"/>
                      <w:szCs w:val="18"/>
                    </w:rPr>
                  </w:pPr>
                  <w:r>
                    <w:rPr>
                      <w:rFonts w:hint="eastAsia"/>
                      <w:color w:val="auto"/>
                      <w:sz w:val="18"/>
                      <w:szCs w:val="18"/>
                    </w:rPr>
                    <w:t>0.00002</w:t>
                  </w:r>
                </w:p>
              </w:tc>
              <w:tc>
                <w:tcPr>
                  <w:tcW w:w="601" w:type="pct"/>
                  <w:vMerge w:val="continue"/>
                  <w:vAlign w:val="center"/>
                </w:tcPr>
                <w:p>
                  <w:pPr>
                    <w:overflowPunct w:val="0"/>
                    <w:autoSpaceDE w:val="0"/>
                    <w:autoSpaceDN w:val="0"/>
                    <w:snapToGrid w:val="0"/>
                    <w:jc w:val="center"/>
                    <w:rPr>
                      <w:snapToGrid w:val="0"/>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662" w:type="pct"/>
                  <w:vMerge w:val="continue"/>
                  <w:vAlign w:val="center"/>
                </w:tcPr>
                <w:p>
                  <w:pPr>
                    <w:overflowPunct w:val="0"/>
                    <w:autoSpaceDE w:val="0"/>
                    <w:autoSpaceDN w:val="0"/>
                    <w:snapToGrid w:val="0"/>
                    <w:jc w:val="center"/>
                    <w:rPr>
                      <w:color w:val="auto"/>
                      <w:sz w:val="18"/>
                      <w:szCs w:val="18"/>
                    </w:rPr>
                  </w:pPr>
                </w:p>
              </w:tc>
              <w:tc>
                <w:tcPr>
                  <w:tcW w:w="1287" w:type="pct"/>
                  <w:vMerge w:val="continue"/>
                  <w:vAlign w:val="center"/>
                </w:tcPr>
                <w:p>
                  <w:pPr>
                    <w:overflowPunct w:val="0"/>
                    <w:autoSpaceDE w:val="0"/>
                    <w:autoSpaceDN w:val="0"/>
                    <w:snapToGrid w:val="0"/>
                    <w:jc w:val="center"/>
                    <w:rPr>
                      <w:snapToGrid w:val="0"/>
                      <w:color w:val="auto"/>
                      <w:sz w:val="18"/>
                      <w:szCs w:val="18"/>
                    </w:rPr>
                  </w:pPr>
                </w:p>
              </w:tc>
              <w:tc>
                <w:tcPr>
                  <w:tcW w:w="783" w:type="pct"/>
                  <w:vMerge w:val="continue"/>
                  <w:vAlign w:val="center"/>
                </w:tcPr>
                <w:p>
                  <w:pPr>
                    <w:overflowPunct w:val="0"/>
                    <w:autoSpaceDE w:val="0"/>
                    <w:autoSpaceDN w:val="0"/>
                    <w:snapToGrid w:val="0"/>
                    <w:jc w:val="center"/>
                    <w:rPr>
                      <w:snapToGrid w:val="0"/>
                      <w:color w:val="auto"/>
                      <w:sz w:val="18"/>
                      <w:szCs w:val="18"/>
                      <w:highlight w:val="yellow"/>
                    </w:rPr>
                  </w:pPr>
                </w:p>
              </w:tc>
              <w:tc>
                <w:tcPr>
                  <w:tcW w:w="1582" w:type="dxa"/>
                  <w:vAlign w:val="center"/>
                </w:tcPr>
                <w:p>
                  <w:pPr>
                    <w:widowControl/>
                    <w:jc w:val="center"/>
                    <w:rPr>
                      <w:bCs/>
                      <w:snapToGrid w:val="0"/>
                      <w:color w:val="auto"/>
                      <w:sz w:val="18"/>
                      <w:szCs w:val="18"/>
                    </w:rPr>
                  </w:pPr>
                  <w:r>
                    <w:rPr>
                      <w:rFonts w:hint="eastAsia"/>
                      <w:color w:val="auto"/>
                      <w:sz w:val="18"/>
                      <w:szCs w:val="18"/>
                    </w:rPr>
                    <w:t>H</w:t>
                  </w:r>
                  <w:r>
                    <w:rPr>
                      <w:rFonts w:hint="eastAsia"/>
                      <w:color w:val="auto"/>
                      <w:sz w:val="18"/>
                      <w:szCs w:val="18"/>
                      <w:vertAlign w:val="subscript"/>
                    </w:rPr>
                    <w:t>2</w:t>
                  </w:r>
                  <w:r>
                    <w:rPr>
                      <w:rFonts w:hint="eastAsia"/>
                      <w:color w:val="auto"/>
                      <w:sz w:val="18"/>
                      <w:szCs w:val="18"/>
                    </w:rPr>
                    <w:t>S</w:t>
                  </w:r>
                </w:p>
              </w:tc>
              <w:tc>
                <w:tcPr>
                  <w:tcW w:w="1489" w:type="dxa"/>
                  <w:vAlign w:val="center"/>
                </w:tcPr>
                <w:p>
                  <w:pPr>
                    <w:widowControl/>
                    <w:jc w:val="center"/>
                    <w:rPr>
                      <w:color w:val="auto"/>
                      <w:sz w:val="18"/>
                      <w:szCs w:val="18"/>
                    </w:rPr>
                  </w:pPr>
                  <w:r>
                    <w:rPr>
                      <w:rFonts w:hint="eastAsia"/>
                      <w:color w:val="auto"/>
                      <w:sz w:val="18"/>
                      <w:szCs w:val="18"/>
                    </w:rPr>
                    <w:t>0.0002</w:t>
                  </w:r>
                </w:p>
              </w:tc>
              <w:tc>
                <w:tcPr>
                  <w:tcW w:w="601" w:type="pct"/>
                  <w:vMerge w:val="continue"/>
                  <w:vAlign w:val="center"/>
                </w:tcPr>
                <w:p>
                  <w:pPr>
                    <w:overflowPunct w:val="0"/>
                    <w:autoSpaceDE w:val="0"/>
                    <w:autoSpaceDN w:val="0"/>
                    <w:snapToGrid w:val="0"/>
                    <w:jc w:val="center"/>
                    <w:rPr>
                      <w:snapToGrid w:val="0"/>
                      <w:color w:val="auto"/>
                      <w:sz w:val="18"/>
                      <w:szCs w:val="18"/>
                    </w:rPr>
                  </w:pPr>
                </w:p>
              </w:tc>
            </w:tr>
            <w:bookmarkEnd w:id="7"/>
          </w:tbl>
          <w:p>
            <w:pPr>
              <w:adjustRightInd w:val="0"/>
              <w:snapToGrid w:val="0"/>
              <w:spacing w:before="120" w:beforeLines="50" w:line="360" w:lineRule="auto"/>
              <w:ind w:firstLine="420" w:firstLineChars="200"/>
              <w:rPr>
                <w:color w:val="auto"/>
                <w:kern w:val="0"/>
                <w:szCs w:val="21"/>
              </w:rPr>
            </w:pPr>
            <w:r>
              <w:rPr>
                <w:color w:val="auto"/>
                <w:kern w:val="0"/>
                <w:szCs w:val="21"/>
              </w:rPr>
              <w:t>大气污染物的非正常排放控制措施主要有：</w:t>
            </w:r>
          </w:p>
          <w:p>
            <w:pPr>
              <w:adjustRightInd w:val="0"/>
              <w:snapToGrid w:val="0"/>
              <w:spacing w:line="360" w:lineRule="auto"/>
              <w:ind w:firstLine="420" w:firstLineChars="200"/>
              <w:rPr>
                <w:color w:val="auto"/>
                <w:kern w:val="0"/>
                <w:szCs w:val="21"/>
              </w:rPr>
            </w:pPr>
            <w:r>
              <w:rPr>
                <w:color w:val="auto"/>
                <w:kern w:val="0"/>
                <w:szCs w:val="21"/>
              </w:rPr>
              <w:t>1）提高设备自动控制水平，生产线上尽量采用自动监控、报警装置；</w:t>
            </w:r>
          </w:p>
          <w:p>
            <w:pPr>
              <w:adjustRightInd w:val="0"/>
              <w:snapToGrid w:val="0"/>
              <w:spacing w:line="360" w:lineRule="auto"/>
              <w:ind w:firstLine="420" w:firstLineChars="200"/>
              <w:rPr>
                <w:color w:val="auto"/>
                <w:kern w:val="0"/>
                <w:szCs w:val="21"/>
              </w:rPr>
            </w:pPr>
            <w:r>
              <w:rPr>
                <w:color w:val="auto"/>
                <w:kern w:val="0"/>
                <w:szCs w:val="21"/>
              </w:rPr>
              <w:t>2）加强生产的监督和管理，对可能出现的非正常排放情况制定预案或应急措施，出现非正常排放时及时妥善处理；</w:t>
            </w:r>
          </w:p>
          <w:p>
            <w:pPr>
              <w:adjustRightInd w:val="0"/>
              <w:snapToGrid w:val="0"/>
              <w:spacing w:line="360" w:lineRule="auto"/>
              <w:ind w:firstLine="420" w:firstLineChars="200"/>
              <w:rPr>
                <w:color w:val="auto"/>
                <w:kern w:val="0"/>
                <w:szCs w:val="21"/>
              </w:rPr>
            </w:pPr>
            <w:r>
              <w:rPr>
                <w:color w:val="auto"/>
                <w:kern w:val="0"/>
                <w:szCs w:val="21"/>
              </w:rPr>
              <w:t>3）开车过程中，应先运行废气处理装置，后运行生产装置；</w:t>
            </w:r>
          </w:p>
          <w:p>
            <w:pPr>
              <w:adjustRightInd w:val="0"/>
              <w:snapToGrid w:val="0"/>
              <w:spacing w:line="360" w:lineRule="auto"/>
              <w:ind w:firstLine="420" w:firstLineChars="200"/>
              <w:rPr>
                <w:color w:val="auto"/>
                <w:kern w:val="0"/>
                <w:szCs w:val="21"/>
              </w:rPr>
            </w:pPr>
            <w:r>
              <w:rPr>
                <w:color w:val="auto"/>
                <w:kern w:val="0"/>
                <w:szCs w:val="21"/>
              </w:rPr>
              <w:t>4）停车过程中，应先停止生产装置，后停止废气处理装置，在确保废气有效处理后再停止废气处理装置；</w:t>
            </w:r>
          </w:p>
          <w:p>
            <w:pPr>
              <w:adjustRightInd w:val="0"/>
              <w:snapToGrid w:val="0"/>
              <w:spacing w:line="360" w:lineRule="auto"/>
              <w:ind w:firstLine="420" w:firstLineChars="200"/>
              <w:rPr>
                <w:color w:val="auto"/>
                <w:kern w:val="0"/>
                <w:szCs w:val="21"/>
              </w:rPr>
            </w:pPr>
            <w:r>
              <w:rPr>
                <w:color w:val="auto"/>
                <w:kern w:val="0"/>
                <w:szCs w:val="21"/>
              </w:rPr>
              <w:t>5）检修过程中，应与停车的操作规程一致，先停止生产装置，后停止废气处理装置，确保废气通过送至废气处理装置处理后通过排气筒排放；</w:t>
            </w:r>
          </w:p>
          <w:p>
            <w:pPr>
              <w:adjustRightInd w:val="0"/>
              <w:snapToGrid w:val="0"/>
              <w:spacing w:line="360" w:lineRule="auto"/>
              <w:ind w:firstLine="420" w:firstLineChars="200"/>
              <w:rPr>
                <w:color w:val="auto"/>
                <w:kern w:val="0"/>
                <w:szCs w:val="21"/>
              </w:rPr>
            </w:pPr>
            <w:r>
              <w:rPr>
                <w:color w:val="auto"/>
                <w:kern w:val="0"/>
                <w:szCs w:val="21"/>
              </w:rPr>
              <w:t>6）加强对二级活性炭吸附装置的管理和维修，及时更换活性炭，确保废气处理装置的正常运行</w:t>
            </w:r>
            <w:r>
              <w:rPr>
                <w:rFonts w:hint="eastAsia"/>
                <w:color w:val="auto"/>
                <w:kern w:val="0"/>
                <w:szCs w:val="21"/>
              </w:rPr>
              <w:t>；</w:t>
            </w:r>
          </w:p>
          <w:p>
            <w:pPr>
              <w:adjustRightInd w:val="0"/>
              <w:snapToGrid w:val="0"/>
              <w:spacing w:line="360" w:lineRule="auto"/>
              <w:ind w:firstLine="420" w:firstLineChars="200"/>
              <w:rPr>
                <w:color w:val="auto"/>
                <w:kern w:val="0"/>
                <w:szCs w:val="21"/>
              </w:rPr>
            </w:pPr>
            <w:r>
              <w:rPr>
                <w:color w:val="auto"/>
                <w:kern w:val="0"/>
                <w:szCs w:val="21"/>
              </w:rPr>
              <w:t>7）在生产试运行和正式投产后一定时间内，对大气污染控制设施进行环保验收，及时调整和更换有关工艺及设备。</w:t>
            </w:r>
          </w:p>
          <w:p>
            <w:pPr>
              <w:adjustRightInd w:val="0"/>
              <w:snapToGrid w:val="0"/>
              <w:spacing w:line="360" w:lineRule="auto"/>
              <w:ind w:firstLine="420" w:firstLineChars="200"/>
              <w:rPr>
                <w:color w:val="auto"/>
                <w:kern w:val="0"/>
                <w:szCs w:val="21"/>
              </w:rPr>
            </w:pPr>
            <w:r>
              <w:rPr>
                <w:color w:val="auto"/>
                <w:kern w:val="0"/>
                <w:szCs w:val="21"/>
              </w:rPr>
              <w:t>在采取以上控制措施后，项目非正常工况可得到较好的控制，对周围环境的影响相对较小。</w:t>
            </w:r>
          </w:p>
          <w:p>
            <w:pPr>
              <w:adjustRightInd w:val="0"/>
              <w:snapToGrid w:val="0"/>
              <w:spacing w:line="360" w:lineRule="auto"/>
              <w:ind w:firstLine="420" w:firstLineChars="200"/>
              <w:rPr>
                <w:color w:val="auto"/>
                <w:kern w:val="0"/>
                <w:szCs w:val="21"/>
              </w:rPr>
            </w:pPr>
            <w:r>
              <w:rPr>
                <w:color w:val="auto"/>
                <w:kern w:val="0"/>
                <w:szCs w:val="21"/>
              </w:rPr>
              <w:t>（4）废气污染治理设施可行性分析</w:t>
            </w:r>
          </w:p>
          <w:p>
            <w:pPr>
              <w:spacing w:line="360" w:lineRule="auto"/>
              <w:ind w:firstLine="420" w:firstLineChars="200"/>
              <w:rPr>
                <w:color w:val="auto"/>
                <w:szCs w:val="21"/>
              </w:rPr>
            </w:pPr>
            <w:r>
              <w:rPr>
                <w:color w:val="auto"/>
                <w:szCs w:val="21"/>
              </w:rPr>
              <w:t>本项目运营期产生的废气主要包括</w:t>
            </w:r>
            <w:r>
              <w:rPr>
                <w:rFonts w:hint="eastAsia"/>
                <w:color w:val="auto"/>
                <w:szCs w:val="21"/>
              </w:rPr>
              <w:t>混炼废气G1-1、开炼废气G1-2、一次成型废气G1-3、二次成型废气G1-4、注塑废气G2-1，各类废气</w:t>
            </w:r>
            <w:r>
              <w:rPr>
                <w:color w:val="auto"/>
                <w:szCs w:val="21"/>
              </w:rPr>
              <w:t>经集气罩收集</w:t>
            </w:r>
            <w:r>
              <w:rPr>
                <w:rFonts w:hint="eastAsia"/>
                <w:color w:val="auto"/>
                <w:szCs w:val="21"/>
              </w:rPr>
              <w:t>后</w:t>
            </w:r>
            <w:r>
              <w:rPr>
                <w:color w:val="auto"/>
                <w:szCs w:val="21"/>
              </w:rPr>
              <w:t>通过</w:t>
            </w:r>
            <w:r>
              <w:rPr>
                <w:rFonts w:hint="eastAsia"/>
                <w:color w:val="auto"/>
                <w:szCs w:val="21"/>
              </w:rPr>
              <w:t>布袋除尘+</w:t>
            </w:r>
            <w:r>
              <w:rPr>
                <w:color w:val="auto"/>
                <w:szCs w:val="21"/>
              </w:rPr>
              <w:t>二级活性炭处理后</w:t>
            </w:r>
            <w:r>
              <w:rPr>
                <w:rFonts w:hint="eastAsia"/>
                <w:color w:val="auto"/>
                <w:szCs w:val="21"/>
              </w:rPr>
              <w:t>通过</w:t>
            </w:r>
            <w:r>
              <w:rPr>
                <w:rFonts w:hint="eastAsia"/>
                <w:color w:val="auto"/>
                <w:szCs w:val="21"/>
                <w:lang w:val="en-US" w:eastAsia="zh-CN"/>
              </w:rPr>
              <w:t>25</w:t>
            </w:r>
            <w:r>
              <w:rPr>
                <w:rFonts w:hint="eastAsia"/>
                <w:color w:val="auto"/>
                <w:szCs w:val="21"/>
              </w:rPr>
              <w:t>米高排气筒排放</w:t>
            </w:r>
            <w:r>
              <w:rPr>
                <w:color w:val="auto"/>
                <w:szCs w:val="21"/>
              </w:rPr>
              <w:t>。</w:t>
            </w:r>
          </w:p>
          <w:p>
            <w:pPr>
              <w:snapToGrid w:val="0"/>
              <w:spacing w:line="360" w:lineRule="auto"/>
              <w:ind w:firstLine="420" w:firstLineChars="200"/>
              <w:rPr>
                <w:color w:val="auto"/>
                <w:szCs w:val="21"/>
              </w:rPr>
            </w:pPr>
            <w:r>
              <w:rPr>
                <w:color w:val="auto"/>
                <w:szCs w:val="21"/>
              </w:rPr>
              <w:t>本项目废气收集、处理方式示意图见图4-1。</w:t>
            </w:r>
          </w:p>
          <w:p>
            <w:pPr>
              <w:snapToGrid w:val="0"/>
              <w:spacing w:line="360" w:lineRule="auto"/>
              <w:jc w:val="center"/>
              <w:rPr>
                <w:b/>
                <w:color w:val="auto"/>
                <w:szCs w:val="21"/>
              </w:rPr>
            </w:pPr>
            <w:bookmarkStart w:id="8" w:name="_Ref35860408"/>
            <w:r>
              <w:rPr>
                <w:b/>
                <w:color w:val="auto"/>
                <w:szCs w:val="21"/>
              </w:rPr>
              <w:object>
                <v:shape id="_x0000_i1028" o:spt="75" type="#_x0000_t75" style="height:58.2pt;width:419.75pt;" o:ole="t" filled="f" o:preferrelative="t" stroked="f" coordsize="21600,21600">
                  <v:path/>
                  <v:fill on="f" focussize="0,0"/>
                  <v:stroke on="f" joinstyle="miter"/>
                  <v:imagedata r:id="rId21" o:title=""/>
                  <o:lock v:ext="edit" aspectratio="t"/>
                  <w10:wrap type="none"/>
                  <w10:anchorlock/>
                </v:shape>
                <o:OLEObject Type="Embed" ProgID="Visio.Drawing.15" ShapeID="_x0000_i1028" DrawAspect="Content" ObjectID="_1468075728" r:id="rId20">
                  <o:LockedField>false</o:LockedField>
                </o:OLEObject>
              </w:object>
            </w:r>
          </w:p>
          <w:p>
            <w:pPr>
              <w:snapToGrid w:val="0"/>
              <w:spacing w:line="360" w:lineRule="auto"/>
              <w:jc w:val="center"/>
              <w:rPr>
                <w:b/>
                <w:color w:val="auto"/>
                <w:szCs w:val="21"/>
              </w:rPr>
            </w:pPr>
            <w:r>
              <w:rPr>
                <w:b/>
                <w:color w:val="auto"/>
                <w:szCs w:val="21"/>
              </w:rPr>
              <w:t>图</w:t>
            </w:r>
            <w:bookmarkEnd w:id="8"/>
            <w:r>
              <w:rPr>
                <w:b/>
                <w:color w:val="auto"/>
                <w:szCs w:val="21"/>
              </w:rPr>
              <w:t>4-1  废气收集、处理方式示意图</w:t>
            </w:r>
          </w:p>
          <w:p>
            <w:pPr>
              <w:spacing w:line="360" w:lineRule="auto"/>
              <w:ind w:firstLine="420" w:firstLineChars="200"/>
              <w:rPr>
                <w:b/>
                <w:color w:val="auto"/>
                <w:szCs w:val="21"/>
              </w:rPr>
            </w:pPr>
            <w:r>
              <w:rPr>
                <w:bCs/>
                <w:snapToGrid w:val="0"/>
                <w:color w:val="auto"/>
                <w:kern w:val="0"/>
                <w:szCs w:val="21"/>
              </w:rPr>
              <w:t>1）废气收集效果可行性分析</w:t>
            </w:r>
          </w:p>
          <w:p>
            <w:pPr>
              <w:spacing w:line="360" w:lineRule="auto"/>
              <w:ind w:firstLine="420" w:firstLineChars="200"/>
              <w:rPr>
                <w:color w:val="auto"/>
                <w:szCs w:val="21"/>
                <w:lang w:val="zh-CN"/>
              </w:rPr>
            </w:pPr>
            <w:r>
              <w:rPr>
                <w:bCs/>
                <w:snapToGrid w:val="0"/>
                <w:color w:val="auto"/>
                <w:kern w:val="0"/>
                <w:szCs w:val="21"/>
              </w:rPr>
              <w:t>本项目拟在</w:t>
            </w:r>
            <w:r>
              <w:rPr>
                <w:rFonts w:hint="eastAsia"/>
                <w:bCs/>
                <w:snapToGrid w:val="0"/>
                <w:color w:val="auto"/>
                <w:kern w:val="0"/>
                <w:szCs w:val="21"/>
              </w:rPr>
              <w:t>混炼、开炼、成型、注塑工位均</w:t>
            </w:r>
            <w:r>
              <w:rPr>
                <w:bCs/>
                <w:snapToGrid w:val="0"/>
                <w:color w:val="auto"/>
                <w:kern w:val="0"/>
                <w:szCs w:val="21"/>
              </w:rPr>
              <w:t>上方设置集气罩，</w:t>
            </w:r>
            <w:r>
              <w:rPr>
                <w:color w:val="auto"/>
                <w:szCs w:val="21"/>
                <w:lang w:val="zh-CN"/>
              </w:rPr>
              <w:t>可有效收集废气。根据</w:t>
            </w:r>
            <w:r>
              <w:rPr>
                <w:color w:val="auto"/>
              </w:rPr>
              <w:t>《挥发性有机物治理实用手册（第二版）》</w:t>
            </w:r>
            <w:r>
              <w:rPr>
                <w:color w:val="auto"/>
                <w:szCs w:val="21"/>
                <w:lang w:val="zh-CN"/>
              </w:rPr>
              <w:t>，计算外部集气罩排风量时，控制风速可参考第213页表3-1确定，内容如下：</w:t>
            </w:r>
          </w:p>
          <w:p>
            <w:pPr>
              <w:jc w:val="center"/>
              <w:rPr>
                <w:b/>
                <w:color w:val="auto"/>
                <w:szCs w:val="21"/>
                <w:lang w:val="zh-CN"/>
              </w:rPr>
            </w:pPr>
            <w:r>
              <w:rPr>
                <w:b/>
                <w:color w:val="auto"/>
                <w:szCs w:val="21"/>
                <w:lang w:val="zh-CN"/>
              </w:rPr>
              <w:t>表4-</w:t>
            </w:r>
            <w:r>
              <w:rPr>
                <w:rFonts w:hint="eastAsia"/>
                <w:b/>
                <w:color w:val="auto"/>
                <w:szCs w:val="21"/>
              </w:rPr>
              <w:t>7</w:t>
            </w:r>
            <w:r>
              <w:rPr>
                <w:b/>
                <w:color w:val="auto"/>
                <w:szCs w:val="21"/>
                <w:lang w:val="zh-CN"/>
              </w:rPr>
              <w:t xml:space="preserve">  控制点的控制风速表</w:t>
            </w:r>
          </w:p>
          <w:tbl>
            <w:tblPr>
              <w:tblStyle w:val="37"/>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753"/>
              <w:gridCol w:w="2741"/>
              <w:gridCol w:w="1677"/>
              <w:gridCol w:w="323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88" w:type="dxa"/>
                  <w:vAlign w:val="center"/>
                </w:tcPr>
                <w:p>
                  <w:pPr>
                    <w:jc w:val="center"/>
                    <w:rPr>
                      <w:b/>
                      <w:color w:val="auto"/>
                      <w:sz w:val="18"/>
                      <w:szCs w:val="18"/>
                      <w:lang w:val="zh-CN"/>
                    </w:rPr>
                  </w:pPr>
                  <w:r>
                    <w:rPr>
                      <w:b/>
                      <w:color w:val="auto"/>
                      <w:sz w:val="18"/>
                      <w:szCs w:val="18"/>
                      <w:lang w:val="zh-CN"/>
                    </w:rPr>
                    <w:t>VOCs收集形式</w:t>
                  </w:r>
                </w:p>
              </w:tc>
              <w:tc>
                <w:tcPr>
                  <w:tcW w:w="2639" w:type="dxa"/>
                  <w:vAlign w:val="center"/>
                </w:tcPr>
                <w:p>
                  <w:pPr>
                    <w:jc w:val="center"/>
                    <w:rPr>
                      <w:b/>
                      <w:color w:val="auto"/>
                      <w:sz w:val="18"/>
                      <w:szCs w:val="18"/>
                      <w:lang w:val="zh-CN"/>
                    </w:rPr>
                  </w:pPr>
                  <w:r>
                    <w:rPr>
                      <w:b/>
                      <w:color w:val="auto"/>
                      <w:sz w:val="18"/>
                      <w:szCs w:val="18"/>
                      <w:lang w:val="zh-CN"/>
                    </w:rPr>
                    <w:t>控制要素</w:t>
                  </w:r>
                </w:p>
              </w:tc>
              <w:tc>
                <w:tcPr>
                  <w:tcW w:w="1614" w:type="dxa"/>
                  <w:vAlign w:val="center"/>
                </w:tcPr>
                <w:p>
                  <w:pPr>
                    <w:jc w:val="center"/>
                    <w:rPr>
                      <w:b/>
                      <w:color w:val="auto"/>
                      <w:sz w:val="18"/>
                      <w:szCs w:val="18"/>
                      <w:lang w:val="zh-CN"/>
                    </w:rPr>
                  </w:pPr>
                  <w:r>
                    <w:rPr>
                      <w:b/>
                      <w:color w:val="auto"/>
                      <w:sz w:val="18"/>
                      <w:szCs w:val="18"/>
                      <w:lang w:val="zh-CN"/>
                    </w:rPr>
                    <w:t>建议风速（m/s）</w:t>
                  </w:r>
                </w:p>
              </w:tc>
              <w:tc>
                <w:tcPr>
                  <w:tcW w:w="3115" w:type="dxa"/>
                  <w:vAlign w:val="center"/>
                </w:tcPr>
                <w:p>
                  <w:pPr>
                    <w:jc w:val="center"/>
                    <w:rPr>
                      <w:b/>
                      <w:color w:val="auto"/>
                      <w:sz w:val="18"/>
                      <w:szCs w:val="18"/>
                      <w:lang w:val="zh-CN"/>
                    </w:rPr>
                  </w:pPr>
                  <w:r>
                    <w:rPr>
                      <w:b/>
                      <w:color w:val="auto"/>
                      <w:sz w:val="18"/>
                      <w:szCs w:val="18"/>
                    </w:rPr>
                    <w:t>检测位置示意图</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96" w:hRule="atLeast"/>
                <w:jc w:val="center"/>
              </w:trPr>
              <w:tc>
                <w:tcPr>
                  <w:tcW w:w="1688" w:type="dxa"/>
                  <w:vAlign w:val="center"/>
                </w:tcPr>
                <w:p>
                  <w:pPr>
                    <w:jc w:val="center"/>
                    <w:rPr>
                      <w:color w:val="auto"/>
                      <w:sz w:val="18"/>
                      <w:szCs w:val="18"/>
                      <w:lang w:val="zh-CN"/>
                    </w:rPr>
                  </w:pPr>
                  <w:r>
                    <w:rPr>
                      <w:color w:val="auto"/>
                      <w:sz w:val="18"/>
                      <w:szCs w:val="18"/>
                    </w:rPr>
                    <w:t>外部排风罩</w:t>
                  </w:r>
                </w:p>
              </w:tc>
              <w:tc>
                <w:tcPr>
                  <w:tcW w:w="2639" w:type="dxa"/>
                  <w:vAlign w:val="center"/>
                </w:tcPr>
                <w:p>
                  <w:pPr>
                    <w:rPr>
                      <w:color w:val="auto"/>
                      <w:sz w:val="18"/>
                      <w:szCs w:val="18"/>
                      <w:lang w:val="zh-CN"/>
                    </w:rPr>
                  </w:pPr>
                  <w:r>
                    <w:rPr>
                      <w:color w:val="auto"/>
                      <w:sz w:val="18"/>
                      <w:szCs w:val="18"/>
                      <w:lang w:val="zh-CN"/>
                    </w:rPr>
                    <w:t>控制点（距排风罩开口面最远处的VOCs无组织排放位置）的控制风速</w:t>
                  </w:r>
                </w:p>
              </w:tc>
              <w:tc>
                <w:tcPr>
                  <w:tcW w:w="1614" w:type="dxa"/>
                  <w:vAlign w:val="center"/>
                </w:tcPr>
                <w:p>
                  <w:pPr>
                    <w:jc w:val="center"/>
                    <w:rPr>
                      <w:color w:val="auto"/>
                      <w:sz w:val="18"/>
                      <w:szCs w:val="18"/>
                      <w:lang w:val="zh-CN"/>
                    </w:rPr>
                  </w:pPr>
                  <w:r>
                    <w:rPr>
                      <w:color w:val="auto"/>
                      <w:sz w:val="18"/>
                      <w:szCs w:val="18"/>
                      <w:lang w:val="zh-CN"/>
                    </w:rPr>
                    <w:t>0.3~0.5</w:t>
                  </w:r>
                </w:p>
              </w:tc>
              <w:tc>
                <w:tcPr>
                  <w:tcW w:w="3115" w:type="dxa"/>
                  <w:vAlign w:val="center"/>
                </w:tcPr>
                <w:p>
                  <w:pPr>
                    <w:jc w:val="center"/>
                    <w:rPr>
                      <w:color w:val="auto"/>
                      <w:sz w:val="18"/>
                      <w:szCs w:val="18"/>
                      <w:lang w:val="zh-CN"/>
                    </w:rPr>
                  </w:pPr>
                  <w:r>
                    <w:rPr>
                      <w:color w:val="auto"/>
                      <w:sz w:val="18"/>
                      <w:szCs w:val="18"/>
                    </w:rPr>
                    <w:drawing>
                      <wp:inline distT="0" distB="0" distL="0" distR="0">
                        <wp:extent cx="1765935" cy="2590800"/>
                        <wp:effectExtent l="0" t="0" r="571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2"/>
                                <a:stretch>
                                  <a:fillRect/>
                                </a:stretch>
                              </pic:blipFill>
                              <pic:spPr>
                                <a:xfrm>
                                  <a:off x="0" y="0"/>
                                  <a:ext cx="1765935" cy="2590800"/>
                                </a:xfrm>
                                <a:prstGeom prst="rect">
                                  <a:avLst/>
                                </a:prstGeom>
                              </pic:spPr>
                            </pic:pic>
                          </a:graphicData>
                        </a:graphic>
                      </wp:inline>
                    </w:drawing>
                  </w:r>
                </w:p>
              </w:tc>
            </w:tr>
          </w:tbl>
          <w:p>
            <w:pPr>
              <w:adjustRightInd w:val="0"/>
              <w:snapToGrid w:val="0"/>
              <w:spacing w:before="120" w:beforeLines="50" w:line="360" w:lineRule="auto"/>
              <w:ind w:firstLine="420" w:firstLineChars="200"/>
              <w:rPr>
                <w:color w:val="auto"/>
                <w:szCs w:val="21"/>
                <w:lang w:val="zh-CN"/>
              </w:rPr>
            </w:pPr>
            <w:r>
              <w:rPr>
                <w:color w:val="auto"/>
                <w:szCs w:val="21"/>
                <w:lang w:val="zh-CN"/>
              </w:rPr>
              <w:t>按照《环境工程设计手册》中的有关公式，结合本项目的污染物放散情况，废气收集系统的控制风速在0.3m/s左右，以保证收集效果。按照以下经验公式计算得出单台设备所需的风量L，见表4-4。</w:t>
            </w:r>
          </w:p>
          <w:p>
            <w:pPr>
              <w:snapToGrid w:val="0"/>
              <w:spacing w:line="360" w:lineRule="auto"/>
              <w:jc w:val="center"/>
              <w:rPr>
                <w:color w:val="auto"/>
                <w:szCs w:val="21"/>
              </w:rPr>
            </w:pPr>
            <w:r>
              <w:rPr>
                <w:color w:val="auto"/>
                <w:szCs w:val="21"/>
              </w:rPr>
              <w:t>L=3600（10x</w:t>
            </w:r>
            <w:r>
              <w:rPr>
                <w:color w:val="auto"/>
                <w:szCs w:val="21"/>
                <w:vertAlign w:val="superscript"/>
              </w:rPr>
              <w:t>2</w:t>
            </w:r>
            <w:r>
              <w:rPr>
                <w:color w:val="auto"/>
                <w:szCs w:val="21"/>
              </w:rPr>
              <w:t>+F）×Vx</w:t>
            </w:r>
          </w:p>
          <w:p>
            <w:pPr>
              <w:snapToGrid w:val="0"/>
              <w:spacing w:line="360" w:lineRule="auto"/>
              <w:ind w:firstLine="420" w:firstLineChars="200"/>
              <w:rPr>
                <w:color w:val="auto"/>
                <w:szCs w:val="21"/>
              </w:rPr>
            </w:pPr>
            <w:r>
              <w:rPr>
                <w:color w:val="auto"/>
                <w:szCs w:val="21"/>
              </w:rPr>
              <w:t>其中：x—集气罩至污染源的距离；</w:t>
            </w:r>
          </w:p>
          <w:p>
            <w:pPr>
              <w:snapToGrid w:val="0"/>
              <w:spacing w:line="360" w:lineRule="auto"/>
              <w:ind w:firstLine="1050" w:firstLineChars="500"/>
              <w:rPr>
                <w:color w:val="auto"/>
                <w:szCs w:val="21"/>
              </w:rPr>
            </w:pPr>
            <w:r>
              <w:rPr>
                <w:color w:val="auto"/>
                <w:szCs w:val="21"/>
              </w:rPr>
              <w:t>F—集气罩口面积；</w:t>
            </w:r>
          </w:p>
          <w:p>
            <w:pPr>
              <w:snapToGrid w:val="0"/>
              <w:spacing w:line="360" w:lineRule="auto"/>
              <w:ind w:firstLine="1050" w:firstLineChars="500"/>
              <w:rPr>
                <w:color w:val="auto"/>
                <w:szCs w:val="21"/>
              </w:rPr>
            </w:pPr>
            <w:r>
              <w:rPr>
                <w:color w:val="auto"/>
                <w:szCs w:val="21"/>
              </w:rPr>
              <w:t>Vx—控制风速（取0.3m/s）。</w:t>
            </w:r>
          </w:p>
          <w:p>
            <w:pPr>
              <w:jc w:val="center"/>
              <w:rPr>
                <w:b/>
                <w:color w:val="auto"/>
                <w:szCs w:val="21"/>
                <w:lang w:val="zh-CN"/>
              </w:rPr>
            </w:pPr>
            <w:bookmarkStart w:id="9" w:name="_Ref48912193"/>
            <w:r>
              <w:rPr>
                <w:b/>
                <w:color w:val="auto"/>
                <w:szCs w:val="21"/>
                <w:lang w:val="zh-CN"/>
              </w:rPr>
              <w:t>表</w:t>
            </w:r>
            <w:bookmarkEnd w:id="9"/>
            <w:r>
              <w:rPr>
                <w:b/>
                <w:color w:val="auto"/>
                <w:szCs w:val="21"/>
                <w:lang w:val="zh-CN"/>
              </w:rPr>
              <w:t>4-</w:t>
            </w:r>
            <w:r>
              <w:rPr>
                <w:rFonts w:hint="eastAsia"/>
                <w:b/>
                <w:color w:val="auto"/>
                <w:szCs w:val="21"/>
              </w:rPr>
              <w:t>8</w:t>
            </w:r>
            <w:r>
              <w:rPr>
                <w:b/>
                <w:color w:val="auto"/>
                <w:szCs w:val="21"/>
                <w:lang w:val="zh-CN"/>
              </w:rPr>
              <w:t xml:space="preserve">  </w:t>
            </w:r>
            <w:r>
              <w:rPr>
                <w:rFonts w:hint="eastAsia"/>
                <w:b/>
                <w:color w:val="auto"/>
                <w:szCs w:val="21"/>
              </w:rPr>
              <w:t>各工位</w:t>
            </w:r>
            <w:r>
              <w:rPr>
                <w:b/>
                <w:color w:val="auto"/>
                <w:szCs w:val="21"/>
                <w:lang w:val="zh-CN"/>
              </w:rPr>
              <w:t>集气罩设计风量计算表</w:t>
            </w:r>
          </w:p>
          <w:tbl>
            <w:tblPr>
              <w:tblStyle w:val="37"/>
              <w:tblW w:w="9246" w:type="dxa"/>
              <w:tblInd w:w="1" w:type="dxa"/>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1083"/>
              <w:gridCol w:w="1971"/>
              <w:gridCol w:w="1505"/>
              <w:gridCol w:w="1216"/>
              <w:gridCol w:w="1069"/>
              <w:gridCol w:w="1087"/>
              <w:gridCol w:w="1475"/>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630" w:hRule="atLeast"/>
              </w:trPr>
              <w:tc>
                <w:tcPr>
                  <w:tcW w:w="660" w:type="pct"/>
                  <w:tcBorders>
                    <w:tl2br w:val="nil"/>
                    <w:tr2bl w:val="nil"/>
                  </w:tcBorders>
                  <w:shd w:val="clear" w:color="auto" w:fill="auto"/>
                  <w:noWrap/>
                  <w:vAlign w:val="center"/>
                </w:tcPr>
                <w:p>
                  <w:pPr>
                    <w:widowControl/>
                    <w:jc w:val="center"/>
                    <w:textAlignment w:val="center"/>
                    <w:rPr>
                      <w:rFonts w:ascii="宋体" w:hAnsi="宋体" w:cs="宋体"/>
                      <w:b/>
                      <w:bCs/>
                      <w:color w:val="auto"/>
                      <w:sz w:val="18"/>
                      <w:szCs w:val="18"/>
                    </w:rPr>
                  </w:pPr>
                  <w:r>
                    <w:rPr>
                      <w:rFonts w:hint="eastAsia" w:ascii="宋体" w:hAnsi="宋体" w:cs="宋体"/>
                      <w:b/>
                      <w:bCs/>
                      <w:color w:val="auto"/>
                      <w:sz w:val="18"/>
                      <w:szCs w:val="18"/>
                    </w:rPr>
                    <w:t>设备名称</w:t>
                  </w:r>
                </w:p>
              </w:tc>
              <w:tc>
                <w:tcPr>
                  <w:tcW w:w="1135" w:type="pct"/>
                  <w:tcBorders>
                    <w:tl2br w:val="nil"/>
                    <w:tr2bl w:val="nil"/>
                  </w:tcBorders>
                  <w:shd w:val="clear" w:color="auto" w:fill="auto"/>
                  <w:noWrap/>
                  <w:vAlign w:val="center"/>
                </w:tcPr>
                <w:p>
                  <w:pPr>
                    <w:widowControl/>
                    <w:jc w:val="center"/>
                    <w:textAlignment w:val="center"/>
                    <w:rPr>
                      <w:b/>
                      <w:bCs/>
                      <w:color w:val="auto"/>
                      <w:kern w:val="0"/>
                      <w:sz w:val="18"/>
                      <w:szCs w:val="18"/>
                      <w:lang w:bidi="ar"/>
                    </w:rPr>
                  </w:pPr>
                  <w:r>
                    <w:rPr>
                      <w:b/>
                      <w:bCs/>
                      <w:color w:val="auto"/>
                      <w:kern w:val="0"/>
                      <w:sz w:val="18"/>
                      <w:szCs w:val="18"/>
                      <w:lang w:bidi="ar"/>
                    </w:rPr>
                    <w:t>X</w:t>
                  </w:r>
                </w:p>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集气罩距污染源距离</w:t>
                  </w:r>
                  <w:r>
                    <w:rPr>
                      <w:b/>
                      <w:bCs/>
                      <w:color w:val="auto"/>
                      <w:kern w:val="0"/>
                      <w:sz w:val="18"/>
                      <w:szCs w:val="18"/>
                      <w:lang w:bidi="ar"/>
                    </w:rPr>
                    <w:t>m</w:t>
                  </w:r>
                </w:p>
              </w:tc>
              <w:tc>
                <w:tcPr>
                  <w:tcW w:w="898" w:type="pct"/>
                  <w:tcBorders>
                    <w:tl2br w:val="nil"/>
                    <w:tr2bl w:val="nil"/>
                  </w:tcBorders>
                  <w:shd w:val="clear" w:color="auto" w:fill="auto"/>
                  <w:noWrap/>
                  <w:vAlign w:val="center"/>
                </w:tcPr>
                <w:p>
                  <w:pPr>
                    <w:widowControl/>
                    <w:jc w:val="center"/>
                    <w:textAlignment w:val="center"/>
                    <w:rPr>
                      <w:b/>
                      <w:bCs/>
                      <w:color w:val="auto"/>
                      <w:kern w:val="0"/>
                      <w:sz w:val="18"/>
                      <w:szCs w:val="18"/>
                      <w:lang w:bidi="ar"/>
                    </w:rPr>
                  </w:pPr>
                  <w:r>
                    <w:rPr>
                      <w:b/>
                      <w:bCs/>
                      <w:color w:val="auto"/>
                      <w:kern w:val="0"/>
                      <w:sz w:val="18"/>
                      <w:szCs w:val="18"/>
                      <w:lang w:bidi="ar"/>
                    </w:rPr>
                    <w:t>F</w:t>
                  </w:r>
                </w:p>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集气罩口面积</w:t>
                  </w:r>
                  <w:r>
                    <w:rPr>
                      <w:b/>
                      <w:bCs/>
                      <w:color w:val="auto"/>
                      <w:kern w:val="0"/>
                      <w:sz w:val="18"/>
                      <w:szCs w:val="18"/>
                      <w:lang w:bidi="ar"/>
                    </w:rPr>
                    <w:t>m</w:t>
                  </w:r>
                  <w:r>
                    <w:rPr>
                      <w:b/>
                      <w:bCs/>
                      <w:color w:val="auto"/>
                      <w:kern w:val="0"/>
                      <w:sz w:val="18"/>
                      <w:szCs w:val="18"/>
                      <w:vertAlign w:val="superscript"/>
                      <w:lang w:bidi="ar"/>
                    </w:rPr>
                    <w:t>2</w:t>
                  </w:r>
                </w:p>
              </w:tc>
              <w:tc>
                <w:tcPr>
                  <w:tcW w:w="678" w:type="pct"/>
                  <w:tcBorders>
                    <w:tl2br w:val="nil"/>
                    <w:tr2bl w:val="nil"/>
                  </w:tcBorders>
                  <w:shd w:val="clear" w:color="auto" w:fill="auto"/>
                  <w:noWrap/>
                  <w:vAlign w:val="center"/>
                </w:tcPr>
                <w:p>
                  <w:pPr>
                    <w:widowControl/>
                    <w:jc w:val="center"/>
                    <w:textAlignment w:val="center"/>
                    <w:rPr>
                      <w:b/>
                      <w:bCs/>
                      <w:color w:val="auto"/>
                      <w:kern w:val="0"/>
                      <w:sz w:val="18"/>
                      <w:szCs w:val="18"/>
                      <w:lang w:bidi="ar"/>
                    </w:rPr>
                  </w:pPr>
                  <w:r>
                    <w:rPr>
                      <w:b/>
                      <w:bCs/>
                      <w:color w:val="auto"/>
                      <w:kern w:val="0"/>
                      <w:sz w:val="18"/>
                      <w:szCs w:val="18"/>
                      <w:lang w:bidi="ar"/>
                    </w:rPr>
                    <w:t>Vx</w:t>
                  </w:r>
                </w:p>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控制风速</w:t>
                  </w:r>
                  <w:r>
                    <w:rPr>
                      <w:b/>
                      <w:bCs/>
                      <w:color w:val="auto"/>
                      <w:kern w:val="0"/>
                      <w:sz w:val="18"/>
                      <w:szCs w:val="18"/>
                      <w:lang w:bidi="ar"/>
                    </w:rPr>
                    <w:t>m/s</w:t>
                  </w:r>
                </w:p>
              </w:tc>
              <w:tc>
                <w:tcPr>
                  <w:tcW w:w="595" w:type="pct"/>
                  <w:tcBorders>
                    <w:tl2br w:val="nil"/>
                    <w:tr2bl w:val="nil"/>
                  </w:tcBorders>
                  <w:shd w:val="clear" w:color="auto" w:fill="auto"/>
                  <w:noWrap/>
                  <w:vAlign w:val="center"/>
                </w:tcPr>
                <w:p>
                  <w:pPr>
                    <w:widowControl/>
                    <w:jc w:val="center"/>
                    <w:textAlignment w:val="center"/>
                    <w:rPr>
                      <w:b/>
                      <w:bCs/>
                      <w:color w:val="auto"/>
                      <w:kern w:val="0"/>
                      <w:sz w:val="18"/>
                      <w:szCs w:val="18"/>
                      <w:lang w:bidi="ar"/>
                    </w:rPr>
                  </w:pPr>
                  <w:r>
                    <w:rPr>
                      <w:b/>
                      <w:bCs/>
                      <w:color w:val="auto"/>
                      <w:kern w:val="0"/>
                      <w:sz w:val="18"/>
                      <w:szCs w:val="18"/>
                      <w:lang w:bidi="ar"/>
                    </w:rPr>
                    <w:t>L</w:t>
                  </w:r>
                </w:p>
                <w:p>
                  <w:pPr>
                    <w:widowControl/>
                    <w:jc w:val="center"/>
                    <w:textAlignment w:val="center"/>
                    <w:rPr>
                      <w:rFonts w:ascii="宋体" w:hAnsi="宋体" w:cs="宋体"/>
                      <w:b/>
                      <w:bCs/>
                      <w:color w:val="auto"/>
                      <w:sz w:val="18"/>
                      <w:szCs w:val="18"/>
                    </w:rPr>
                  </w:pPr>
                  <w:r>
                    <w:rPr>
                      <w:rFonts w:hint="eastAsia" w:ascii="宋体" w:hAnsi="宋体" w:cs="宋体"/>
                      <w:b/>
                      <w:bCs/>
                      <w:color w:val="auto"/>
                      <w:kern w:val="0"/>
                      <w:sz w:val="18"/>
                      <w:szCs w:val="18"/>
                      <w:lang w:bidi="ar"/>
                    </w:rPr>
                    <w:t>风量</w:t>
                  </w:r>
                  <w:r>
                    <w:rPr>
                      <w:b/>
                      <w:bCs/>
                      <w:color w:val="auto"/>
                      <w:kern w:val="0"/>
                      <w:sz w:val="18"/>
                      <w:szCs w:val="18"/>
                      <w:lang w:bidi="ar"/>
                    </w:rPr>
                    <w:t>m</w:t>
                  </w:r>
                  <w:r>
                    <w:rPr>
                      <w:b/>
                      <w:bCs/>
                      <w:color w:val="auto"/>
                      <w:kern w:val="0"/>
                      <w:sz w:val="18"/>
                      <w:szCs w:val="18"/>
                      <w:vertAlign w:val="superscript"/>
                      <w:lang w:bidi="ar"/>
                    </w:rPr>
                    <w:t>3</w:t>
                  </w:r>
                  <w:r>
                    <w:rPr>
                      <w:b/>
                      <w:bCs/>
                      <w:color w:val="auto"/>
                      <w:kern w:val="0"/>
                      <w:sz w:val="18"/>
                      <w:szCs w:val="18"/>
                      <w:lang w:bidi="ar"/>
                    </w:rPr>
                    <w:t>/h</w:t>
                  </w:r>
                </w:p>
              </w:tc>
              <w:tc>
                <w:tcPr>
                  <w:tcW w:w="515" w:type="pct"/>
                  <w:tcBorders>
                    <w:tl2br w:val="nil"/>
                    <w:tr2bl w:val="nil"/>
                  </w:tcBorders>
                  <w:shd w:val="clear" w:color="auto" w:fill="auto"/>
                  <w:noWrap/>
                  <w:vAlign w:val="center"/>
                </w:tcPr>
                <w:p>
                  <w:pPr>
                    <w:widowControl/>
                    <w:jc w:val="center"/>
                    <w:textAlignment w:val="center"/>
                    <w:rPr>
                      <w:b/>
                      <w:bCs/>
                      <w:color w:val="auto"/>
                      <w:kern w:val="0"/>
                      <w:sz w:val="18"/>
                      <w:szCs w:val="18"/>
                      <w:lang w:bidi="ar"/>
                    </w:rPr>
                  </w:pPr>
                  <w:r>
                    <w:rPr>
                      <w:rFonts w:hint="eastAsia"/>
                      <w:b/>
                      <w:bCs/>
                      <w:color w:val="auto"/>
                      <w:kern w:val="0"/>
                      <w:sz w:val="18"/>
                      <w:szCs w:val="18"/>
                      <w:lang w:bidi="ar"/>
                    </w:rPr>
                    <w:t>设备数量台</w:t>
                  </w:r>
                </w:p>
              </w:tc>
              <w:tc>
                <w:tcPr>
                  <w:tcW w:w="515" w:type="pct"/>
                  <w:tcBorders>
                    <w:tl2br w:val="nil"/>
                    <w:tr2bl w:val="nil"/>
                  </w:tcBorders>
                  <w:shd w:val="clear" w:color="auto" w:fill="auto"/>
                  <w:noWrap/>
                  <w:vAlign w:val="center"/>
                </w:tcPr>
                <w:p>
                  <w:pPr>
                    <w:widowControl/>
                    <w:jc w:val="center"/>
                    <w:textAlignment w:val="center"/>
                    <w:rPr>
                      <w:b/>
                      <w:bCs/>
                      <w:color w:val="auto"/>
                      <w:kern w:val="0"/>
                      <w:sz w:val="18"/>
                      <w:szCs w:val="18"/>
                      <w:lang w:bidi="ar"/>
                    </w:rPr>
                  </w:pPr>
                  <w:r>
                    <w:rPr>
                      <w:rFonts w:hint="eastAsia"/>
                      <w:b/>
                      <w:bCs/>
                      <w:color w:val="auto"/>
                      <w:kern w:val="0"/>
                      <w:sz w:val="18"/>
                      <w:szCs w:val="18"/>
                      <w:lang w:bidi="ar"/>
                    </w:rPr>
                    <w:t>工序总风量</w:t>
                  </w:r>
                  <w:r>
                    <w:rPr>
                      <w:b/>
                      <w:bCs/>
                      <w:color w:val="auto"/>
                      <w:kern w:val="0"/>
                      <w:sz w:val="18"/>
                      <w:szCs w:val="18"/>
                      <w:lang w:bidi="ar"/>
                    </w:rPr>
                    <w:t>m</w:t>
                  </w:r>
                  <w:r>
                    <w:rPr>
                      <w:b/>
                      <w:bCs/>
                      <w:color w:val="auto"/>
                      <w:kern w:val="0"/>
                      <w:sz w:val="18"/>
                      <w:szCs w:val="18"/>
                      <w:vertAlign w:val="superscript"/>
                      <w:lang w:bidi="ar"/>
                    </w:rPr>
                    <w:t>3</w:t>
                  </w:r>
                  <w:r>
                    <w:rPr>
                      <w:b/>
                      <w:bCs/>
                      <w:color w:val="auto"/>
                      <w:kern w:val="0"/>
                      <w:sz w:val="18"/>
                      <w:szCs w:val="18"/>
                      <w:lang w:bidi="ar"/>
                    </w:rPr>
                    <w:t>/h</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5" w:hRule="atLeast"/>
              </w:trPr>
              <w:tc>
                <w:tcPr>
                  <w:tcW w:w="660" w:type="pct"/>
                  <w:tcBorders>
                    <w:tl2br w:val="nil"/>
                    <w:tr2bl w:val="nil"/>
                  </w:tcBorders>
                  <w:shd w:val="clear" w:color="auto" w:fill="auto"/>
                  <w:noWrap/>
                  <w:vAlign w:val="center"/>
                </w:tcPr>
                <w:p>
                  <w:pPr>
                    <w:jc w:val="center"/>
                    <w:rPr>
                      <w:rFonts w:ascii="宋体" w:hAnsi="宋体" w:cs="宋体"/>
                      <w:color w:val="auto"/>
                      <w:kern w:val="0"/>
                      <w:sz w:val="18"/>
                      <w:szCs w:val="18"/>
                      <w:lang w:bidi="ar"/>
                    </w:rPr>
                  </w:pPr>
                  <w:r>
                    <w:rPr>
                      <w:color w:val="auto"/>
                      <w:sz w:val="18"/>
                      <w:szCs w:val="18"/>
                    </w:rPr>
                    <w:t>密炼</w:t>
                  </w:r>
                </w:p>
              </w:tc>
              <w:tc>
                <w:tcPr>
                  <w:tcW w:w="1971"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0.</w:t>
                  </w:r>
                  <w:r>
                    <w:rPr>
                      <w:rFonts w:hint="eastAsia"/>
                      <w:color w:val="auto"/>
                      <w:kern w:val="0"/>
                      <w:sz w:val="18"/>
                      <w:szCs w:val="18"/>
                      <w:lang w:bidi="ar"/>
                    </w:rPr>
                    <w:t>3</w:t>
                  </w:r>
                </w:p>
              </w:tc>
              <w:tc>
                <w:tcPr>
                  <w:tcW w:w="1505"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0.6</w:t>
                  </w:r>
                  <w:r>
                    <w:rPr>
                      <w:color w:val="auto"/>
                      <w:kern w:val="0"/>
                      <w:sz w:val="18"/>
                      <w:szCs w:val="18"/>
                      <w:lang w:bidi="ar"/>
                    </w:rPr>
                    <w:t>×</w:t>
                  </w:r>
                  <w:r>
                    <w:rPr>
                      <w:rFonts w:hint="eastAsia"/>
                      <w:color w:val="auto"/>
                      <w:kern w:val="0"/>
                      <w:sz w:val="18"/>
                      <w:szCs w:val="18"/>
                      <w:lang w:bidi="ar"/>
                    </w:rPr>
                    <w:t>0.5</w:t>
                  </w:r>
                </w:p>
              </w:tc>
              <w:tc>
                <w:tcPr>
                  <w:tcW w:w="1216"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0.3</w:t>
                  </w:r>
                </w:p>
              </w:tc>
              <w:tc>
                <w:tcPr>
                  <w:tcW w:w="1101"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1296</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1</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1296</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5" w:hRule="atLeast"/>
              </w:trPr>
              <w:tc>
                <w:tcPr>
                  <w:tcW w:w="660" w:type="pct"/>
                  <w:tcBorders>
                    <w:tl2br w:val="nil"/>
                    <w:tr2bl w:val="nil"/>
                  </w:tcBorders>
                  <w:shd w:val="clear" w:color="auto" w:fill="auto"/>
                  <w:noWrap/>
                  <w:vAlign w:val="center"/>
                </w:tcPr>
                <w:p>
                  <w:pPr>
                    <w:jc w:val="center"/>
                    <w:rPr>
                      <w:rFonts w:ascii="宋体" w:hAnsi="宋体" w:cs="宋体"/>
                      <w:color w:val="auto"/>
                      <w:kern w:val="0"/>
                      <w:sz w:val="18"/>
                      <w:szCs w:val="18"/>
                      <w:lang w:bidi="ar"/>
                    </w:rPr>
                  </w:pPr>
                  <w:r>
                    <w:rPr>
                      <w:color w:val="auto"/>
                      <w:sz w:val="18"/>
                      <w:szCs w:val="18"/>
                    </w:rPr>
                    <w:t>开炼</w:t>
                  </w:r>
                </w:p>
              </w:tc>
              <w:tc>
                <w:tcPr>
                  <w:tcW w:w="1971"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0.</w:t>
                  </w:r>
                  <w:r>
                    <w:rPr>
                      <w:rFonts w:hint="eastAsia"/>
                      <w:color w:val="auto"/>
                      <w:kern w:val="0"/>
                      <w:sz w:val="18"/>
                      <w:szCs w:val="18"/>
                      <w:lang w:bidi="ar"/>
                    </w:rPr>
                    <w:t>3</w:t>
                  </w:r>
                </w:p>
              </w:tc>
              <w:tc>
                <w:tcPr>
                  <w:tcW w:w="1505"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0.7</w:t>
                  </w:r>
                  <w:r>
                    <w:rPr>
                      <w:color w:val="auto"/>
                      <w:kern w:val="0"/>
                      <w:sz w:val="18"/>
                      <w:szCs w:val="18"/>
                      <w:lang w:bidi="ar"/>
                    </w:rPr>
                    <w:t>×</w:t>
                  </w:r>
                  <w:r>
                    <w:rPr>
                      <w:rFonts w:hint="eastAsia"/>
                      <w:color w:val="auto"/>
                      <w:kern w:val="0"/>
                      <w:sz w:val="18"/>
                      <w:szCs w:val="18"/>
                      <w:lang w:bidi="ar"/>
                    </w:rPr>
                    <w:t>0.6</w:t>
                  </w:r>
                </w:p>
              </w:tc>
              <w:tc>
                <w:tcPr>
                  <w:tcW w:w="1216"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0.3</w:t>
                  </w:r>
                </w:p>
              </w:tc>
              <w:tc>
                <w:tcPr>
                  <w:tcW w:w="1101"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1425.6</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3</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4276.8</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5" w:hRule="atLeast"/>
              </w:trPr>
              <w:tc>
                <w:tcPr>
                  <w:tcW w:w="660" w:type="pct"/>
                  <w:tcBorders>
                    <w:tl2br w:val="nil"/>
                    <w:tr2bl w:val="nil"/>
                  </w:tcBorders>
                  <w:shd w:val="clear" w:color="auto" w:fill="auto"/>
                  <w:noWrap/>
                  <w:vAlign w:val="center"/>
                </w:tcPr>
                <w:p>
                  <w:pPr>
                    <w:jc w:val="center"/>
                    <w:rPr>
                      <w:color w:val="auto"/>
                      <w:sz w:val="18"/>
                      <w:szCs w:val="18"/>
                    </w:rPr>
                  </w:pPr>
                  <w:r>
                    <w:rPr>
                      <w:color w:val="auto"/>
                      <w:sz w:val="18"/>
                      <w:szCs w:val="18"/>
                    </w:rPr>
                    <w:t>预成型机</w:t>
                  </w:r>
                </w:p>
              </w:tc>
              <w:tc>
                <w:tcPr>
                  <w:tcW w:w="1971"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0.</w:t>
                  </w:r>
                  <w:r>
                    <w:rPr>
                      <w:rFonts w:hint="eastAsia"/>
                      <w:color w:val="auto"/>
                      <w:kern w:val="0"/>
                      <w:sz w:val="18"/>
                      <w:szCs w:val="18"/>
                      <w:lang w:bidi="ar"/>
                    </w:rPr>
                    <w:t>3</w:t>
                  </w:r>
                </w:p>
              </w:tc>
              <w:tc>
                <w:tcPr>
                  <w:tcW w:w="1505"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0.7</w:t>
                  </w:r>
                  <w:r>
                    <w:rPr>
                      <w:color w:val="auto"/>
                      <w:kern w:val="0"/>
                      <w:sz w:val="18"/>
                      <w:szCs w:val="18"/>
                      <w:lang w:bidi="ar"/>
                    </w:rPr>
                    <w:t>×</w:t>
                  </w:r>
                  <w:r>
                    <w:rPr>
                      <w:rFonts w:hint="eastAsia"/>
                      <w:color w:val="auto"/>
                      <w:kern w:val="0"/>
                      <w:sz w:val="18"/>
                      <w:szCs w:val="18"/>
                      <w:lang w:bidi="ar"/>
                    </w:rPr>
                    <w:t>0.6</w:t>
                  </w:r>
                </w:p>
              </w:tc>
              <w:tc>
                <w:tcPr>
                  <w:tcW w:w="1216"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0.3</w:t>
                  </w:r>
                </w:p>
              </w:tc>
              <w:tc>
                <w:tcPr>
                  <w:tcW w:w="1101"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1425.6</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1</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1425.6</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5" w:hRule="atLeast"/>
              </w:trPr>
              <w:tc>
                <w:tcPr>
                  <w:tcW w:w="660" w:type="pct"/>
                  <w:tcBorders>
                    <w:tl2br w:val="nil"/>
                    <w:tr2bl w:val="nil"/>
                  </w:tcBorders>
                  <w:shd w:val="clear" w:color="auto" w:fill="auto"/>
                  <w:noWrap/>
                  <w:vAlign w:val="center"/>
                </w:tcPr>
                <w:p>
                  <w:pPr>
                    <w:jc w:val="center"/>
                    <w:rPr>
                      <w:color w:val="auto"/>
                      <w:sz w:val="18"/>
                      <w:szCs w:val="18"/>
                    </w:rPr>
                  </w:pPr>
                  <w:r>
                    <w:rPr>
                      <w:color w:val="auto"/>
                      <w:sz w:val="18"/>
                      <w:szCs w:val="18"/>
                    </w:rPr>
                    <w:t>模压成型机</w:t>
                  </w:r>
                </w:p>
              </w:tc>
              <w:tc>
                <w:tcPr>
                  <w:tcW w:w="1971"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0.</w:t>
                  </w:r>
                  <w:r>
                    <w:rPr>
                      <w:rFonts w:hint="eastAsia"/>
                      <w:color w:val="auto"/>
                      <w:kern w:val="0"/>
                      <w:sz w:val="18"/>
                      <w:szCs w:val="18"/>
                      <w:lang w:bidi="ar"/>
                    </w:rPr>
                    <w:t>3</w:t>
                  </w:r>
                </w:p>
              </w:tc>
              <w:tc>
                <w:tcPr>
                  <w:tcW w:w="1505"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0.5</w:t>
                  </w:r>
                  <w:r>
                    <w:rPr>
                      <w:color w:val="auto"/>
                      <w:kern w:val="0"/>
                      <w:sz w:val="18"/>
                      <w:szCs w:val="18"/>
                      <w:lang w:bidi="ar"/>
                    </w:rPr>
                    <w:t>×</w:t>
                  </w:r>
                  <w:r>
                    <w:rPr>
                      <w:rFonts w:hint="eastAsia"/>
                      <w:color w:val="auto"/>
                      <w:kern w:val="0"/>
                      <w:sz w:val="18"/>
                      <w:szCs w:val="18"/>
                      <w:lang w:bidi="ar"/>
                    </w:rPr>
                    <w:t>0.5</w:t>
                  </w:r>
                </w:p>
              </w:tc>
              <w:tc>
                <w:tcPr>
                  <w:tcW w:w="1216"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0.3</w:t>
                  </w:r>
                </w:p>
              </w:tc>
              <w:tc>
                <w:tcPr>
                  <w:tcW w:w="1101"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1242</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1</w:t>
                  </w:r>
                  <w:r>
                    <w:rPr>
                      <w:rFonts w:hint="eastAsia"/>
                      <w:color w:val="auto"/>
                      <w:kern w:val="0"/>
                      <w:sz w:val="18"/>
                      <w:szCs w:val="18"/>
                      <w:lang w:bidi="ar"/>
                    </w:rPr>
                    <w:t>0</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12420</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5" w:hRule="atLeast"/>
              </w:trPr>
              <w:tc>
                <w:tcPr>
                  <w:tcW w:w="660" w:type="pct"/>
                  <w:tcBorders>
                    <w:tl2br w:val="nil"/>
                    <w:tr2bl w:val="nil"/>
                  </w:tcBorders>
                  <w:shd w:val="clear" w:color="auto" w:fill="auto"/>
                  <w:noWrap/>
                  <w:vAlign w:val="center"/>
                </w:tcPr>
                <w:p>
                  <w:pPr>
                    <w:jc w:val="center"/>
                    <w:rPr>
                      <w:color w:val="auto"/>
                      <w:sz w:val="18"/>
                      <w:szCs w:val="18"/>
                    </w:rPr>
                  </w:pPr>
                  <w:r>
                    <w:rPr>
                      <w:color w:val="auto"/>
                      <w:sz w:val="18"/>
                      <w:szCs w:val="18"/>
                    </w:rPr>
                    <w:t>烘箱</w:t>
                  </w:r>
                </w:p>
              </w:tc>
              <w:tc>
                <w:tcPr>
                  <w:tcW w:w="1971"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0.</w:t>
                  </w:r>
                  <w:r>
                    <w:rPr>
                      <w:rFonts w:hint="eastAsia"/>
                      <w:color w:val="auto"/>
                      <w:kern w:val="0"/>
                      <w:sz w:val="18"/>
                      <w:szCs w:val="18"/>
                      <w:lang w:bidi="ar"/>
                    </w:rPr>
                    <w:t>2</w:t>
                  </w:r>
                </w:p>
              </w:tc>
              <w:tc>
                <w:tcPr>
                  <w:tcW w:w="1505"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0.5</w:t>
                  </w:r>
                  <w:r>
                    <w:rPr>
                      <w:color w:val="auto"/>
                      <w:kern w:val="0"/>
                      <w:sz w:val="18"/>
                      <w:szCs w:val="18"/>
                      <w:lang w:bidi="ar"/>
                    </w:rPr>
                    <w:t>×</w:t>
                  </w:r>
                  <w:r>
                    <w:rPr>
                      <w:rFonts w:hint="eastAsia"/>
                      <w:color w:val="auto"/>
                      <w:kern w:val="0"/>
                      <w:sz w:val="18"/>
                      <w:szCs w:val="18"/>
                      <w:lang w:bidi="ar"/>
                    </w:rPr>
                    <w:t>0.4</w:t>
                  </w:r>
                </w:p>
              </w:tc>
              <w:tc>
                <w:tcPr>
                  <w:tcW w:w="1216"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0.3</w:t>
                  </w:r>
                </w:p>
              </w:tc>
              <w:tc>
                <w:tcPr>
                  <w:tcW w:w="1101"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648</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5</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3240</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5" w:hRule="atLeast"/>
              </w:trPr>
              <w:tc>
                <w:tcPr>
                  <w:tcW w:w="660" w:type="pct"/>
                  <w:tcBorders>
                    <w:tl2br w:val="nil"/>
                    <w:tr2bl w:val="nil"/>
                  </w:tcBorders>
                  <w:shd w:val="clear" w:color="auto" w:fill="auto"/>
                  <w:noWrap/>
                  <w:vAlign w:val="center"/>
                </w:tcPr>
                <w:p>
                  <w:pPr>
                    <w:widowControl/>
                    <w:jc w:val="center"/>
                    <w:textAlignment w:val="center"/>
                    <w:rPr>
                      <w:rFonts w:ascii="宋体" w:hAnsi="宋体" w:cs="宋体"/>
                      <w:color w:val="auto"/>
                      <w:sz w:val="18"/>
                      <w:szCs w:val="18"/>
                    </w:rPr>
                  </w:pPr>
                  <w:r>
                    <w:rPr>
                      <w:rFonts w:hint="eastAsia" w:ascii="宋体" w:hAnsi="宋体" w:cs="宋体"/>
                      <w:color w:val="auto"/>
                      <w:kern w:val="0"/>
                      <w:sz w:val="18"/>
                      <w:szCs w:val="18"/>
                      <w:lang w:bidi="ar"/>
                    </w:rPr>
                    <w:t>注塑</w:t>
                  </w:r>
                </w:p>
              </w:tc>
              <w:tc>
                <w:tcPr>
                  <w:tcW w:w="1971" w:type="dxa"/>
                  <w:tcBorders>
                    <w:tl2br w:val="nil"/>
                    <w:tr2bl w:val="nil"/>
                  </w:tcBorders>
                  <w:shd w:val="clear" w:color="auto" w:fill="auto"/>
                  <w:noWrap/>
                  <w:vAlign w:val="center"/>
                </w:tcPr>
                <w:p>
                  <w:pPr>
                    <w:widowControl/>
                    <w:jc w:val="center"/>
                    <w:textAlignment w:val="center"/>
                    <w:rPr>
                      <w:color w:val="auto"/>
                      <w:sz w:val="18"/>
                      <w:szCs w:val="18"/>
                    </w:rPr>
                  </w:pPr>
                  <w:r>
                    <w:rPr>
                      <w:color w:val="auto"/>
                      <w:kern w:val="0"/>
                      <w:sz w:val="18"/>
                      <w:szCs w:val="18"/>
                      <w:lang w:bidi="ar"/>
                    </w:rPr>
                    <w:t>0.</w:t>
                  </w:r>
                  <w:r>
                    <w:rPr>
                      <w:rFonts w:hint="eastAsia"/>
                      <w:color w:val="auto"/>
                      <w:kern w:val="0"/>
                      <w:sz w:val="18"/>
                      <w:szCs w:val="18"/>
                      <w:lang w:bidi="ar"/>
                    </w:rPr>
                    <w:t>3</w:t>
                  </w:r>
                </w:p>
              </w:tc>
              <w:tc>
                <w:tcPr>
                  <w:tcW w:w="1505" w:type="dxa"/>
                  <w:tcBorders>
                    <w:tl2br w:val="nil"/>
                    <w:tr2bl w:val="nil"/>
                  </w:tcBorders>
                  <w:shd w:val="clear" w:color="auto" w:fill="auto"/>
                  <w:noWrap/>
                  <w:vAlign w:val="center"/>
                </w:tcPr>
                <w:p>
                  <w:pPr>
                    <w:widowControl/>
                    <w:jc w:val="center"/>
                    <w:textAlignment w:val="center"/>
                    <w:rPr>
                      <w:color w:val="auto"/>
                      <w:sz w:val="18"/>
                      <w:szCs w:val="18"/>
                    </w:rPr>
                  </w:pPr>
                  <w:r>
                    <w:rPr>
                      <w:color w:val="auto"/>
                      <w:kern w:val="0"/>
                      <w:sz w:val="18"/>
                      <w:szCs w:val="18"/>
                      <w:lang w:bidi="ar"/>
                    </w:rPr>
                    <w:t>0.7×0.5</w:t>
                  </w:r>
                </w:p>
              </w:tc>
              <w:tc>
                <w:tcPr>
                  <w:tcW w:w="1216" w:type="dxa"/>
                  <w:tcBorders>
                    <w:tl2br w:val="nil"/>
                    <w:tr2bl w:val="nil"/>
                  </w:tcBorders>
                  <w:shd w:val="clear" w:color="auto" w:fill="auto"/>
                  <w:noWrap/>
                  <w:vAlign w:val="center"/>
                </w:tcPr>
                <w:p>
                  <w:pPr>
                    <w:widowControl/>
                    <w:jc w:val="center"/>
                    <w:textAlignment w:val="center"/>
                    <w:rPr>
                      <w:color w:val="auto"/>
                      <w:sz w:val="18"/>
                      <w:szCs w:val="18"/>
                    </w:rPr>
                  </w:pPr>
                  <w:r>
                    <w:rPr>
                      <w:color w:val="auto"/>
                      <w:kern w:val="0"/>
                      <w:sz w:val="18"/>
                      <w:szCs w:val="18"/>
                      <w:lang w:bidi="ar"/>
                    </w:rPr>
                    <w:t>0.3</w:t>
                  </w:r>
                </w:p>
              </w:tc>
              <w:tc>
                <w:tcPr>
                  <w:tcW w:w="1101"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1350</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2</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2700</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15" w:hRule="atLeast"/>
              </w:trPr>
              <w:tc>
                <w:tcPr>
                  <w:tcW w:w="4484" w:type="pct"/>
                  <w:gridSpan w:val="6"/>
                  <w:tcBorders>
                    <w:tl2br w:val="nil"/>
                    <w:tr2bl w:val="nil"/>
                  </w:tcBorders>
                  <w:shd w:val="clear" w:color="auto" w:fill="auto"/>
                  <w:noWrap/>
                  <w:vAlign w:val="center"/>
                </w:tcPr>
                <w:p>
                  <w:pPr>
                    <w:widowControl/>
                    <w:jc w:val="center"/>
                    <w:textAlignment w:val="center"/>
                    <w:rPr>
                      <w:color w:val="auto"/>
                      <w:kern w:val="0"/>
                      <w:sz w:val="18"/>
                      <w:szCs w:val="18"/>
                      <w:lang w:bidi="ar"/>
                    </w:rPr>
                  </w:pPr>
                  <w:r>
                    <w:rPr>
                      <w:rFonts w:hint="eastAsia"/>
                      <w:color w:val="auto"/>
                      <w:kern w:val="0"/>
                      <w:sz w:val="18"/>
                      <w:szCs w:val="18"/>
                      <w:lang w:bidi="ar"/>
                    </w:rPr>
                    <w:t>合计总风量</w:t>
                  </w:r>
                </w:p>
              </w:tc>
              <w:tc>
                <w:tcPr>
                  <w:tcW w:w="954" w:type="dxa"/>
                  <w:tcBorders>
                    <w:tl2br w:val="nil"/>
                    <w:tr2bl w:val="nil"/>
                  </w:tcBorders>
                  <w:shd w:val="clear" w:color="auto" w:fill="auto"/>
                  <w:noWrap/>
                  <w:vAlign w:val="center"/>
                </w:tcPr>
                <w:p>
                  <w:pPr>
                    <w:widowControl/>
                    <w:jc w:val="center"/>
                    <w:textAlignment w:val="center"/>
                    <w:rPr>
                      <w:color w:val="auto"/>
                      <w:kern w:val="0"/>
                      <w:sz w:val="18"/>
                      <w:szCs w:val="18"/>
                      <w:lang w:bidi="ar"/>
                    </w:rPr>
                  </w:pPr>
                  <w:r>
                    <w:rPr>
                      <w:color w:val="auto"/>
                      <w:kern w:val="0"/>
                      <w:sz w:val="18"/>
                      <w:szCs w:val="18"/>
                      <w:lang w:bidi="ar"/>
                    </w:rPr>
                    <w:t>25358.4</w:t>
                  </w:r>
                </w:p>
              </w:tc>
            </w:tr>
          </w:tbl>
          <w:p>
            <w:pPr>
              <w:adjustRightInd w:val="0"/>
              <w:snapToGrid w:val="0"/>
              <w:spacing w:before="120" w:beforeLines="50" w:line="360" w:lineRule="auto"/>
              <w:ind w:firstLine="420" w:firstLineChars="200"/>
              <w:rPr>
                <w:color w:val="auto"/>
                <w:szCs w:val="21"/>
                <w:lang w:val="zh-CN"/>
              </w:rPr>
            </w:pPr>
            <w:r>
              <w:rPr>
                <w:color w:val="auto"/>
                <w:szCs w:val="21"/>
                <w:lang w:val="zh-CN"/>
              </w:rPr>
              <w:t>考虑系统损失，</w:t>
            </w:r>
            <w:r>
              <w:rPr>
                <w:rFonts w:hint="eastAsia"/>
                <w:color w:val="auto"/>
                <w:szCs w:val="21"/>
              </w:rPr>
              <w:t>为保证</w:t>
            </w:r>
            <w:r>
              <w:rPr>
                <w:color w:val="auto"/>
                <w:szCs w:val="21"/>
              </w:rPr>
              <w:t>集气罩开口控制风速</w:t>
            </w:r>
            <w:r>
              <w:rPr>
                <w:rFonts w:hint="eastAsia"/>
                <w:color w:val="auto"/>
                <w:szCs w:val="21"/>
              </w:rPr>
              <w:t>满足</w:t>
            </w:r>
            <w:r>
              <w:rPr>
                <w:color w:val="auto"/>
                <w:szCs w:val="21"/>
              </w:rPr>
              <w:t>0.3m/s以上，保证90%的废气捕集率</w:t>
            </w:r>
            <w:r>
              <w:rPr>
                <w:rFonts w:hint="eastAsia"/>
                <w:color w:val="auto"/>
                <w:szCs w:val="21"/>
              </w:rPr>
              <w:t>，风机风量至少需25358.4</w:t>
            </w:r>
            <w:r>
              <w:rPr>
                <w:color w:val="auto"/>
                <w:kern w:val="0"/>
                <w:sz w:val="18"/>
                <w:szCs w:val="18"/>
                <w:lang w:bidi="ar"/>
              </w:rPr>
              <w:t>m</w:t>
            </w:r>
            <w:r>
              <w:rPr>
                <w:color w:val="auto"/>
                <w:kern w:val="0"/>
                <w:sz w:val="18"/>
                <w:szCs w:val="18"/>
                <w:vertAlign w:val="superscript"/>
                <w:lang w:bidi="ar"/>
              </w:rPr>
              <w:t>3</w:t>
            </w:r>
            <w:r>
              <w:rPr>
                <w:color w:val="auto"/>
                <w:kern w:val="0"/>
                <w:sz w:val="18"/>
                <w:szCs w:val="18"/>
                <w:lang w:bidi="ar"/>
              </w:rPr>
              <w:t>/h</w:t>
            </w:r>
            <w:r>
              <w:rPr>
                <w:rFonts w:hint="eastAsia"/>
                <w:color w:val="auto"/>
                <w:kern w:val="0"/>
                <w:sz w:val="18"/>
                <w:szCs w:val="18"/>
                <w:lang w:bidi="ar"/>
              </w:rPr>
              <w:t>，</w:t>
            </w:r>
            <w:r>
              <w:rPr>
                <w:color w:val="auto"/>
                <w:szCs w:val="21"/>
              </w:rPr>
              <w:t>本项目风机风量设置为</w:t>
            </w:r>
            <w:r>
              <w:rPr>
                <w:rFonts w:hint="eastAsia"/>
                <w:color w:val="auto"/>
                <w:szCs w:val="21"/>
              </w:rPr>
              <w:t>26000</w:t>
            </w:r>
            <w:r>
              <w:rPr>
                <w:color w:val="auto"/>
                <w:szCs w:val="21"/>
                <w:lang w:val="zh-CN"/>
              </w:rPr>
              <w:t>m</w:t>
            </w:r>
            <w:r>
              <w:rPr>
                <w:color w:val="auto"/>
                <w:szCs w:val="21"/>
                <w:vertAlign w:val="superscript"/>
                <w:lang w:val="zh-CN"/>
              </w:rPr>
              <w:t>3</w:t>
            </w:r>
            <w:r>
              <w:rPr>
                <w:color w:val="auto"/>
                <w:szCs w:val="21"/>
                <w:lang w:val="zh-CN"/>
              </w:rPr>
              <w:t>/h。</w:t>
            </w:r>
          </w:p>
          <w:p>
            <w:pPr>
              <w:rPr>
                <w:color w:val="auto"/>
                <w:lang w:val="zh-CN"/>
              </w:rPr>
            </w:pPr>
          </w:p>
          <w:p>
            <w:pPr>
              <w:adjustRightInd w:val="0"/>
              <w:snapToGrid w:val="0"/>
              <w:spacing w:line="360" w:lineRule="auto"/>
              <w:ind w:firstLine="420" w:firstLineChars="200"/>
              <w:rPr>
                <w:color w:val="auto"/>
                <w:szCs w:val="21"/>
              </w:rPr>
            </w:pPr>
            <w:r>
              <w:rPr>
                <w:color w:val="auto"/>
                <w:szCs w:val="21"/>
              </w:rPr>
              <w:t>2）</w:t>
            </w:r>
            <w:r>
              <w:rPr>
                <w:bCs/>
                <w:snapToGrid w:val="0"/>
                <w:color w:val="auto"/>
                <w:kern w:val="0"/>
                <w:szCs w:val="21"/>
              </w:rPr>
              <w:t>废气处理效果可行性分析</w:t>
            </w:r>
          </w:p>
          <w:p>
            <w:pPr>
              <w:spacing w:line="360" w:lineRule="auto"/>
              <w:ind w:firstLine="420" w:firstLineChars="200"/>
              <w:rPr>
                <w:snapToGrid w:val="0"/>
                <w:color w:val="auto"/>
                <w:kern w:val="0"/>
                <w:szCs w:val="21"/>
              </w:rPr>
            </w:pPr>
            <w:r>
              <w:rPr>
                <w:rFonts w:hint="eastAsia" w:ascii="宋体" w:hAnsi="宋体" w:cs="宋体"/>
                <w:snapToGrid w:val="0"/>
                <w:color w:val="auto"/>
                <w:kern w:val="0"/>
                <w:szCs w:val="21"/>
              </w:rPr>
              <w:t>①</w:t>
            </w:r>
            <w:r>
              <w:rPr>
                <w:snapToGrid w:val="0"/>
                <w:color w:val="auto"/>
                <w:kern w:val="0"/>
                <w:szCs w:val="21"/>
              </w:rPr>
              <w:t>活性炭</w:t>
            </w:r>
            <w:r>
              <w:rPr>
                <w:rFonts w:hint="eastAsia"/>
                <w:snapToGrid w:val="0"/>
                <w:color w:val="auto"/>
                <w:kern w:val="0"/>
                <w:szCs w:val="21"/>
              </w:rPr>
              <w:t>吸附装置</w:t>
            </w:r>
          </w:p>
          <w:p>
            <w:pPr>
              <w:pStyle w:val="28"/>
              <w:spacing w:line="360" w:lineRule="auto"/>
              <w:ind w:firstLine="420" w:firstLineChars="200"/>
              <w:rPr>
                <w:snapToGrid w:val="0"/>
                <w:color w:val="auto"/>
                <w:sz w:val="21"/>
                <w:szCs w:val="21"/>
              </w:rPr>
            </w:pPr>
            <w:r>
              <w:rPr>
                <w:snapToGrid w:val="0"/>
                <w:color w:val="auto"/>
                <w:sz w:val="21"/>
                <w:szCs w:val="21"/>
              </w:rPr>
              <w:t>吸附法适用于处理常温、低浓度、风量较小的气态污染物的治理，操作方便，易于实现自动化。本项目</w:t>
            </w:r>
            <w:r>
              <w:rPr>
                <w:rFonts w:hint="eastAsia"/>
                <w:snapToGrid w:val="0"/>
                <w:color w:val="auto"/>
                <w:sz w:val="21"/>
                <w:szCs w:val="21"/>
              </w:rPr>
              <w:t>混炼、开炼、成型、</w:t>
            </w:r>
            <w:r>
              <w:rPr>
                <w:snapToGrid w:val="0"/>
                <w:color w:val="auto"/>
                <w:sz w:val="21"/>
                <w:szCs w:val="21"/>
              </w:rPr>
              <w:t>注塑</w:t>
            </w:r>
            <w:r>
              <w:rPr>
                <w:rFonts w:hint="eastAsia"/>
                <w:snapToGrid w:val="0"/>
                <w:color w:val="auto"/>
                <w:sz w:val="21"/>
                <w:szCs w:val="21"/>
              </w:rPr>
              <w:t>等</w:t>
            </w:r>
            <w:r>
              <w:rPr>
                <w:snapToGrid w:val="0"/>
                <w:color w:val="auto"/>
                <w:sz w:val="21"/>
                <w:szCs w:val="21"/>
              </w:rPr>
              <w:t>废气属于低浓度、低风量的气态污染物，废气回收价值较小，不考虑回收，因此根据项目废气排放特征，考虑去除效率、运行费用等，本项目采用活性炭吸附装置处理有机废气。活性炭吸附是一种常用的吸附方法，在有机废气处理过程中，活性炭常被用来吸附烷烃、烯烃、芳香烃、酮、醛、氯代烃、酯以及挥发性有机化合物（VOCs）。经活性炭处理后有机废气排放可达相应排放标准限值。本项目采用的废气处理装置方法成熟，国内外许多化工企业多应用该法，处理效果好，其优点是设备较简单、处理效率高、运行成本相对较低。二级活性炭吸附装置对挥发性有机物的</w:t>
            </w:r>
            <w:r>
              <w:rPr>
                <w:snapToGrid w:val="0"/>
                <w:color w:val="auto"/>
                <w:sz w:val="21"/>
                <w:szCs w:val="21"/>
              </w:rPr>
              <w:t>去</w:t>
            </w:r>
            <w:r>
              <w:rPr>
                <w:rStyle w:val="45"/>
                <w:rFonts w:hint="eastAsia"/>
                <w:color w:val="auto"/>
                <w:lang w:val="en-US" w:eastAsia="zh-CN"/>
              </w:rPr>
              <w:t>除</w:t>
            </w:r>
            <w:r>
              <w:rPr>
                <w:snapToGrid w:val="0"/>
                <w:color w:val="auto"/>
                <w:sz w:val="21"/>
                <w:szCs w:val="21"/>
              </w:rPr>
              <w:t>效率能达到90%。</w:t>
            </w:r>
          </w:p>
          <w:p>
            <w:pPr>
              <w:pStyle w:val="28"/>
              <w:tabs>
                <w:tab w:val="right" w:pos="8088"/>
              </w:tabs>
              <w:spacing w:line="360" w:lineRule="auto"/>
              <w:ind w:firstLine="420" w:firstLineChars="200"/>
              <w:rPr>
                <w:snapToGrid w:val="0"/>
                <w:color w:val="auto"/>
                <w:sz w:val="21"/>
                <w:szCs w:val="21"/>
              </w:rPr>
            </w:pPr>
            <w:r>
              <w:rPr>
                <w:snapToGrid w:val="0"/>
                <w:color w:val="auto"/>
                <w:sz w:val="21"/>
                <w:szCs w:val="21"/>
              </w:rPr>
              <w:t>根据《省生态环境厅关于将排污单位活性炭使用更换纳入排污许可管理的通知》（苏环办[2021]218号）附件中要求，活性炭更换周期计算方法如下：</w:t>
            </w:r>
          </w:p>
          <w:p>
            <w:pPr>
              <w:pStyle w:val="28"/>
              <w:tabs>
                <w:tab w:val="left" w:pos="253"/>
                <w:tab w:val="right" w:pos="8088"/>
              </w:tabs>
              <w:spacing w:line="360" w:lineRule="auto"/>
              <w:jc w:val="center"/>
              <w:rPr>
                <w:snapToGrid w:val="0"/>
                <w:color w:val="auto"/>
                <w:sz w:val="21"/>
                <w:szCs w:val="21"/>
              </w:rPr>
            </w:pPr>
            <w:r>
              <w:rPr>
                <w:snapToGrid w:val="0"/>
                <w:color w:val="auto"/>
                <w:sz w:val="21"/>
                <w:szCs w:val="21"/>
              </w:rPr>
              <w:t>T=m×s÷（c×10</w:t>
            </w:r>
            <w:r>
              <w:rPr>
                <w:snapToGrid w:val="0"/>
                <w:color w:val="auto"/>
                <w:sz w:val="21"/>
                <w:szCs w:val="21"/>
                <w:vertAlign w:val="superscript"/>
              </w:rPr>
              <w:t>-6</w:t>
            </w:r>
            <w:r>
              <w:rPr>
                <w:snapToGrid w:val="0"/>
                <w:color w:val="auto"/>
                <w:sz w:val="21"/>
                <w:szCs w:val="21"/>
              </w:rPr>
              <w:t>×Q×t）</w:t>
            </w:r>
          </w:p>
          <w:p>
            <w:pPr>
              <w:pStyle w:val="28"/>
              <w:tabs>
                <w:tab w:val="left" w:pos="253"/>
                <w:tab w:val="right" w:pos="8088"/>
              </w:tabs>
              <w:spacing w:line="360" w:lineRule="auto"/>
              <w:ind w:firstLine="420"/>
              <w:rPr>
                <w:snapToGrid w:val="0"/>
                <w:color w:val="auto"/>
                <w:sz w:val="21"/>
                <w:szCs w:val="21"/>
              </w:rPr>
            </w:pPr>
            <w:r>
              <w:rPr>
                <w:snapToGrid w:val="0"/>
                <w:color w:val="auto"/>
                <w:sz w:val="21"/>
                <w:szCs w:val="21"/>
              </w:rPr>
              <w:t>式中：T——更换周期，天；</w:t>
            </w:r>
          </w:p>
          <w:p>
            <w:pPr>
              <w:pStyle w:val="28"/>
              <w:tabs>
                <w:tab w:val="left" w:pos="253"/>
                <w:tab w:val="right" w:pos="8088"/>
              </w:tabs>
              <w:spacing w:line="360" w:lineRule="auto"/>
              <w:ind w:firstLine="420"/>
              <w:rPr>
                <w:snapToGrid w:val="0"/>
                <w:color w:val="auto"/>
                <w:sz w:val="21"/>
                <w:szCs w:val="21"/>
              </w:rPr>
            </w:pPr>
            <w:r>
              <w:rPr>
                <w:snapToGrid w:val="0"/>
                <w:color w:val="auto"/>
                <w:sz w:val="21"/>
                <w:szCs w:val="21"/>
              </w:rPr>
              <w:t xml:space="preserve">      m——活性炭用量，kg；</w:t>
            </w:r>
          </w:p>
          <w:p>
            <w:pPr>
              <w:pStyle w:val="28"/>
              <w:tabs>
                <w:tab w:val="left" w:pos="253"/>
                <w:tab w:val="right" w:pos="8088"/>
              </w:tabs>
              <w:spacing w:line="360" w:lineRule="auto"/>
              <w:ind w:firstLine="420"/>
              <w:rPr>
                <w:snapToGrid w:val="0"/>
                <w:color w:val="auto"/>
                <w:sz w:val="21"/>
                <w:szCs w:val="21"/>
              </w:rPr>
            </w:pPr>
            <w:r>
              <w:rPr>
                <w:snapToGrid w:val="0"/>
                <w:color w:val="auto"/>
                <w:sz w:val="21"/>
                <w:szCs w:val="21"/>
              </w:rPr>
              <w:t xml:space="preserve">      s——动态吸附量，%；（一般取10%）</w:t>
            </w:r>
          </w:p>
          <w:p>
            <w:pPr>
              <w:pStyle w:val="28"/>
              <w:tabs>
                <w:tab w:val="left" w:pos="253"/>
                <w:tab w:val="right" w:pos="8088"/>
              </w:tabs>
              <w:spacing w:line="360" w:lineRule="auto"/>
              <w:ind w:firstLine="420"/>
              <w:rPr>
                <w:snapToGrid w:val="0"/>
                <w:color w:val="auto"/>
                <w:sz w:val="21"/>
                <w:szCs w:val="21"/>
              </w:rPr>
            </w:pPr>
            <w:r>
              <w:rPr>
                <w:snapToGrid w:val="0"/>
                <w:color w:val="auto"/>
                <w:sz w:val="21"/>
                <w:szCs w:val="21"/>
              </w:rPr>
              <w:t xml:space="preserve">      c——活性炭削减的VOCs浓度，mg/m</w:t>
            </w:r>
            <w:r>
              <w:rPr>
                <w:snapToGrid w:val="0"/>
                <w:color w:val="auto"/>
                <w:sz w:val="21"/>
                <w:szCs w:val="21"/>
                <w:vertAlign w:val="superscript"/>
              </w:rPr>
              <w:t>3</w:t>
            </w:r>
            <w:r>
              <w:rPr>
                <w:snapToGrid w:val="0"/>
                <w:color w:val="auto"/>
                <w:sz w:val="21"/>
                <w:szCs w:val="21"/>
              </w:rPr>
              <w:t>；</w:t>
            </w:r>
          </w:p>
          <w:p>
            <w:pPr>
              <w:pStyle w:val="28"/>
              <w:tabs>
                <w:tab w:val="left" w:pos="253"/>
                <w:tab w:val="right" w:pos="8088"/>
              </w:tabs>
              <w:spacing w:line="360" w:lineRule="auto"/>
              <w:ind w:firstLine="420"/>
              <w:rPr>
                <w:snapToGrid w:val="0"/>
                <w:color w:val="auto"/>
                <w:sz w:val="21"/>
                <w:szCs w:val="21"/>
              </w:rPr>
            </w:pPr>
            <w:r>
              <w:rPr>
                <w:snapToGrid w:val="0"/>
                <w:color w:val="auto"/>
                <w:sz w:val="21"/>
                <w:szCs w:val="21"/>
              </w:rPr>
              <w:t xml:space="preserve">      Q——风量，m</w:t>
            </w:r>
            <w:r>
              <w:rPr>
                <w:snapToGrid w:val="0"/>
                <w:color w:val="auto"/>
                <w:sz w:val="21"/>
                <w:szCs w:val="21"/>
                <w:vertAlign w:val="superscript"/>
              </w:rPr>
              <w:t>3</w:t>
            </w:r>
            <w:r>
              <w:rPr>
                <w:snapToGrid w:val="0"/>
                <w:color w:val="auto"/>
                <w:sz w:val="21"/>
                <w:szCs w:val="21"/>
              </w:rPr>
              <w:t>/h；</w:t>
            </w:r>
          </w:p>
          <w:p>
            <w:pPr>
              <w:pStyle w:val="28"/>
              <w:tabs>
                <w:tab w:val="left" w:pos="253"/>
                <w:tab w:val="left" w:pos="3818"/>
              </w:tabs>
              <w:spacing w:line="360" w:lineRule="auto"/>
              <w:ind w:firstLine="420"/>
              <w:rPr>
                <w:snapToGrid w:val="0"/>
                <w:color w:val="auto"/>
                <w:sz w:val="21"/>
                <w:szCs w:val="21"/>
              </w:rPr>
            </w:pPr>
            <w:r>
              <w:rPr>
                <w:snapToGrid w:val="0"/>
                <w:color w:val="auto"/>
                <w:sz w:val="21"/>
                <w:szCs w:val="21"/>
              </w:rPr>
              <w:t xml:space="preserve">      t——运行时间，h/d。</w:t>
            </w:r>
          </w:p>
          <w:p>
            <w:pPr>
              <w:pStyle w:val="28"/>
              <w:tabs>
                <w:tab w:val="left" w:pos="253"/>
                <w:tab w:val="left" w:pos="3818"/>
              </w:tabs>
              <w:spacing w:line="360" w:lineRule="auto"/>
              <w:ind w:firstLine="420"/>
              <w:rPr>
                <w:snapToGrid w:val="0"/>
                <w:color w:val="auto"/>
                <w:sz w:val="21"/>
                <w:szCs w:val="21"/>
              </w:rPr>
            </w:pPr>
            <w:r>
              <w:rPr>
                <w:snapToGrid w:val="0"/>
                <w:color w:val="auto"/>
                <w:sz w:val="21"/>
                <w:szCs w:val="21"/>
              </w:rPr>
              <w:t>本项目</w:t>
            </w:r>
            <w:r>
              <w:rPr>
                <w:rFonts w:hint="eastAsia"/>
                <w:snapToGrid w:val="0"/>
                <w:color w:val="auto"/>
                <w:sz w:val="21"/>
                <w:szCs w:val="21"/>
              </w:rPr>
              <w:t>清洗</w:t>
            </w:r>
            <w:r>
              <w:rPr>
                <w:snapToGrid w:val="0"/>
                <w:color w:val="auto"/>
                <w:sz w:val="21"/>
                <w:szCs w:val="21"/>
              </w:rPr>
              <w:t>废气处理活性炭更换周期情况如下表：</w:t>
            </w:r>
          </w:p>
          <w:p>
            <w:pPr>
              <w:pStyle w:val="28"/>
              <w:tabs>
                <w:tab w:val="left" w:pos="253"/>
                <w:tab w:val="left" w:pos="3818"/>
              </w:tabs>
              <w:jc w:val="center"/>
              <w:rPr>
                <w:b/>
                <w:color w:val="auto"/>
                <w:sz w:val="21"/>
                <w:szCs w:val="21"/>
              </w:rPr>
            </w:pPr>
            <w:r>
              <w:rPr>
                <w:b/>
                <w:color w:val="auto"/>
                <w:sz w:val="21"/>
                <w:szCs w:val="21"/>
                <w:lang w:val="zh-CN"/>
              </w:rPr>
              <w:t>表4-</w:t>
            </w:r>
            <w:r>
              <w:rPr>
                <w:rFonts w:hint="eastAsia"/>
                <w:b/>
                <w:color w:val="auto"/>
                <w:sz w:val="21"/>
                <w:szCs w:val="21"/>
              </w:rPr>
              <w:t>9</w:t>
            </w:r>
            <w:r>
              <w:rPr>
                <w:b/>
                <w:color w:val="auto"/>
                <w:sz w:val="21"/>
                <w:szCs w:val="21"/>
                <w:lang w:val="zh-CN"/>
              </w:rPr>
              <w:t xml:space="preserve"> 二级活性炭</w:t>
            </w:r>
            <w:r>
              <w:rPr>
                <w:b/>
                <w:color w:val="auto"/>
                <w:sz w:val="21"/>
                <w:szCs w:val="21"/>
              </w:rPr>
              <w:t>更换周期计算表</w:t>
            </w:r>
          </w:p>
          <w:tbl>
            <w:tblPr>
              <w:tblStyle w:val="37"/>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361"/>
              <w:gridCol w:w="1361"/>
              <w:gridCol w:w="1362"/>
              <w:gridCol w:w="1362"/>
              <w:gridCol w:w="1363"/>
              <w:gridCol w:w="1364"/>
              <w:gridCol w:w="1234"/>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309" w:type="dxa"/>
                  <w:vAlign w:val="center"/>
                </w:tcPr>
                <w:p>
                  <w:pPr>
                    <w:pStyle w:val="28"/>
                    <w:tabs>
                      <w:tab w:val="left" w:pos="253"/>
                      <w:tab w:val="left" w:pos="3818"/>
                    </w:tabs>
                    <w:jc w:val="center"/>
                    <w:rPr>
                      <w:b/>
                      <w:color w:val="auto"/>
                      <w:szCs w:val="18"/>
                    </w:rPr>
                  </w:pPr>
                  <w:r>
                    <w:rPr>
                      <w:b/>
                      <w:color w:val="auto"/>
                      <w:szCs w:val="18"/>
                    </w:rPr>
                    <w:t>序号</w:t>
                  </w:r>
                </w:p>
              </w:tc>
              <w:tc>
                <w:tcPr>
                  <w:tcW w:w="1309" w:type="dxa"/>
                  <w:vAlign w:val="center"/>
                </w:tcPr>
                <w:p>
                  <w:pPr>
                    <w:pStyle w:val="28"/>
                    <w:tabs>
                      <w:tab w:val="left" w:pos="253"/>
                      <w:tab w:val="left" w:pos="3818"/>
                    </w:tabs>
                    <w:jc w:val="center"/>
                    <w:rPr>
                      <w:b/>
                      <w:color w:val="auto"/>
                      <w:szCs w:val="18"/>
                    </w:rPr>
                  </w:pPr>
                  <w:r>
                    <w:rPr>
                      <w:b/>
                      <w:color w:val="auto"/>
                      <w:szCs w:val="18"/>
                    </w:rPr>
                    <w:t>活性炭用量（kg）</w:t>
                  </w:r>
                </w:p>
              </w:tc>
              <w:tc>
                <w:tcPr>
                  <w:tcW w:w="1310" w:type="dxa"/>
                  <w:vAlign w:val="center"/>
                </w:tcPr>
                <w:p>
                  <w:pPr>
                    <w:pStyle w:val="28"/>
                    <w:tabs>
                      <w:tab w:val="left" w:pos="253"/>
                      <w:tab w:val="left" w:pos="3818"/>
                    </w:tabs>
                    <w:jc w:val="center"/>
                    <w:rPr>
                      <w:b/>
                      <w:color w:val="auto"/>
                      <w:szCs w:val="18"/>
                    </w:rPr>
                  </w:pPr>
                  <w:r>
                    <w:rPr>
                      <w:b/>
                      <w:color w:val="auto"/>
                      <w:szCs w:val="18"/>
                    </w:rPr>
                    <w:t>动态吸附量（%）</w:t>
                  </w:r>
                </w:p>
              </w:tc>
              <w:tc>
                <w:tcPr>
                  <w:tcW w:w="1310" w:type="dxa"/>
                  <w:vAlign w:val="center"/>
                </w:tcPr>
                <w:p>
                  <w:pPr>
                    <w:pStyle w:val="28"/>
                    <w:tabs>
                      <w:tab w:val="left" w:pos="253"/>
                      <w:tab w:val="left" w:pos="3818"/>
                    </w:tabs>
                    <w:jc w:val="center"/>
                    <w:rPr>
                      <w:b/>
                      <w:color w:val="auto"/>
                      <w:szCs w:val="18"/>
                    </w:rPr>
                  </w:pPr>
                  <w:r>
                    <w:rPr>
                      <w:b/>
                      <w:color w:val="auto"/>
                      <w:szCs w:val="18"/>
                    </w:rPr>
                    <w:t>活性炭削减VOCs浓度（</w:t>
                  </w:r>
                  <w:r>
                    <w:rPr>
                      <w:b/>
                      <w:snapToGrid w:val="0"/>
                      <w:color w:val="auto"/>
                      <w:szCs w:val="18"/>
                    </w:rPr>
                    <w:t>mg/m</w:t>
                  </w:r>
                  <w:r>
                    <w:rPr>
                      <w:b/>
                      <w:snapToGrid w:val="0"/>
                      <w:color w:val="auto"/>
                      <w:szCs w:val="18"/>
                      <w:vertAlign w:val="superscript"/>
                    </w:rPr>
                    <w:t>3</w:t>
                  </w:r>
                  <w:r>
                    <w:rPr>
                      <w:b/>
                      <w:color w:val="auto"/>
                      <w:szCs w:val="18"/>
                    </w:rPr>
                    <w:t>）</w:t>
                  </w:r>
                </w:p>
              </w:tc>
              <w:tc>
                <w:tcPr>
                  <w:tcW w:w="1311" w:type="dxa"/>
                  <w:vAlign w:val="center"/>
                </w:tcPr>
                <w:p>
                  <w:pPr>
                    <w:pStyle w:val="28"/>
                    <w:tabs>
                      <w:tab w:val="left" w:pos="253"/>
                      <w:tab w:val="left" w:pos="3818"/>
                    </w:tabs>
                    <w:jc w:val="center"/>
                    <w:rPr>
                      <w:b/>
                      <w:color w:val="auto"/>
                      <w:szCs w:val="18"/>
                    </w:rPr>
                  </w:pPr>
                  <w:r>
                    <w:rPr>
                      <w:b/>
                      <w:color w:val="auto"/>
                      <w:szCs w:val="18"/>
                    </w:rPr>
                    <w:t>风量（</w:t>
                  </w:r>
                  <w:r>
                    <w:rPr>
                      <w:b/>
                      <w:snapToGrid w:val="0"/>
                      <w:color w:val="auto"/>
                      <w:szCs w:val="18"/>
                    </w:rPr>
                    <w:t>m</w:t>
                  </w:r>
                  <w:r>
                    <w:rPr>
                      <w:b/>
                      <w:snapToGrid w:val="0"/>
                      <w:color w:val="auto"/>
                      <w:szCs w:val="18"/>
                      <w:vertAlign w:val="superscript"/>
                    </w:rPr>
                    <w:t>3</w:t>
                  </w:r>
                  <w:r>
                    <w:rPr>
                      <w:b/>
                      <w:snapToGrid w:val="0"/>
                      <w:color w:val="auto"/>
                      <w:szCs w:val="18"/>
                    </w:rPr>
                    <w:t>/h</w:t>
                  </w:r>
                  <w:r>
                    <w:rPr>
                      <w:b/>
                      <w:color w:val="auto"/>
                      <w:szCs w:val="18"/>
                    </w:rPr>
                    <w:t>）</w:t>
                  </w:r>
                </w:p>
              </w:tc>
              <w:tc>
                <w:tcPr>
                  <w:tcW w:w="1311" w:type="dxa"/>
                  <w:vAlign w:val="center"/>
                </w:tcPr>
                <w:p>
                  <w:pPr>
                    <w:pStyle w:val="28"/>
                    <w:tabs>
                      <w:tab w:val="left" w:pos="253"/>
                      <w:tab w:val="left" w:pos="3818"/>
                    </w:tabs>
                    <w:jc w:val="center"/>
                    <w:rPr>
                      <w:b/>
                      <w:color w:val="auto"/>
                      <w:szCs w:val="18"/>
                    </w:rPr>
                  </w:pPr>
                  <w:r>
                    <w:rPr>
                      <w:b/>
                      <w:color w:val="auto"/>
                      <w:szCs w:val="18"/>
                    </w:rPr>
                    <w:t>运行时间（</w:t>
                  </w:r>
                  <w:r>
                    <w:rPr>
                      <w:b/>
                      <w:snapToGrid w:val="0"/>
                      <w:color w:val="auto"/>
                      <w:szCs w:val="18"/>
                    </w:rPr>
                    <w:t>h/d</w:t>
                  </w:r>
                  <w:r>
                    <w:rPr>
                      <w:b/>
                      <w:color w:val="auto"/>
                      <w:szCs w:val="18"/>
                    </w:rPr>
                    <w:t>）</w:t>
                  </w:r>
                </w:p>
              </w:tc>
              <w:tc>
                <w:tcPr>
                  <w:tcW w:w="1186" w:type="dxa"/>
                  <w:vAlign w:val="center"/>
                </w:tcPr>
                <w:p>
                  <w:pPr>
                    <w:pStyle w:val="28"/>
                    <w:tabs>
                      <w:tab w:val="left" w:pos="253"/>
                      <w:tab w:val="left" w:pos="3818"/>
                    </w:tabs>
                    <w:jc w:val="center"/>
                    <w:rPr>
                      <w:b/>
                      <w:color w:val="auto"/>
                      <w:szCs w:val="18"/>
                    </w:rPr>
                  </w:pPr>
                  <w:r>
                    <w:rPr>
                      <w:b/>
                      <w:color w:val="auto"/>
                      <w:szCs w:val="18"/>
                    </w:rPr>
                    <w:t>更换周期（天）</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309" w:type="dxa"/>
                  <w:vAlign w:val="center"/>
                </w:tcPr>
                <w:p>
                  <w:pPr>
                    <w:pStyle w:val="28"/>
                    <w:tabs>
                      <w:tab w:val="left" w:pos="253"/>
                      <w:tab w:val="left" w:pos="3818"/>
                    </w:tabs>
                    <w:jc w:val="center"/>
                    <w:rPr>
                      <w:bCs/>
                      <w:color w:val="auto"/>
                      <w:szCs w:val="18"/>
                    </w:rPr>
                  </w:pPr>
                  <w:r>
                    <w:rPr>
                      <w:rFonts w:hint="eastAsia"/>
                      <w:bCs/>
                      <w:color w:val="auto"/>
                      <w:szCs w:val="18"/>
                    </w:rPr>
                    <w:t>生产车间</w:t>
                  </w:r>
                </w:p>
              </w:tc>
              <w:tc>
                <w:tcPr>
                  <w:tcW w:w="1309" w:type="dxa"/>
                  <w:vAlign w:val="center"/>
                </w:tcPr>
                <w:p>
                  <w:pPr>
                    <w:pStyle w:val="28"/>
                    <w:tabs>
                      <w:tab w:val="left" w:pos="253"/>
                      <w:tab w:val="left" w:pos="3818"/>
                    </w:tabs>
                    <w:jc w:val="center"/>
                    <w:rPr>
                      <w:bCs/>
                      <w:color w:val="auto"/>
                      <w:szCs w:val="18"/>
                    </w:rPr>
                  </w:pPr>
                  <w:r>
                    <w:rPr>
                      <w:rFonts w:hint="eastAsia"/>
                      <w:bCs/>
                      <w:color w:val="auto"/>
                      <w:szCs w:val="18"/>
                    </w:rPr>
                    <w:t>400</w:t>
                  </w:r>
                </w:p>
              </w:tc>
              <w:tc>
                <w:tcPr>
                  <w:tcW w:w="1310" w:type="dxa"/>
                  <w:vAlign w:val="center"/>
                </w:tcPr>
                <w:p>
                  <w:pPr>
                    <w:pStyle w:val="28"/>
                    <w:tabs>
                      <w:tab w:val="left" w:pos="253"/>
                      <w:tab w:val="left" w:pos="3818"/>
                    </w:tabs>
                    <w:jc w:val="center"/>
                    <w:rPr>
                      <w:bCs/>
                      <w:color w:val="auto"/>
                      <w:szCs w:val="18"/>
                    </w:rPr>
                  </w:pPr>
                  <w:r>
                    <w:rPr>
                      <w:bCs/>
                      <w:color w:val="auto"/>
                      <w:szCs w:val="18"/>
                    </w:rPr>
                    <w:t>10</w:t>
                  </w:r>
                </w:p>
              </w:tc>
              <w:tc>
                <w:tcPr>
                  <w:tcW w:w="1310" w:type="dxa"/>
                  <w:vAlign w:val="center"/>
                </w:tcPr>
                <w:p>
                  <w:pPr>
                    <w:pStyle w:val="28"/>
                    <w:tabs>
                      <w:tab w:val="left" w:pos="253"/>
                      <w:tab w:val="left" w:pos="3818"/>
                    </w:tabs>
                    <w:jc w:val="center"/>
                    <w:rPr>
                      <w:bCs/>
                      <w:color w:val="auto"/>
                      <w:szCs w:val="18"/>
                    </w:rPr>
                  </w:pPr>
                  <w:r>
                    <w:rPr>
                      <w:rFonts w:hint="eastAsia"/>
                      <w:bCs/>
                      <w:color w:val="auto"/>
                      <w:szCs w:val="18"/>
                    </w:rPr>
                    <w:t>0.244</w:t>
                  </w:r>
                </w:p>
              </w:tc>
              <w:tc>
                <w:tcPr>
                  <w:tcW w:w="1311" w:type="dxa"/>
                  <w:vAlign w:val="center"/>
                </w:tcPr>
                <w:p>
                  <w:pPr>
                    <w:pStyle w:val="28"/>
                    <w:tabs>
                      <w:tab w:val="left" w:pos="253"/>
                      <w:tab w:val="left" w:pos="3818"/>
                    </w:tabs>
                    <w:jc w:val="center"/>
                    <w:rPr>
                      <w:bCs/>
                      <w:color w:val="auto"/>
                      <w:szCs w:val="18"/>
                    </w:rPr>
                  </w:pPr>
                  <w:r>
                    <w:rPr>
                      <w:rFonts w:hint="eastAsia"/>
                      <w:bCs/>
                      <w:color w:val="auto"/>
                      <w:szCs w:val="18"/>
                    </w:rPr>
                    <w:t>26000</w:t>
                  </w:r>
                </w:p>
              </w:tc>
              <w:tc>
                <w:tcPr>
                  <w:tcW w:w="1311" w:type="dxa"/>
                  <w:vAlign w:val="center"/>
                </w:tcPr>
                <w:p>
                  <w:pPr>
                    <w:pStyle w:val="28"/>
                    <w:tabs>
                      <w:tab w:val="left" w:pos="253"/>
                      <w:tab w:val="left" w:pos="3818"/>
                    </w:tabs>
                    <w:jc w:val="center"/>
                    <w:rPr>
                      <w:bCs/>
                      <w:color w:val="auto"/>
                      <w:szCs w:val="18"/>
                    </w:rPr>
                  </w:pPr>
                  <w:r>
                    <w:rPr>
                      <w:rFonts w:hint="eastAsia"/>
                      <w:bCs/>
                      <w:color w:val="auto"/>
                      <w:szCs w:val="18"/>
                    </w:rPr>
                    <w:t>24</w:t>
                  </w:r>
                </w:p>
              </w:tc>
              <w:tc>
                <w:tcPr>
                  <w:tcW w:w="1186" w:type="dxa"/>
                  <w:vAlign w:val="center"/>
                </w:tcPr>
                <w:p>
                  <w:pPr>
                    <w:pStyle w:val="28"/>
                    <w:tabs>
                      <w:tab w:val="left" w:pos="253"/>
                      <w:tab w:val="left" w:pos="3818"/>
                    </w:tabs>
                    <w:jc w:val="center"/>
                    <w:rPr>
                      <w:bCs/>
                      <w:color w:val="auto"/>
                      <w:szCs w:val="18"/>
                    </w:rPr>
                  </w:pPr>
                  <w:r>
                    <w:rPr>
                      <w:rFonts w:hint="eastAsia"/>
                      <w:bCs/>
                      <w:color w:val="auto"/>
                      <w:szCs w:val="18"/>
                    </w:rPr>
                    <w:t>262</w:t>
                  </w:r>
                </w:p>
              </w:tc>
            </w:tr>
          </w:tbl>
          <w:p>
            <w:pPr>
              <w:pStyle w:val="28"/>
              <w:tabs>
                <w:tab w:val="left" w:pos="253"/>
                <w:tab w:val="right" w:pos="8088"/>
              </w:tabs>
              <w:adjustRightInd w:val="0"/>
              <w:snapToGrid w:val="0"/>
              <w:spacing w:line="360" w:lineRule="auto"/>
              <w:ind w:firstLine="420" w:firstLineChars="200"/>
              <w:rPr>
                <w:snapToGrid w:val="0"/>
                <w:color w:val="auto"/>
                <w:sz w:val="21"/>
                <w:szCs w:val="21"/>
              </w:rPr>
            </w:pPr>
            <w:r>
              <w:rPr>
                <w:snapToGrid w:val="0"/>
                <w:color w:val="auto"/>
                <w:sz w:val="21"/>
                <w:szCs w:val="21"/>
              </w:rPr>
              <w:t>根据《省生态环境厅关于深入开展涉VOCs治理重点工作核查的通知》（苏环办[2022]218号），活性炭更换周期一般不应超过累计运行500小时或3个月。本项目年工作300天，根据上表计算出的更换周期，得出项目活性炭吸附装置的更换周期为</w:t>
            </w:r>
            <w:r>
              <w:rPr>
                <w:rFonts w:hint="eastAsia"/>
                <w:snapToGrid w:val="0"/>
                <w:color w:val="auto"/>
                <w:sz w:val="21"/>
                <w:szCs w:val="21"/>
              </w:rPr>
              <w:t>262</w:t>
            </w:r>
            <w:r>
              <w:rPr>
                <w:snapToGrid w:val="0"/>
                <w:color w:val="auto"/>
                <w:sz w:val="21"/>
                <w:szCs w:val="21"/>
              </w:rPr>
              <w:t>天，本项目实际更换频次</w:t>
            </w:r>
            <w:r>
              <w:rPr>
                <w:rFonts w:hint="eastAsia"/>
                <w:snapToGrid w:val="0"/>
                <w:color w:val="auto"/>
                <w:sz w:val="21"/>
                <w:szCs w:val="21"/>
              </w:rPr>
              <w:t>按照每3个月更换一次，一年更换4</w:t>
            </w:r>
            <w:r>
              <w:rPr>
                <w:snapToGrid w:val="0"/>
                <w:color w:val="auto"/>
                <w:sz w:val="21"/>
                <w:szCs w:val="21"/>
              </w:rPr>
              <w:t>次；则废活性产生量为</w:t>
            </w:r>
            <w:r>
              <w:rPr>
                <w:rFonts w:hint="eastAsia"/>
                <w:snapToGrid w:val="0"/>
                <w:color w:val="auto"/>
                <w:sz w:val="21"/>
                <w:szCs w:val="21"/>
              </w:rPr>
              <w:t>0.4*4</w:t>
            </w:r>
            <w:r>
              <w:rPr>
                <w:snapToGrid w:val="0"/>
                <w:color w:val="auto"/>
                <w:sz w:val="21"/>
                <w:szCs w:val="21"/>
              </w:rPr>
              <w:t>+0.</w:t>
            </w:r>
            <w:r>
              <w:rPr>
                <w:rFonts w:hint="eastAsia"/>
                <w:snapToGrid w:val="0"/>
                <w:color w:val="auto"/>
                <w:sz w:val="21"/>
                <w:szCs w:val="21"/>
              </w:rPr>
              <w:t>0456</w:t>
            </w:r>
            <w:r>
              <w:rPr>
                <w:snapToGrid w:val="0"/>
                <w:color w:val="auto"/>
                <w:sz w:val="21"/>
                <w:szCs w:val="21"/>
              </w:rPr>
              <w:t>=</w:t>
            </w:r>
            <w:r>
              <w:rPr>
                <w:rFonts w:hint="eastAsia"/>
                <w:snapToGrid w:val="0"/>
                <w:color w:val="auto"/>
                <w:sz w:val="21"/>
                <w:szCs w:val="21"/>
              </w:rPr>
              <w:t>1.6456</w:t>
            </w:r>
            <w:r>
              <w:rPr>
                <w:snapToGrid w:val="0"/>
                <w:color w:val="auto"/>
                <w:sz w:val="21"/>
                <w:szCs w:val="21"/>
              </w:rPr>
              <w:t>t/a。</w:t>
            </w:r>
          </w:p>
          <w:p>
            <w:pPr>
              <w:pStyle w:val="28"/>
              <w:tabs>
                <w:tab w:val="left" w:pos="253"/>
                <w:tab w:val="right" w:pos="8088"/>
              </w:tabs>
              <w:adjustRightInd w:val="0"/>
              <w:snapToGrid w:val="0"/>
              <w:spacing w:line="360" w:lineRule="auto"/>
              <w:ind w:firstLine="420" w:firstLineChars="200"/>
              <w:rPr>
                <w:snapToGrid w:val="0"/>
                <w:color w:val="auto"/>
                <w:sz w:val="21"/>
                <w:szCs w:val="21"/>
              </w:rPr>
            </w:pPr>
            <w:r>
              <w:rPr>
                <w:snapToGrid w:val="0"/>
                <w:color w:val="auto"/>
                <w:sz w:val="21"/>
                <w:szCs w:val="21"/>
              </w:rPr>
              <w:t>综上，本项目二级活性炭吸附装置参数如下。</w:t>
            </w:r>
          </w:p>
          <w:p>
            <w:pPr>
              <w:pStyle w:val="28"/>
              <w:jc w:val="center"/>
              <w:rPr>
                <w:b/>
                <w:color w:val="auto"/>
                <w:sz w:val="21"/>
                <w:szCs w:val="21"/>
                <w:lang w:val="zh-CN"/>
              </w:rPr>
            </w:pPr>
            <w:r>
              <w:rPr>
                <w:b/>
                <w:color w:val="auto"/>
                <w:sz w:val="21"/>
                <w:szCs w:val="21"/>
                <w:lang w:val="zh-CN"/>
              </w:rPr>
              <w:t>表4-</w:t>
            </w:r>
            <w:r>
              <w:rPr>
                <w:rFonts w:hint="eastAsia"/>
                <w:b/>
                <w:color w:val="auto"/>
                <w:sz w:val="21"/>
                <w:szCs w:val="21"/>
              </w:rPr>
              <w:t>10</w:t>
            </w:r>
            <w:r>
              <w:rPr>
                <w:b/>
                <w:color w:val="auto"/>
                <w:sz w:val="21"/>
                <w:szCs w:val="21"/>
              </w:rPr>
              <w:t xml:space="preserve"> </w:t>
            </w:r>
            <w:r>
              <w:rPr>
                <w:b/>
                <w:color w:val="auto"/>
                <w:sz w:val="21"/>
                <w:szCs w:val="21"/>
                <w:lang w:val="zh-CN"/>
              </w:rPr>
              <w:t xml:space="preserve"> 二级活性炭吸附装置技术参数一览表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820"/>
              <w:gridCol w:w="1526"/>
              <w:gridCol w:w="2092"/>
              <w:gridCol w:w="496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Align w:val="center"/>
                </w:tcPr>
                <w:p>
                  <w:pPr>
                    <w:adjustRightInd w:val="0"/>
                    <w:snapToGrid w:val="0"/>
                    <w:jc w:val="center"/>
                    <w:rPr>
                      <w:b/>
                      <w:bCs/>
                      <w:snapToGrid w:val="0"/>
                      <w:color w:val="auto"/>
                      <w:kern w:val="0"/>
                      <w:sz w:val="18"/>
                      <w:szCs w:val="18"/>
                    </w:rPr>
                  </w:pPr>
                  <w:r>
                    <w:rPr>
                      <w:b/>
                      <w:bCs/>
                      <w:snapToGrid w:val="0"/>
                      <w:color w:val="auto"/>
                      <w:kern w:val="0"/>
                      <w:sz w:val="18"/>
                      <w:szCs w:val="18"/>
                    </w:rPr>
                    <w:t>序号</w:t>
                  </w:r>
                </w:p>
              </w:tc>
              <w:tc>
                <w:tcPr>
                  <w:tcW w:w="1923" w:type="pct"/>
                  <w:gridSpan w:val="2"/>
                  <w:vAlign w:val="center"/>
                </w:tcPr>
                <w:p>
                  <w:pPr>
                    <w:adjustRightInd w:val="0"/>
                    <w:snapToGrid w:val="0"/>
                    <w:jc w:val="center"/>
                    <w:rPr>
                      <w:b/>
                      <w:bCs/>
                      <w:snapToGrid w:val="0"/>
                      <w:color w:val="auto"/>
                      <w:kern w:val="0"/>
                      <w:sz w:val="18"/>
                      <w:szCs w:val="18"/>
                    </w:rPr>
                  </w:pPr>
                  <w:r>
                    <w:rPr>
                      <w:b/>
                      <w:bCs/>
                      <w:snapToGrid w:val="0"/>
                      <w:color w:val="auto"/>
                      <w:kern w:val="0"/>
                      <w:sz w:val="18"/>
                      <w:szCs w:val="18"/>
                    </w:rPr>
                    <w:t>参数</w:t>
                  </w:r>
                </w:p>
              </w:tc>
              <w:tc>
                <w:tcPr>
                  <w:tcW w:w="2641" w:type="pct"/>
                  <w:vAlign w:val="center"/>
                </w:tcPr>
                <w:p>
                  <w:pPr>
                    <w:adjustRightInd w:val="0"/>
                    <w:snapToGrid w:val="0"/>
                    <w:jc w:val="center"/>
                    <w:rPr>
                      <w:b/>
                      <w:bCs/>
                      <w:snapToGrid w:val="0"/>
                      <w:color w:val="auto"/>
                      <w:kern w:val="0"/>
                      <w:sz w:val="18"/>
                      <w:szCs w:val="18"/>
                    </w:rPr>
                  </w:pPr>
                  <w:r>
                    <w:rPr>
                      <w:b/>
                      <w:bCs/>
                      <w:snapToGrid w:val="0"/>
                      <w:color w:val="auto"/>
                      <w:kern w:val="0"/>
                      <w:sz w:val="18"/>
                      <w:szCs w:val="18"/>
                    </w:rPr>
                    <w:t>数值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restart"/>
                  <w:vAlign w:val="center"/>
                </w:tcPr>
                <w:p>
                  <w:pPr>
                    <w:adjustRightInd w:val="0"/>
                    <w:snapToGrid w:val="0"/>
                    <w:jc w:val="center"/>
                    <w:rPr>
                      <w:snapToGrid w:val="0"/>
                      <w:color w:val="auto"/>
                      <w:kern w:val="0"/>
                      <w:sz w:val="18"/>
                      <w:szCs w:val="18"/>
                    </w:rPr>
                  </w:pPr>
                  <w:r>
                    <w:rPr>
                      <w:rFonts w:hint="eastAsia"/>
                      <w:snapToGrid w:val="0"/>
                      <w:color w:val="auto"/>
                      <w:kern w:val="0"/>
                      <w:sz w:val="18"/>
                      <w:szCs w:val="18"/>
                    </w:rPr>
                    <w:t>生产车间</w:t>
                  </w:r>
                </w:p>
              </w:tc>
              <w:tc>
                <w:tcPr>
                  <w:tcW w:w="811" w:type="pct"/>
                  <w:vMerge w:val="restart"/>
                  <w:vAlign w:val="center"/>
                </w:tcPr>
                <w:p>
                  <w:pPr>
                    <w:adjustRightInd w:val="0"/>
                    <w:snapToGrid w:val="0"/>
                    <w:jc w:val="center"/>
                    <w:rPr>
                      <w:snapToGrid w:val="0"/>
                      <w:color w:val="auto"/>
                      <w:kern w:val="0"/>
                      <w:sz w:val="18"/>
                      <w:szCs w:val="18"/>
                    </w:rPr>
                  </w:pPr>
                  <w:r>
                    <w:rPr>
                      <w:snapToGrid w:val="0"/>
                      <w:color w:val="auto"/>
                      <w:kern w:val="0"/>
                      <w:sz w:val="18"/>
                      <w:szCs w:val="18"/>
                    </w:rPr>
                    <w:t>一级活性炭</w:t>
                  </w: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箱体尺寸</w:t>
                  </w:r>
                </w:p>
              </w:tc>
              <w:tc>
                <w:tcPr>
                  <w:tcW w:w="2641" w:type="pct"/>
                  <w:vAlign w:val="center"/>
                </w:tcPr>
                <w:p>
                  <w:pPr>
                    <w:adjustRightInd w:val="0"/>
                    <w:snapToGrid w:val="0"/>
                    <w:jc w:val="center"/>
                    <w:rPr>
                      <w:snapToGrid w:val="0"/>
                      <w:color w:val="auto"/>
                      <w:kern w:val="0"/>
                      <w:sz w:val="18"/>
                      <w:szCs w:val="18"/>
                    </w:rPr>
                  </w:pPr>
                  <w:r>
                    <w:rPr>
                      <w:snapToGrid w:val="0"/>
                      <w:color w:val="auto"/>
                      <w:kern w:val="0"/>
                      <w:sz w:val="18"/>
                      <w:szCs w:val="18"/>
                    </w:rPr>
                    <w:t>L</w:t>
                  </w:r>
                  <w:r>
                    <w:rPr>
                      <w:rFonts w:hint="eastAsia"/>
                      <w:snapToGrid w:val="0"/>
                      <w:color w:val="auto"/>
                      <w:kern w:val="0"/>
                      <w:sz w:val="18"/>
                      <w:szCs w:val="18"/>
                      <w:lang w:val="en-US" w:eastAsia="zh-CN"/>
                    </w:rPr>
                    <w:t>4</w:t>
                  </w:r>
                  <w:r>
                    <w:rPr>
                      <w:rFonts w:hint="eastAsia"/>
                      <w:snapToGrid w:val="0"/>
                      <w:color w:val="auto"/>
                      <w:kern w:val="0"/>
                      <w:sz w:val="18"/>
                      <w:szCs w:val="18"/>
                    </w:rPr>
                    <w:t>0</w:t>
                  </w:r>
                  <w:r>
                    <w:rPr>
                      <w:snapToGrid w:val="0"/>
                      <w:color w:val="auto"/>
                      <w:kern w:val="0"/>
                      <w:sz w:val="18"/>
                      <w:szCs w:val="18"/>
                    </w:rPr>
                    <w:t>0</w:t>
                  </w:r>
                  <w:r>
                    <w:rPr>
                      <w:rFonts w:hint="eastAsia"/>
                      <w:snapToGrid w:val="0"/>
                      <w:color w:val="auto"/>
                      <w:kern w:val="0"/>
                      <w:sz w:val="18"/>
                      <w:szCs w:val="18"/>
                    </w:rPr>
                    <w:t>c</w:t>
                  </w:r>
                  <w:r>
                    <w:rPr>
                      <w:snapToGrid w:val="0"/>
                      <w:color w:val="auto"/>
                      <w:kern w:val="0"/>
                      <w:sz w:val="18"/>
                      <w:szCs w:val="18"/>
                    </w:rPr>
                    <w:t>m*W</w:t>
                  </w:r>
                  <w:r>
                    <w:rPr>
                      <w:rFonts w:hint="eastAsia"/>
                      <w:snapToGrid w:val="0"/>
                      <w:color w:val="auto"/>
                      <w:kern w:val="0"/>
                      <w:sz w:val="18"/>
                      <w:szCs w:val="18"/>
                    </w:rPr>
                    <w:t>25</w:t>
                  </w:r>
                  <w:r>
                    <w:rPr>
                      <w:snapToGrid w:val="0"/>
                      <w:color w:val="auto"/>
                      <w:kern w:val="0"/>
                      <w:sz w:val="18"/>
                      <w:szCs w:val="18"/>
                    </w:rPr>
                    <w:t>0</w:t>
                  </w:r>
                  <w:r>
                    <w:rPr>
                      <w:rFonts w:hint="eastAsia"/>
                      <w:snapToGrid w:val="0"/>
                      <w:color w:val="auto"/>
                      <w:kern w:val="0"/>
                      <w:sz w:val="18"/>
                      <w:szCs w:val="18"/>
                    </w:rPr>
                    <w:t>c</w:t>
                  </w:r>
                  <w:r>
                    <w:rPr>
                      <w:snapToGrid w:val="0"/>
                      <w:color w:val="auto"/>
                      <w:kern w:val="0"/>
                      <w:sz w:val="18"/>
                      <w:szCs w:val="18"/>
                    </w:rPr>
                    <w:t>m*H100</w:t>
                  </w:r>
                  <w:r>
                    <w:rPr>
                      <w:rFonts w:hint="eastAsia"/>
                      <w:snapToGrid w:val="0"/>
                      <w:color w:val="auto"/>
                      <w:kern w:val="0"/>
                      <w:sz w:val="18"/>
                      <w:szCs w:val="18"/>
                    </w:rPr>
                    <w:t>c</w:t>
                  </w:r>
                  <w:r>
                    <w:rPr>
                      <w:snapToGrid w:val="0"/>
                      <w:color w:val="auto"/>
                      <w:kern w:val="0"/>
                      <w:sz w:val="18"/>
                      <w:szCs w:val="18"/>
                    </w:rPr>
                    <w:t>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活性炭类型</w:t>
                  </w:r>
                </w:p>
              </w:tc>
              <w:tc>
                <w:tcPr>
                  <w:tcW w:w="2641" w:type="pct"/>
                  <w:vAlign w:val="center"/>
                </w:tcPr>
                <w:p>
                  <w:pPr>
                    <w:adjustRightInd w:val="0"/>
                    <w:snapToGrid w:val="0"/>
                    <w:jc w:val="center"/>
                    <w:rPr>
                      <w:snapToGrid w:val="0"/>
                      <w:color w:val="auto"/>
                      <w:kern w:val="0"/>
                      <w:sz w:val="18"/>
                      <w:szCs w:val="18"/>
                    </w:rPr>
                  </w:pPr>
                  <w:r>
                    <w:rPr>
                      <w:rFonts w:hint="eastAsia"/>
                      <w:snapToGrid w:val="0"/>
                      <w:color w:val="auto"/>
                      <w:kern w:val="0"/>
                      <w:sz w:val="18"/>
                      <w:szCs w:val="18"/>
                    </w:rPr>
                    <w:t>颗粒</w:t>
                  </w:r>
                  <w:r>
                    <w:rPr>
                      <w:snapToGrid w:val="0"/>
                      <w:color w:val="auto"/>
                      <w:kern w:val="0"/>
                      <w:sz w:val="18"/>
                      <w:szCs w:val="18"/>
                    </w:rPr>
                    <w:t>活性炭</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比表面积（m</w:t>
                  </w:r>
                  <w:r>
                    <w:rPr>
                      <w:snapToGrid w:val="0"/>
                      <w:color w:val="auto"/>
                      <w:kern w:val="0"/>
                      <w:sz w:val="18"/>
                      <w:szCs w:val="18"/>
                      <w:vertAlign w:val="superscript"/>
                    </w:rPr>
                    <w:t>2</w:t>
                  </w:r>
                  <w:r>
                    <w:rPr>
                      <w:snapToGrid w:val="0"/>
                      <w:color w:val="auto"/>
                      <w:kern w:val="0"/>
                      <w:sz w:val="18"/>
                      <w:szCs w:val="18"/>
                    </w:rPr>
                    <w:t>/g）</w:t>
                  </w:r>
                </w:p>
              </w:tc>
              <w:tc>
                <w:tcPr>
                  <w:tcW w:w="2641" w:type="pct"/>
                  <w:vAlign w:val="center"/>
                </w:tcPr>
                <w:p>
                  <w:pPr>
                    <w:adjustRightInd w:val="0"/>
                    <w:snapToGrid w:val="0"/>
                    <w:jc w:val="center"/>
                    <w:rPr>
                      <w:snapToGrid w:val="0"/>
                      <w:color w:val="auto"/>
                      <w:kern w:val="0"/>
                      <w:sz w:val="18"/>
                      <w:szCs w:val="18"/>
                    </w:rPr>
                  </w:pPr>
                  <w:r>
                    <w:rPr>
                      <w:snapToGrid w:val="0"/>
                      <w:color w:val="auto"/>
                      <w:kern w:val="0"/>
                      <w:sz w:val="18"/>
                      <w:szCs w:val="18"/>
                    </w:rPr>
                    <w:t>＞850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动态吸附量（%）</w:t>
                  </w:r>
                </w:p>
              </w:tc>
              <w:tc>
                <w:tcPr>
                  <w:tcW w:w="2641" w:type="pct"/>
                  <w:vAlign w:val="center"/>
                </w:tcPr>
                <w:p>
                  <w:pPr>
                    <w:adjustRightInd w:val="0"/>
                    <w:snapToGrid w:val="0"/>
                    <w:jc w:val="center"/>
                    <w:rPr>
                      <w:snapToGrid w:val="0"/>
                      <w:color w:val="auto"/>
                      <w:kern w:val="0"/>
                      <w:sz w:val="18"/>
                      <w:szCs w:val="18"/>
                    </w:rPr>
                  </w:pPr>
                  <w:r>
                    <w:rPr>
                      <w:snapToGrid w:val="0"/>
                      <w:color w:val="auto"/>
                      <w:kern w:val="0"/>
                      <w:sz w:val="18"/>
                      <w:szCs w:val="18"/>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一次装填量（t）</w:t>
                  </w:r>
                </w:p>
              </w:tc>
              <w:tc>
                <w:tcPr>
                  <w:tcW w:w="2641" w:type="pct"/>
                  <w:vAlign w:val="center"/>
                </w:tcPr>
                <w:p>
                  <w:pPr>
                    <w:adjustRightInd w:val="0"/>
                    <w:snapToGrid w:val="0"/>
                    <w:jc w:val="center"/>
                    <w:rPr>
                      <w:snapToGrid w:val="0"/>
                      <w:color w:val="auto"/>
                      <w:kern w:val="0"/>
                      <w:sz w:val="18"/>
                      <w:szCs w:val="18"/>
                    </w:rPr>
                  </w:pPr>
                  <w:r>
                    <w:rPr>
                      <w:snapToGrid w:val="0"/>
                      <w:color w:val="auto"/>
                      <w:kern w:val="0"/>
                      <w:sz w:val="18"/>
                      <w:szCs w:val="18"/>
                    </w:rPr>
                    <w:t>0.0</w:t>
                  </w:r>
                  <w:r>
                    <w:rPr>
                      <w:rFonts w:hint="eastAsia"/>
                      <w:snapToGrid w:val="0"/>
                      <w:color w:val="auto"/>
                      <w:kern w:val="0"/>
                      <w:sz w:val="18"/>
                      <w:szCs w:val="18"/>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color w:val="auto"/>
                      <w:sz w:val="18"/>
                      <w:szCs w:val="18"/>
                    </w:rPr>
                    <w:t>碘值</w:t>
                  </w:r>
                </w:p>
              </w:tc>
              <w:tc>
                <w:tcPr>
                  <w:tcW w:w="2641" w:type="pct"/>
                  <w:vAlign w:val="center"/>
                </w:tcPr>
                <w:p>
                  <w:pPr>
                    <w:adjustRightInd w:val="0"/>
                    <w:snapToGrid w:val="0"/>
                    <w:jc w:val="center"/>
                    <w:rPr>
                      <w:snapToGrid w:val="0"/>
                      <w:color w:val="auto"/>
                      <w:kern w:val="0"/>
                      <w:sz w:val="18"/>
                      <w:szCs w:val="18"/>
                    </w:rPr>
                  </w:pPr>
                  <w:r>
                    <w:rPr>
                      <w:color w:val="auto"/>
                      <w:sz w:val="18"/>
                      <w:szCs w:val="18"/>
                    </w:rPr>
                    <w:t>碘值≥800mg/g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更换频次</w:t>
                  </w:r>
                </w:p>
              </w:tc>
              <w:tc>
                <w:tcPr>
                  <w:tcW w:w="2641" w:type="pct"/>
                  <w:vAlign w:val="center"/>
                </w:tcPr>
                <w:p>
                  <w:pPr>
                    <w:adjustRightInd w:val="0"/>
                    <w:snapToGrid w:val="0"/>
                    <w:jc w:val="center"/>
                    <w:rPr>
                      <w:snapToGrid w:val="0"/>
                      <w:color w:val="auto"/>
                      <w:kern w:val="0"/>
                      <w:sz w:val="18"/>
                      <w:szCs w:val="18"/>
                    </w:rPr>
                  </w:pPr>
                  <w:r>
                    <w:rPr>
                      <w:snapToGrid w:val="0"/>
                      <w:color w:val="auto"/>
                      <w:kern w:val="0"/>
                      <w:sz w:val="18"/>
                      <w:szCs w:val="18"/>
                    </w:rPr>
                    <w:t>每年</w:t>
                  </w:r>
                  <w:r>
                    <w:rPr>
                      <w:rFonts w:hint="eastAsia"/>
                      <w:snapToGrid w:val="0"/>
                      <w:color w:val="auto"/>
                      <w:kern w:val="0"/>
                      <w:sz w:val="18"/>
                      <w:szCs w:val="18"/>
                    </w:rPr>
                    <w:t>4</w:t>
                  </w:r>
                  <w:r>
                    <w:rPr>
                      <w:snapToGrid w:val="0"/>
                      <w:color w:val="auto"/>
                      <w:kern w:val="0"/>
                      <w:sz w:val="18"/>
                      <w:szCs w:val="18"/>
                    </w:rPr>
                    <w:t>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restart"/>
                  <w:vAlign w:val="center"/>
                </w:tcPr>
                <w:p>
                  <w:pPr>
                    <w:adjustRightInd w:val="0"/>
                    <w:snapToGrid w:val="0"/>
                    <w:jc w:val="center"/>
                    <w:rPr>
                      <w:snapToGrid w:val="0"/>
                      <w:color w:val="auto"/>
                      <w:kern w:val="0"/>
                      <w:sz w:val="18"/>
                      <w:szCs w:val="18"/>
                    </w:rPr>
                  </w:pPr>
                  <w:r>
                    <w:rPr>
                      <w:snapToGrid w:val="0"/>
                      <w:color w:val="auto"/>
                      <w:kern w:val="0"/>
                      <w:sz w:val="18"/>
                      <w:szCs w:val="18"/>
                    </w:rPr>
                    <w:t>二级活性炭</w:t>
                  </w: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箱体尺寸</w:t>
                  </w:r>
                </w:p>
              </w:tc>
              <w:tc>
                <w:tcPr>
                  <w:tcW w:w="2641" w:type="pct"/>
                  <w:vAlign w:val="center"/>
                </w:tcPr>
                <w:p>
                  <w:pPr>
                    <w:adjustRightInd w:val="0"/>
                    <w:snapToGrid w:val="0"/>
                    <w:jc w:val="center"/>
                    <w:rPr>
                      <w:snapToGrid w:val="0"/>
                      <w:color w:val="auto"/>
                      <w:kern w:val="0"/>
                      <w:sz w:val="18"/>
                      <w:szCs w:val="18"/>
                    </w:rPr>
                  </w:pPr>
                  <w:r>
                    <w:rPr>
                      <w:snapToGrid w:val="0"/>
                      <w:color w:val="auto"/>
                      <w:kern w:val="0"/>
                      <w:sz w:val="18"/>
                      <w:szCs w:val="18"/>
                    </w:rPr>
                    <w:t>L</w:t>
                  </w:r>
                  <w:r>
                    <w:rPr>
                      <w:rFonts w:hint="eastAsia"/>
                      <w:snapToGrid w:val="0"/>
                      <w:color w:val="auto"/>
                      <w:kern w:val="0"/>
                      <w:sz w:val="18"/>
                      <w:szCs w:val="18"/>
                      <w:lang w:val="en-US" w:eastAsia="zh-CN"/>
                    </w:rPr>
                    <w:t>4</w:t>
                  </w:r>
                  <w:r>
                    <w:rPr>
                      <w:rFonts w:hint="eastAsia"/>
                      <w:snapToGrid w:val="0"/>
                      <w:color w:val="auto"/>
                      <w:kern w:val="0"/>
                      <w:sz w:val="18"/>
                      <w:szCs w:val="18"/>
                    </w:rPr>
                    <w:t>0</w:t>
                  </w:r>
                  <w:r>
                    <w:rPr>
                      <w:snapToGrid w:val="0"/>
                      <w:color w:val="auto"/>
                      <w:kern w:val="0"/>
                      <w:sz w:val="18"/>
                      <w:szCs w:val="18"/>
                    </w:rPr>
                    <w:t>0</w:t>
                  </w:r>
                  <w:r>
                    <w:rPr>
                      <w:rFonts w:hint="eastAsia"/>
                      <w:snapToGrid w:val="0"/>
                      <w:color w:val="auto"/>
                      <w:kern w:val="0"/>
                      <w:sz w:val="18"/>
                      <w:szCs w:val="18"/>
                    </w:rPr>
                    <w:t>c</w:t>
                  </w:r>
                  <w:r>
                    <w:rPr>
                      <w:snapToGrid w:val="0"/>
                      <w:color w:val="auto"/>
                      <w:kern w:val="0"/>
                      <w:sz w:val="18"/>
                      <w:szCs w:val="18"/>
                    </w:rPr>
                    <w:t>m*W</w:t>
                  </w:r>
                  <w:r>
                    <w:rPr>
                      <w:rFonts w:hint="eastAsia"/>
                      <w:snapToGrid w:val="0"/>
                      <w:color w:val="auto"/>
                      <w:kern w:val="0"/>
                      <w:sz w:val="18"/>
                      <w:szCs w:val="18"/>
                    </w:rPr>
                    <w:t>25</w:t>
                  </w:r>
                  <w:r>
                    <w:rPr>
                      <w:snapToGrid w:val="0"/>
                      <w:color w:val="auto"/>
                      <w:kern w:val="0"/>
                      <w:sz w:val="18"/>
                      <w:szCs w:val="18"/>
                    </w:rPr>
                    <w:t>0</w:t>
                  </w:r>
                  <w:r>
                    <w:rPr>
                      <w:rFonts w:hint="eastAsia"/>
                      <w:snapToGrid w:val="0"/>
                      <w:color w:val="auto"/>
                      <w:kern w:val="0"/>
                      <w:sz w:val="18"/>
                      <w:szCs w:val="18"/>
                    </w:rPr>
                    <w:t>c</w:t>
                  </w:r>
                  <w:r>
                    <w:rPr>
                      <w:snapToGrid w:val="0"/>
                      <w:color w:val="auto"/>
                      <w:kern w:val="0"/>
                      <w:sz w:val="18"/>
                      <w:szCs w:val="18"/>
                    </w:rPr>
                    <w:t>m*H100</w:t>
                  </w:r>
                  <w:r>
                    <w:rPr>
                      <w:rFonts w:hint="eastAsia"/>
                      <w:snapToGrid w:val="0"/>
                      <w:color w:val="auto"/>
                      <w:kern w:val="0"/>
                      <w:sz w:val="18"/>
                      <w:szCs w:val="18"/>
                    </w:rPr>
                    <w:t>c</w:t>
                  </w:r>
                  <w:r>
                    <w:rPr>
                      <w:snapToGrid w:val="0"/>
                      <w:color w:val="auto"/>
                      <w:kern w:val="0"/>
                      <w:sz w:val="18"/>
                      <w:szCs w:val="18"/>
                    </w:rPr>
                    <w:t>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活性炭类型</w:t>
                  </w:r>
                </w:p>
              </w:tc>
              <w:tc>
                <w:tcPr>
                  <w:tcW w:w="2641" w:type="pct"/>
                  <w:vAlign w:val="center"/>
                </w:tcPr>
                <w:p>
                  <w:pPr>
                    <w:adjustRightInd w:val="0"/>
                    <w:snapToGrid w:val="0"/>
                    <w:jc w:val="center"/>
                    <w:rPr>
                      <w:snapToGrid w:val="0"/>
                      <w:color w:val="auto"/>
                      <w:kern w:val="0"/>
                      <w:sz w:val="18"/>
                      <w:szCs w:val="18"/>
                    </w:rPr>
                  </w:pPr>
                  <w:r>
                    <w:rPr>
                      <w:rFonts w:hint="eastAsia"/>
                      <w:snapToGrid w:val="0"/>
                      <w:color w:val="auto"/>
                      <w:kern w:val="0"/>
                      <w:sz w:val="18"/>
                      <w:szCs w:val="18"/>
                    </w:rPr>
                    <w:t>颗粒</w:t>
                  </w:r>
                  <w:r>
                    <w:rPr>
                      <w:snapToGrid w:val="0"/>
                      <w:color w:val="auto"/>
                      <w:kern w:val="0"/>
                      <w:sz w:val="18"/>
                      <w:szCs w:val="18"/>
                    </w:rPr>
                    <w:t>活性炭</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比表面积（m</w:t>
                  </w:r>
                  <w:r>
                    <w:rPr>
                      <w:snapToGrid w:val="0"/>
                      <w:color w:val="auto"/>
                      <w:kern w:val="0"/>
                      <w:sz w:val="18"/>
                      <w:szCs w:val="18"/>
                      <w:vertAlign w:val="superscript"/>
                    </w:rPr>
                    <w:t>2</w:t>
                  </w:r>
                  <w:r>
                    <w:rPr>
                      <w:snapToGrid w:val="0"/>
                      <w:color w:val="auto"/>
                      <w:kern w:val="0"/>
                      <w:sz w:val="18"/>
                      <w:szCs w:val="18"/>
                    </w:rPr>
                    <w:t>/g）</w:t>
                  </w:r>
                </w:p>
              </w:tc>
              <w:tc>
                <w:tcPr>
                  <w:tcW w:w="2641" w:type="pct"/>
                  <w:vAlign w:val="center"/>
                </w:tcPr>
                <w:p>
                  <w:pPr>
                    <w:adjustRightInd w:val="0"/>
                    <w:snapToGrid w:val="0"/>
                    <w:jc w:val="center"/>
                    <w:rPr>
                      <w:snapToGrid w:val="0"/>
                      <w:color w:val="auto"/>
                      <w:kern w:val="0"/>
                      <w:sz w:val="18"/>
                      <w:szCs w:val="18"/>
                    </w:rPr>
                  </w:pPr>
                  <w:r>
                    <w:rPr>
                      <w:snapToGrid w:val="0"/>
                      <w:color w:val="auto"/>
                      <w:kern w:val="0"/>
                      <w:sz w:val="18"/>
                      <w:szCs w:val="18"/>
                    </w:rPr>
                    <w:t>＞850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动态吸附量（%）</w:t>
                  </w:r>
                </w:p>
              </w:tc>
              <w:tc>
                <w:tcPr>
                  <w:tcW w:w="2641" w:type="pct"/>
                  <w:vAlign w:val="center"/>
                </w:tcPr>
                <w:p>
                  <w:pPr>
                    <w:adjustRightInd w:val="0"/>
                    <w:snapToGrid w:val="0"/>
                    <w:jc w:val="center"/>
                    <w:rPr>
                      <w:snapToGrid w:val="0"/>
                      <w:color w:val="auto"/>
                      <w:kern w:val="0"/>
                      <w:sz w:val="18"/>
                      <w:szCs w:val="18"/>
                    </w:rPr>
                  </w:pPr>
                  <w:r>
                    <w:rPr>
                      <w:snapToGrid w:val="0"/>
                      <w:color w:val="auto"/>
                      <w:kern w:val="0"/>
                      <w:sz w:val="18"/>
                      <w:szCs w:val="18"/>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一次装填量（t）</w:t>
                  </w:r>
                </w:p>
              </w:tc>
              <w:tc>
                <w:tcPr>
                  <w:tcW w:w="2641" w:type="pct"/>
                  <w:vAlign w:val="center"/>
                </w:tcPr>
                <w:p>
                  <w:pPr>
                    <w:adjustRightInd w:val="0"/>
                    <w:snapToGrid w:val="0"/>
                    <w:jc w:val="center"/>
                    <w:rPr>
                      <w:snapToGrid w:val="0"/>
                      <w:color w:val="auto"/>
                      <w:kern w:val="0"/>
                      <w:sz w:val="18"/>
                      <w:szCs w:val="18"/>
                    </w:rPr>
                  </w:pPr>
                  <w:r>
                    <w:rPr>
                      <w:snapToGrid w:val="0"/>
                      <w:color w:val="auto"/>
                      <w:kern w:val="0"/>
                      <w:sz w:val="18"/>
                      <w:szCs w:val="18"/>
                    </w:rPr>
                    <w:t>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color w:val="auto"/>
                      <w:sz w:val="18"/>
                      <w:szCs w:val="18"/>
                    </w:rPr>
                    <w:t>碘值</w:t>
                  </w:r>
                </w:p>
              </w:tc>
              <w:tc>
                <w:tcPr>
                  <w:tcW w:w="2641" w:type="pct"/>
                  <w:vAlign w:val="center"/>
                </w:tcPr>
                <w:p>
                  <w:pPr>
                    <w:adjustRightInd w:val="0"/>
                    <w:snapToGrid w:val="0"/>
                    <w:jc w:val="center"/>
                    <w:rPr>
                      <w:snapToGrid w:val="0"/>
                      <w:color w:val="auto"/>
                      <w:kern w:val="0"/>
                      <w:sz w:val="18"/>
                      <w:szCs w:val="18"/>
                    </w:rPr>
                  </w:pPr>
                  <w:r>
                    <w:rPr>
                      <w:color w:val="auto"/>
                      <w:sz w:val="18"/>
                      <w:szCs w:val="18"/>
                    </w:rPr>
                    <w:t>碘值≥800mg/g</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811" w:type="pct"/>
                  <w:vMerge w:val="continue"/>
                  <w:vAlign w:val="center"/>
                </w:tcPr>
                <w:p>
                  <w:pPr>
                    <w:adjustRightInd w:val="0"/>
                    <w:snapToGrid w:val="0"/>
                    <w:jc w:val="center"/>
                    <w:rPr>
                      <w:snapToGrid w:val="0"/>
                      <w:color w:val="auto"/>
                      <w:kern w:val="0"/>
                      <w:sz w:val="18"/>
                      <w:szCs w:val="18"/>
                    </w:rPr>
                  </w:pPr>
                </w:p>
              </w:tc>
              <w:tc>
                <w:tcPr>
                  <w:tcW w:w="1112" w:type="pct"/>
                  <w:vAlign w:val="center"/>
                </w:tcPr>
                <w:p>
                  <w:pPr>
                    <w:adjustRightInd w:val="0"/>
                    <w:snapToGrid w:val="0"/>
                    <w:jc w:val="center"/>
                    <w:rPr>
                      <w:snapToGrid w:val="0"/>
                      <w:color w:val="auto"/>
                      <w:kern w:val="0"/>
                      <w:sz w:val="18"/>
                      <w:szCs w:val="18"/>
                    </w:rPr>
                  </w:pPr>
                  <w:r>
                    <w:rPr>
                      <w:snapToGrid w:val="0"/>
                      <w:color w:val="auto"/>
                      <w:kern w:val="0"/>
                      <w:sz w:val="18"/>
                      <w:szCs w:val="18"/>
                    </w:rPr>
                    <w:t>更换频次</w:t>
                  </w:r>
                </w:p>
              </w:tc>
              <w:tc>
                <w:tcPr>
                  <w:tcW w:w="2641" w:type="pct"/>
                  <w:vAlign w:val="center"/>
                </w:tcPr>
                <w:p>
                  <w:pPr>
                    <w:adjustRightInd w:val="0"/>
                    <w:snapToGrid w:val="0"/>
                    <w:jc w:val="center"/>
                    <w:rPr>
                      <w:snapToGrid w:val="0"/>
                      <w:color w:val="auto"/>
                      <w:kern w:val="0"/>
                      <w:sz w:val="18"/>
                      <w:szCs w:val="18"/>
                    </w:rPr>
                  </w:pPr>
                  <w:r>
                    <w:rPr>
                      <w:snapToGrid w:val="0"/>
                      <w:color w:val="auto"/>
                      <w:kern w:val="0"/>
                      <w:sz w:val="18"/>
                      <w:szCs w:val="18"/>
                    </w:rPr>
                    <w:t>每年</w:t>
                  </w:r>
                  <w:r>
                    <w:rPr>
                      <w:rFonts w:hint="eastAsia"/>
                      <w:snapToGrid w:val="0"/>
                      <w:color w:val="auto"/>
                      <w:kern w:val="0"/>
                      <w:sz w:val="18"/>
                      <w:szCs w:val="18"/>
                    </w:rPr>
                    <w:t>4</w:t>
                  </w:r>
                  <w:r>
                    <w:rPr>
                      <w:snapToGrid w:val="0"/>
                      <w:color w:val="auto"/>
                      <w:kern w:val="0"/>
                      <w:sz w:val="18"/>
                      <w:szCs w:val="18"/>
                    </w:rPr>
                    <w:t>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436" w:type="pct"/>
                  <w:vMerge w:val="continue"/>
                  <w:vAlign w:val="center"/>
                </w:tcPr>
                <w:p>
                  <w:pPr>
                    <w:adjustRightInd w:val="0"/>
                    <w:snapToGrid w:val="0"/>
                    <w:jc w:val="center"/>
                    <w:rPr>
                      <w:snapToGrid w:val="0"/>
                      <w:color w:val="auto"/>
                      <w:kern w:val="0"/>
                      <w:sz w:val="18"/>
                      <w:szCs w:val="18"/>
                    </w:rPr>
                  </w:pPr>
                </w:p>
              </w:tc>
              <w:tc>
                <w:tcPr>
                  <w:tcW w:w="1923" w:type="pct"/>
                  <w:gridSpan w:val="2"/>
                  <w:vAlign w:val="center"/>
                </w:tcPr>
                <w:p>
                  <w:pPr>
                    <w:adjustRightInd w:val="0"/>
                    <w:snapToGrid w:val="0"/>
                    <w:jc w:val="center"/>
                    <w:rPr>
                      <w:snapToGrid w:val="0"/>
                      <w:color w:val="auto"/>
                      <w:kern w:val="0"/>
                      <w:sz w:val="18"/>
                      <w:szCs w:val="18"/>
                    </w:rPr>
                  </w:pPr>
                  <w:r>
                    <w:rPr>
                      <w:snapToGrid w:val="0"/>
                      <w:color w:val="auto"/>
                      <w:kern w:val="0"/>
                      <w:sz w:val="18"/>
                      <w:szCs w:val="18"/>
                    </w:rPr>
                    <w:t>风机风量（m</w:t>
                  </w:r>
                  <w:r>
                    <w:rPr>
                      <w:snapToGrid w:val="0"/>
                      <w:color w:val="auto"/>
                      <w:kern w:val="0"/>
                      <w:sz w:val="18"/>
                      <w:szCs w:val="18"/>
                      <w:vertAlign w:val="superscript"/>
                    </w:rPr>
                    <w:t>3</w:t>
                  </w:r>
                  <w:r>
                    <w:rPr>
                      <w:snapToGrid w:val="0"/>
                      <w:color w:val="auto"/>
                      <w:kern w:val="0"/>
                      <w:sz w:val="18"/>
                      <w:szCs w:val="18"/>
                    </w:rPr>
                    <w:t>/h）</w:t>
                  </w:r>
                </w:p>
              </w:tc>
              <w:tc>
                <w:tcPr>
                  <w:tcW w:w="2641" w:type="pct"/>
                  <w:vAlign w:val="center"/>
                </w:tcPr>
                <w:p>
                  <w:pPr>
                    <w:adjustRightInd w:val="0"/>
                    <w:snapToGrid w:val="0"/>
                    <w:jc w:val="center"/>
                    <w:rPr>
                      <w:snapToGrid w:val="0"/>
                      <w:color w:val="auto"/>
                      <w:kern w:val="0"/>
                      <w:sz w:val="18"/>
                      <w:szCs w:val="18"/>
                    </w:rPr>
                  </w:pPr>
                  <w:r>
                    <w:rPr>
                      <w:rFonts w:hint="eastAsia"/>
                      <w:snapToGrid w:val="0"/>
                      <w:color w:val="auto"/>
                      <w:kern w:val="0"/>
                      <w:sz w:val="18"/>
                      <w:szCs w:val="18"/>
                    </w:rPr>
                    <w:t>260</w:t>
                  </w:r>
                  <w:r>
                    <w:rPr>
                      <w:snapToGrid w:val="0"/>
                      <w:color w:val="auto"/>
                      <w:kern w:val="0"/>
                      <w:sz w:val="18"/>
                      <w:szCs w:val="18"/>
                    </w:rPr>
                    <w:t>00</w:t>
                  </w:r>
                </w:p>
              </w:tc>
            </w:tr>
          </w:tbl>
          <w:p>
            <w:pPr>
              <w:adjustRightInd w:val="0"/>
              <w:snapToGrid w:val="0"/>
              <w:spacing w:before="120" w:beforeLines="50" w:line="360" w:lineRule="auto"/>
              <w:ind w:firstLine="420" w:firstLineChars="200"/>
              <w:rPr>
                <w:snapToGrid w:val="0"/>
                <w:color w:val="auto"/>
                <w:kern w:val="0"/>
                <w:szCs w:val="21"/>
              </w:rPr>
            </w:pPr>
            <w:r>
              <w:rPr>
                <w:snapToGrid w:val="0"/>
                <w:color w:val="auto"/>
                <w:kern w:val="0"/>
                <w:szCs w:val="21"/>
              </w:rPr>
              <w:t>综上分析，对照</w:t>
            </w:r>
            <w:r>
              <w:rPr>
                <w:rFonts w:hint="eastAsia"/>
                <w:snapToGrid w:val="0"/>
                <w:color w:val="auto"/>
                <w:szCs w:val="28"/>
              </w:rPr>
              <w:t>《排污许可证申请与核发技术规范   橡胶和塑料制品工业》(HJ1122-2020)</w:t>
            </w:r>
            <w:r>
              <w:rPr>
                <w:snapToGrid w:val="0"/>
                <w:color w:val="auto"/>
                <w:szCs w:val="28"/>
              </w:rPr>
              <w:t>中</w:t>
            </w:r>
            <w:r>
              <w:rPr>
                <w:snapToGrid w:val="0"/>
                <w:color w:val="auto"/>
                <w:kern w:val="0"/>
                <w:szCs w:val="21"/>
              </w:rPr>
              <w:t>推荐的可行技术得知，企业拟采取的污染治理设施可行。</w:t>
            </w:r>
          </w:p>
          <w:p>
            <w:pPr>
              <w:spacing w:line="360" w:lineRule="auto"/>
              <w:ind w:firstLine="420" w:firstLineChars="200"/>
              <w:rPr>
                <w:color w:val="auto"/>
                <w:kern w:val="0"/>
                <w:szCs w:val="21"/>
              </w:rPr>
            </w:pPr>
            <w:r>
              <w:rPr>
                <w:snapToGrid w:val="0"/>
                <w:color w:val="auto"/>
                <w:kern w:val="0"/>
                <w:szCs w:val="21"/>
              </w:rPr>
              <w:t>综上分析，对照</w:t>
            </w:r>
            <w:r>
              <w:rPr>
                <w:rFonts w:hint="eastAsia"/>
                <w:snapToGrid w:val="0"/>
                <w:color w:val="auto"/>
                <w:szCs w:val="28"/>
              </w:rPr>
              <w:t>《排污许可证申请与核发技术规范   橡胶和塑料制品工业》(HJ1122-2020)</w:t>
            </w:r>
            <w:r>
              <w:rPr>
                <w:snapToGrid w:val="0"/>
                <w:color w:val="auto"/>
                <w:szCs w:val="28"/>
              </w:rPr>
              <w:t>中</w:t>
            </w:r>
            <w:r>
              <w:rPr>
                <w:snapToGrid w:val="0"/>
                <w:color w:val="auto"/>
                <w:kern w:val="0"/>
                <w:szCs w:val="21"/>
              </w:rPr>
              <w:t>推荐的可行技术得知，企业拟采取的污染治理设施可行。</w:t>
            </w:r>
          </w:p>
          <w:p>
            <w:pPr>
              <w:spacing w:line="360" w:lineRule="auto"/>
              <w:ind w:firstLine="420" w:firstLineChars="200"/>
              <w:rPr>
                <w:color w:val="auto"/>
                <w:kern w:val="0"/>
                <w:szCs w:val="21"/>
              </w:rPr>
            </w:pPr>
            <w:r>
              <w:rPr>
                <w:color w:val="auto"/>
                <w:kern w:val="0"/>
                <w:szCs w:val="21"/>
              </w:rPr>
              <w:t>（</w:t>
            </w:r>
            <w:r>
              <w:rPr>
                <w:rFonts w:hint="eastAsia"/>
                <w:color w:val="auto"/>
                <w:kern w:val="0"/>
                <w:szCs w:val="21"/>
              </w:rPr>
              <w:t>5</w:t>
            </w:r>
            <w:r>
              <w:rPr>
                <w:color w:val="auto"/>
                <w:kern w:val="0"/>
                <w:szCs w:val="21"/>
              </w:rPr>
              <w:t>）大气污染源监测计划</w:t>
            </w:r>
          </w:p>
          <w:p>
            <w:pPr>
              <w:spacing w:line="360" w:lineRule="auto"/>
              <w:ind w:firstLine="420" w:firstLineChars="200"/>
              <w:rPr>
                <w:color w:val="auto"/>
                <w:kern w:val="0"/>
                <w:szCs w:val="21"/>
              </w:rPr>
            </w:pPr>
            <w:r>
              <w:rPr>
                <w:color w:val="auto"/>
                <w:kern w:val="0"/>
                <w:szCs w:val="21"/>
              </w:rPr>
              <w:t>本项目废气监测参照</w:t>
            </w:r>
            <w:r>
              <w:rPr>
                <w:rFonts w:hint="eastAsia"/>
                <w:snapToGrid w:val="0"/>
                <w:color w:val="auto"/>
                <w:szCs w:val="28"/>
              </w:rPr>
              <w:t>《排污许可证申请与核发技术规范 橡胶和塑料制品工业》(HJ1122-2020)</w:t>
            </w:r>
            <w:r>
              <w:rPr>
                <w:color w:val="auto"/>
                <w:kern w:val="0"/>
                <w:szCs w:val="21"/>
              </w:rPr>
              <w:t>，自行监测计划如下：</w:t>
            </w:r>
          </w:p>
          <w:p>
            <w:pPr>
              <w:adjustRightInd w:val="0"/>
              <w:snapToGrid w:val="0"/>
              <w:jc w:val="center"/>
              <w:rPr>
                <w:b/>
                <w:bCs/>
                <w:color w:val="auto"/>
                <w:kern w:val="0"/>
                <w:szCs w:val="21"/>
              </w:rPr>
            </w:pPr>
            <w:r>
              <w:rPr>
                <w:b/>
                <w:bCs/>
                <w:color w:val="auto"/>
                <w:kern w:val="0"/>
                <w:szCs w:val="21"/>
              </w:rPr>
              <w:t>表4-1</w:t>
            </w:r>
            <w:r>
              <w:rPr>
                <w:rFonts w:hint="eastAsia"/>
                <w:b/>
                <w:bCs/>
                <w:color w:val="auto"/>
                <w:kern w:val="0"/>
                <w:szCs w:val="21"/>
              </w:rPr>
              <w:t>1</w:t>
            </w:r>
            <w:r>
              <w:rPr>
                <w:b/>
                <w:bCs/>
                <w:color w:val="auto"/>
                <w:kern w:val="0"/>
                <w:szCs w:val="21"/>
              </w:rPr>
              <w:t xml:space="preserve"> 大气污染源监测计划</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26"/>
              <w:gridCol w:w="403"/>
              <w:gridCol w:w="1019"/>
              <w:gridCol w:w="1572"/>
              <w:gridCol w:w="983"/>
              <w:gridCol w:w="2454"/>
              <w:gridCol w:w="245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0" w:type="pct"/>
                  <w:vAlign w:val="center"/>
                </w:tcPr>
                <w:p>
                  <w:pPr>
                    <w:pStyle w:val="108"/>
                    <w:adjustRightInd w:val="0"/>
                    <w:snapToGrid w:val="0"/>
                    <w:jc w:val="center"/>
                    <w:rPr>
                      <w:rFonts w:ascii="Times New Roman" w:hAnsi="Times New Roman"/>
                      <w:b/>
                      <w:bCs/>
                      <w:color w:val="auto"/>
                      <w:sz w:val="18"/>
                      <w:szCs w:val="18"/>
                      <w:lang w:eastAsia="zh-CN"/>
                    </w:rPr>
                  </w:pPr>
                  <w:r>
                    <w:rPr>
                      <w:rFonts w:ascii="Times New Roman" w:hAnsi="Times New Roman"/>
                      <w:b/>
                      <w:bCs/>
                      <w:color w:val="auto"/>
                      <w:sz w:val="18"/>
                      <w:szCs w:val="18"/>
                      <w:lang w:eastAsia="zh-CN"/>
                    </w:rPr>
                    <w:t>类别</w:t>
                  </w:r>
                </w:p>
              </w:tc>
              <w:tc>
                <w:tcPr>
                  <w:tcW w:w="755" w:type="pct"/>
                  <w:gridSpan w:val="2"/>
                  <w:vAlign w:val="center"/>
                </w:tcPr>
                <w:p>
                  <w:pPr>
                    <w:pStyle w:val="108"/>
                    <w:adjustRightInd w:val="0"/>
                    <w:snapToGrid w:val="0"/>
                    <w:jc w:val="center"/>
                    <w:rPr>
                      <w:rFonts w:ascii="Times New Roman" w:hAnsi="Times New Roman"/>
                      <w:b/>
                      <w:bCs/>
                      <w:color w:val="auto"/>
                      <w:sz w:val="18"/>
                      <w:szCs w:val="18"/>
                      <w:lang w:eastAsia="zh-CN"/>
                    </w:rPr>
                  </w:pPr>
                  <w:r>
                    <w:rPr>
                      <w:rFonts w:ascii="Times New Roman" w:hAnsi="Times New Roman"/>
                      <w:b/>
                      <w:bCs/>
                      <w:color w:val="auto"/>
                      <w:sz w:val="18"/>
                      <w:szCs w:val="18"/>
                      <w:lang w:eastAsia="zh-CN"/>
                    </w:rPr>
                    <w:t>监测位置</w:t>
                  </w:r>
                </w:p>
              </w:tc>
              <w:tc>
                <w:tcPr>
                  <w:tcW w:w="835" w:type="pct"/>
                  <w:vAlign w:val="center"/>
                </w:tcPr>
                <w:p>
                  <w:pPr>
                    <w:pStyle w:val="108"/>
                    <w:adjustRightInd w:val="0"/>
                    <w:snapToGrid w:val="0"/>
                    <w:jc w:val="center"/>
                    <w:rPr>
                      <w:rFonts w:ascii="Times New Roman" w:hAnsi="Times New Roman"/>
                      <w:b/>
                      <w:bCs/>
                      <w:color w:val="auto"/>
                      <w:sz w:val="18"/>
                      <w:szCs w:val="18"/>
                      <w:lang w:eastAsia="zh-CN"/>
                    </w:rPr>
                  </w:pPr>
                  <w:r>
                    <w:rPr>
                      <w:rFonts w:ascii="Times New Roman" w:hAnsi="Times New Roman"/>
                      <w:b/>
                      <w:bCs/>
                      <w:color w:val="auto"/>
                      <w:sz w:val="18"/>
                      <w:szCs w:val="18"/>
                      <w:lang w:eastAsia="zh-CN"/>
                    </w:rPr>
                    <w:t>监测项目</w:t>
                  </w:r>
                </w:p>
              </w:tc>
              <w:tc>
                <w:tcPr>
                  <w:tcW w:w="522" w:type="pct"/>
                  <w:vAlign w:val="center"/>
                </w:tcPr>
                <w:p>
                  <w:pPr>
                    <w:pStyle w:val="108"/>
                    <w:adjustRightInd w:val="0"/>
                    <w:snapToGrid w:val="0"/>
                    <w:jc w:val="center"/>
                    <w:rPr>
                      <w:rFonts w:ascii="Times New Roman" w:hAnsi="Times New Roman"/>
                      <w:b/>
                      <w:bCs/>
                      <w:color w:val="auto"/>
                      <w:sz w:val="18"/>
                      <w:szCs w:val="18"/>
                      <w:lang w:eastAsia="zh-CN"/>
                    </w:rPr>
                  </w:pPr>
                  <w:r>
                    <w:rPr>
                      <w:rFonts w:ascii="Times New Roman" w:hAnsi="Times New Roman"/>
                      <w:b/>
                      <w:bCs/>
                      <w:color w:val="auto"/>
                      <w:sz w:val="18"/>
                      <w:szCs w:val="18"/>
                      <w:lang w:eastAsia="zh-CN"/>
                    </w:rPr>
                    <w:t>监测频次</w:t>
                  </w:r>
                </w:p>
              </w:tc>
              <w:tc>
                <w:tcPr>
                  <w:tcW w:w="1303" w:type="pct"/>
                  <w:vAlign w:val="center"/>
                </w:tcPr>
                <w:p>
                  <w:pPr>
                    <w:pStyle w:val="108"/>
                    <w:adjustRightInd w:val="0"/>
                    <w:snapToGrid w:val="0"/>
                    <w:jc w:val="center"/>
                    <w:rPr>
                      <w:rFonts w:ascii="Times New Roman" w:hAnsi="Times New Roman"/>
                      <w:b/>
                      <w:bCs/>
                      <w:color w:val="auto"/>
                      <w:sz w:val="18"/>
                      <w:szCs w:val="18"/>
                      <w:lang w:eastAsia="zh-CN"/>
                    </w:rPr>
                  </w:pPr>
                  <w:r>
                    <w:rPr>
                      <w:rFonts w:ascii="Times New Roman" w:hAnsi="Times New Roman"/>
                      <w:b/>
                      <w:bCs/>
                      <w:color w:val="auto"/>
                      <w:sz w:val="18"/>
                      <w:szCs w:val="18"/>
                      <w:lang w:eastAsia="zh-CN"/>
                    </w:rPr>
                    <w:t>执行排放标准</w:t>
                  </w:r>
                </w:p>
              </w:tc>
              <w:tc>
                <w:tcPr>
                  <w:tcW w:w="1301" w:type="pct"/>
                  <w:vAlign w:val="center"/>
                </w:tcPr>
                <w:p>
                  <w:pPr>
                    <w:pStyle w:val="108"/>
                    <w:adjustRightInd w:val="0"/>
                    <w:snapToGrid w:val="0"/>
                    <w:jc w:val="center"/>
                    <w:rPr>
                      <w:rFonts w:ascii="Times New Roman" w:hAnsi="Times New Roman"/>
                      <w:b/>
                      <w:bCs/>
                      <w:color w:val="auto"/>
                      <w:sz w:val="18"/>
                      <w:szCs w:val="18"/>
                      <w:lang w:eastAsia="zh-CN"/>
                    </w:rPr>
                  </w:pPr>
                  <w:r>
                    <w:rPr>
                      <w:rFonts w:ascii="Times New Roman" w:hAnsi="Times New Roman"/>
                      <w:b/>
                      <w:bCs/>
                      <w:color w:val="auto"/>
                      <w:sz w:val="18"/>
                      <w:szCs w:val="18"/>
                      <w:lang w:eastAsia="zh-CN"/>
                    </w:rPr>
                    <w:t>监测计划依据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0" w:type="pct"/>
                  <w:vMerge w:val="restart"/>
                  <w:vAlign w:val="center"/>
                </w:tcPr>
                <w:p>
                  <w:pPr>
                    <w:pStyle w:val="108"/>
                    <w:adjustRightInd w:val="0"/>
                    <w:snapToGrid w:val="0"/>
                    <w:jc w:val="center"/>
                    <w:rPr>
                      <w:rFonts w:ascii="Times New Roman" w:hAnsi="Times New Roman"/>
                      <w:color w:val="auto"/>
                      <w:sz w:val="18"/>
                      <w:szCs w:val="18"/>
                      <w:lang w:eastAsia="zh-CN"/>
                    </w:rPr>
                  </w:pPr>
                  <w:r>
                    <w:rPr>
                      <w:rFonts w:ascii="Times New Roman" w:hAnsi="Times New Roman"/>
                      <w:color w:val="auto"/>
                      <w:sz w:val="18"/>
                      <w:szCs w:val="18"/>
                    </w:rPr>
                    <w:t>废气</w:t>
                  </w:r>
                </w:p>
              </w:tc>
              <w:tc>
                <w:tcPr>
                  <w:tcW w:w="214" w:type="pct"/>
                  <w:vMerge w:val="restart"/>
                  <w:vAlign w:val="center"/>
                </w:tcPr>
                <w:p>
                  <w:pPr>
                    <w:pStyle w:val="108"/>
                    <w:adjustRightInd w:val="0"/>
                    <w:snapToGrid w:val="0"/>
                    <w:jc w:val="center"/>
                    <w:rPr>
                      <w:rFonts w:ascii="Times New Roman" w:hAnsi="Times New Roman"/>
                      <w:color w:val="auto"/>
                      <w:sz w:val="18"/>
                      <w:szCs w:val="18"/>
                      <w:lang w:eastAsia="zh-CN"/>
                    </w:rPr>
                  </w:pPr>
                  <w:r>
                    <w:rPr>
                      <w:rFonts w:hint="eastAsia" w:ascii="Times New Roman" w:hAnsi="Times New Roman"/>
                      <w:color w:val="auto"/>
                      <w:sz w:val="18"/>
                      <w:szCs w:val="18"/>
                      <w:lang w:eastAsia="zh-CN"/>
                    </w:rPr>
                    <w:t>有组织</w:t>
                  </w:r>
                </w:p>
              </w:tc>
              <w:tc>
                <w:tcPr>
                  <w:tcW w:w="541" w:type="pct"/>
                  <w:vMerge w:val="restart"/>
                  <w:vAlign w:val="center"/>
                </w:tcPr>
                <w:p>
                  <w:pPr>
                    <w:pStyle w:val="108"/>
                    <w:adjustRightInd w:val="0"/>
                    <w:snapToGrid w:val="0"/>
                    <w:jc w:val="center"/>
                    <w:rPr>
                      <w:rFonts w:ascii="Times New Roman" w:hAnsi="Times New Roman"/>
                      <w:color w:val="auto"/>
                      <w:sz w:val="18"/>
                      <w:szCs w:val="18"/>
                    </w:rPr>
                  </w:pPr>
                  <w:r>
                    <w:rPr>
                      <w:rFonts w:hint="eastAsia" w:ascii="Times New Roman" w:hAnsi="Times New Roman"/>
                      <w:color w:val="auto"/>
                      <w:sz w:val="18"/>
                      <w:szCs w:val="18"/>
                      <w:lang w:eastAsia="zh-CN"/>
                    </w:rPr>
                    <w:t>D</w:t>
                  </w:r>
                  <w:r>
                    <w:rPr>
                      <w:rFonts w:ascii="Times New Roman" w:hAnsi="Times New Roman"/>
                      <w:color w:val="auto"/>
                      <w:sz w:val="18"/>
                      <w:szCs w:val="18"/>
                      <w:lang w:eastAsia="zh-CN"/>
                    </w:rPr>
                    <w:t>A001</w:t>
                  </w:r>
                </w:p>
              </w:tc>
              <w:tc>
                <w:tcPr>
                  <w:tcW w:w="835" w:type="pct"/>
                  <w:vAlign w:val="center"/>
                </w:tcPr>
                <w:p>
                  <w:pPr>
                    <w:pStyle w:val="108"/>
                    <w:adjustRightInd w:val="0"/>
                    <w:snapToGrid w:val="0"/>
                    <w:jc w:val="center"/>
                    <w:rPr>
                      <w:rFonts w:ascii="Times New Roman" w:hAnsi="Times New Roman"/>
                      <w:color w:val="auto"/>
                      <w:sz w:val="18"/>
                      <w:szCs w:val="18"/>
                      <w:lang w:eastAsia="zh-CN"/>
                    </w:rPr>
                  </w:pPr>
                  <w:r>
                    <w:rPr>
                      <w:rFonts w:ascii="Times New Roman" w:hAnsi="Times New Roman"/>
                      <w:color w:val="auto"/>
                      <w:sz w:val="18"/>
                      <w:szCs w:val="18"/>
                    </w:rPr>
                    <w:t>非甲烷总烃</w:t>
                  </w:r>
                </w:p>
              </w:tc>
              <w:tc>
                <w:tcPr>
                  <w:tcW w:w="522" w:type="pct"/>
                  <w:vAlign w:val="center"/>
                </w:tcPr>
                <w:p>
                  <w:pPr>
                    <w:pStyle w:val="108"/>
                    <w:adjustRightInd w:val="0"/>
                    <w:snapToGrid w:val="0"/>
                    <w:jc w:val="center"/>
                    <w:rPr>
                      <w:rFonts w:ascii="Times New Roman" w:hAnsi="Times New Roman"/>
                      <w:color w:val="auto"/>
                      <w:sz w:val="18"/>
                      <w:szCs w:val="18"/>
                    </w:rPr>
                  </w:pPr>
                  <w:r>
                    <w:rPr>
                      <w:rFonts w:ascii="Times New Roman" w:hAnsi="Times New Roman"/>
                      <w:color w:val="auto"/>
                      <w:sz w:val="18"/>
                      <w:szCs w:val="18"/>
                    </w:rPr>
                    <w:t>每年一次</w:t>
                  </w:r>
                </w:p>
              </w:tc>
              <w:tc>
                <w:tcPr>
                  <w:tcW w:w="1303" w:type="pct"/>
                  <w:vMerge w:val="restart"/>
                  <w:vAlign w:val="center"/>
                </w:tcPr>
                <w:p>
                  <w:pPr>
                    <w:pStyle w:val="108"/>
                    <w:adjustRightInd w:val="0"/>
                    <w:snapToGrid w:val="0"/>
                    <w:jc w:val="center"/>
                    <w:rPr>
                      <w:rFonts w:ascii="Times New Roman" w:hAnsi="Times New Roman"/>
                      <w:color w:val="auto"/>
                      <w:sz w:val="18"/>
                      <w:szCs w:val="18"/>
                      <w:lang w:eastAsia="zh-CN"/>
                    </w:rPr>
                  </w:pPr>
                  <w:r>
                    <w:rPr>
                      <w:rFonts w:hint="eastAsia"/>
                      <w:color w:val="auto"/>
                      <w:sz w:val="18"/>
                      <w:szCs w:val="18"/>
                      <w:lang w:eastAsia="zh-CN"/>
                    </w:rPr>
                    <w:t>《橡胶制品工业污染物排放标准》(GB27632-2011)</w:t>
                  </w:r>
                </w:p>
              </w:tc>
              <w:tc>
                <w:tcPr>
                  <w:tcW w:w="1301" w:type="pct"/>
                  <w:vMerge w:val="restart"/>
                  <w:vAlign w:val="center"/>
                </w:tcPr>
                <w:p>
                  <w:pPr>
                    <w:pStyle w:val="108"/>
                    <w:adjustRightInd w:val="0"/>
                    <w:snapToGrid w:val="0"/>
                    <w:jc w:val="center"/>
                    <w:rPr>
                      <w:rFonts w:ascii="Times New Roman" w:hAnsi="Times New Roman"/>
                      <w:color w:val="auto"/>
                      <w:sz w:val="18"/>
                      <w:szCs w:val="18"/>
                      <w:lang w:eastAsia="zh-CN"/>
                    </w:rPr>
                  </w:pPr>
                  <w:r>
                    <w:rPr>
                      <w:rFonts w:hint="eastAsia" w:ascii="Times New Roman" w:hAnsi="Times New Roman"/>
                      <w:color w:val="auto"/>
                      <w:sz w:val="18"/>
                      <w:szCs w:val="18"/>
                      <w:lang w:eastAsia="zh-CN"/>
                    </w:rPr>
                    <w:t>《排污许可证申请与核发技术规范 橡胶和塑料制品工业》(HJ1122-2020)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0" w:type="pct"/>
                  <w:vMerge w:val="continue"/>
                  <w:vAlign w:val="center"/>
                </w:tcPr>
                <w:p>
                  <w:pPr>
                    <w:pStyle w:val="108"/>
                    <w:adjustRightInd w:val="0"/>
                    <w:snapToGrid w:val="0"/>
                    <w:jc w:val="center"/>
                    <w:rPr>
                      <w:rFonts w:ascii="Times New Roman" w:hAnsi="Times New Roman"/>
                      <w:color w:val="auto"/>
                      <w:sz w:val="18"/>
                      <w:szCs w:val="18"/>
                    </w:rPr>
                  </w:pPr>
                </w:p>
              </w:tc>
              <w:tc>
                <w:tcPr>
                  <w:tcW w:w="214"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541"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835" w:type="pct"/>
                  <w:vAlign w:val="center"/>
                </w:tcPr>
                <w:p>
                  <w:pPr>
                    <w:pStyle w:val="108"/>
                    <w:adjustRightInd w:val="0"/>
                    <w:snapToGrid w:val="0"/>
                    <w:jc w:val="center"/>
                    <w:rPr>
                      <w:rFonts w:ascii="Times New Roman" w:hAnsi="Times New Roman"/>
                      <w:color w:val="auto"/>
                      <w:sz w:val="18"/>
                      <w:szCs w:val="18"/>
                      <w:lang w:eastAsia="zh-CN"/>
                    </w:rPr>
                  </w:pPr>
                  <w:r>
                    <w:rPr>
                      <w:rFonts w:hint="eastAsia" w:ascii="Times New Roman" w:hAnsi="Times New Roman"/>
                      <w:color w:val="auto"/>
                      <w:sz w:val="18"/>
                      <w:szCs w:val="18"/>
                      <w:lang w:eastAsia="zh-CN"/>
                    </w:rPr>
                    <w:t>颗粒物</w:t>
                  </w:r>
                </w:p>
              </w:tc>
              <w:tc>
                <w:tcPr>
                  <w:tcW w:w="522" w:type="pct"/>
                  <w:vAlign w:val="center"/>
                </w:tcPr>
                <w:p>
                  <w:pPr>
                    <w:adjustRightInd w:val="0"/>
                    <w:snapToGrid w:val="0"/>
                    <w:jc w:val="center"/>
                    <w:rPr>
                      <w:color w:val="auto"/>
                      <w:sz w:val="18"/>
                      <w:szCs w:val="18"/>
                    </w:rPr>
                  </w:pPr>
                  <w:r>
                    <w:rPr>
                      <w:color w:val="auto"/>
                      <w:sz w:val="18"/>
                      <w:szCs w:val="18"/>
                    </w:rPr>
                    <w:t>每年一次</w:t>
                  </w:r>
                </w:p>
              </w:tc>
              <w:tc>
                <w:tcPr>
                  <w:tcW w:w="1303" w:type="pct"/>
                  <w:vMerge w:val="continue"/>
                  <w:vAlign w:val="center"/>
                </w:tcPr>
                <w:p>
                  <w:pPr>
                    <w:pStyle w:val="108"/>
                    <w:adjustRightInd w:val="0"/>
                    <w:snapToGrid w:val="0"/>
                    <w:jc w:val="center"/>
                    <w:rPr>
                      <w:color w:val="auto"/>
                      <w:sz w:val="18"/>
                      <w:szCs w:val="18"/>
                      <w:lang w:eastAsia="zh-CN"/>
                    </w:rPr>
                  </w:pPr>
                </w:p>
              </w:tc>
              <w:tc>
                <w:tcPr>
                  <w:tcW w:w="1301" w:type="pct"/>
                  <w:vMerge w:val="continue"/>
                  <w:vAlign w:val="center"/>
                </w:tcPr>
                <w:p>
                  <w:pPr>
                    <w:pStyle w:val="108"/>
                    <w:adjustRightInd w:val="0"/>
                    <w:snapToGrid w:val="0"/>
                    <w:jc w:val="center"/>
                    <w:rPr>
                      <w:rFonts w:ascii="Times New Roman" w:hAnsi="Times New Roman"/>
                      <w:color w:val="auto"/>
                      <w:sz w:val="18"/>
                      <w:szCs w:val="18"/>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0"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214"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541"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835" w:type="pct"/>
                  <w:vAlign w:val="center"/>
                </w:tcPr>
                <w:p>
                  <w:pPr>
                    <w:pStyle w:val="108"/>
                    <w:adjustRightInd w:val="0"/>
                    <w:snapToGrid w:val="0"/>
                    <w:jc w:val="center"/>
                    <w:rPr>
                      <w:rFonts w:ascii="Times New Roman" w:hAnsi="Times New Roman"/>
                      <w:color w:val="auto"/>
                      <w:sz w:val="18"/>
                      <w:szCs w:val="18"/>
                      <w:lang w:eastAsia="zh-CN"/>
                    </w:rPr>
                  </w:pPr>
                  <w:r>
                    <w:rPr>
                      <w:rFonts w:hint="eastAsia" w:ascii="Times New Roman" w:hAnsi="Times New Roman"/>
                      <w:color w:val="auto"/>
                      <w:sz w:val="18"/>
                      <w:szCs w:val="18"/>
                      <w:lang w:eastAsia="zh-CN"/>
                    </w:rPr>
                    <w:t>硫化氢</w:t>
                  </w:r>
                </w:p>
              </w:tc>
              <w:tc>
                <w:tcPr>
                  <w:tcW w:w="522" w:type="pct"/>
                  <w:vAlign w:val="center"/>
                </w:tcPr>
                <w:p>
                  <w:pPr>
                    <w:adjustRightInd w:val="0"/>
                    <w:snapToGrid w:val="0"/>
                    <w:jc w:val="center"/>
                    <w:rPr>
                      <w:color w:val="auto"/>
                      <w:sz w:val="18"/>
                      <w:szCs w:val="18"/>
                    </w:rPr>
                  </w:pPr>
                  <w:r>
                    <w:rPr>
                      <w:color w:val="auto"/>
                      <w:sz w:val="18"/>
                      <w:szCs w:val="18"/>
                    </w:rPr>
                    <w:t>每年一次</w:t>
                  </w:r>
                </w:p>
              </w:tc>
              <w:tc>
                <w:tcPr>
                  <w:tcW w:w="1303" w:type="pct"/>
                  <w:vMerge w:val="restart"/>
                  <w:vAlign w:val="center"/>
                </w:tcPr>
                <w:p>
                  <w:pPr>
                    <w:pStyle w:val="108"/>
                    <w:adjustRightInd w:val="0"/>
                    <w:snapToGrid w:val="0"/>
                    <w:jc w:val="center"/>
                    <w:rPr>
                      <w:rFonts w:ascii="Times New Roman" w:hAnsi="Times New Roman"/>
                      <w:color w:val="auto"/>
                      <w:sz w:val="18"/>
                      <w:szCs w:val="18"/>
                      <w:lang w:eastAsia="zh-CN"/>
                    </w:rPr>
                  </w:pPr>
                  <w:r>
                    <w:rPr>
                      <w:rFonts w:hint="eastAsia"/>
                      <w:color w:val="auto"/>
                      <w:sz w:val="18"/>
                      <w:szCs w:val="18"/>
                      <w:lang w:eastAsia="zh-CN"/>
                    </w:rPr>
                    <w:t>《恶臭污染物排放标准》（GB14554-93）</w:t>
                  </w:r>
                </w:p>
              </w:tc>
              <w:tc>
                <w:tcPr>
                  <w:tcW w:w="1301" w:type="pct"/>
                  <w:vMerge w:val="continue"/>
                  <w:vAlign w:val="center"/>
                </w:tcPr>
                <w:p>
                  <w:pPr>
                    <w:pStyle w:val="108"/>
                    <w:adjustRightInd w:val="0"/>
                    <w:snapToGrid w:val="0"/>
                    <w:jc w:val="center"/>
                    <w:rPr>
                      <w:rFonts w:ascii="Times New Roman" w:hAnsi="Times New Roman"/>
                      <w:color w:val="auto"/>
                      <w:sz w:val="18"/>
                      <w:szCs w:val="18"/>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0"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214"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541"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835" w:type="pct"/>
                  <w:vAlign w:val="center"/>
                </w:tcPr>
                <w:p>
                  <w:pPr>
                    <w:pStyle w:val="108"/>
                    <w:adjustRightInd w:val="0"/>
                    <w:snapToGrid w:val="0"/>
                    <w:jc w:val="center"/>
                    <w:rPr>
                      <w:rFonts w:ascii="Times New Roman" w:hAnsi="Times New Roman"/>
                      <w:color w:val="auto"/>
                      <w:sz w:val="18"/>
                      <w:szCs w:val="18"/>
                      <w:lang w:eastAsia="zh-CN"/>
                    </w:rPr>
                  </w:pPr>
                  <w:r>
                    <w:rPr>
                      <w:rFonts w:hint="eastAsia" w:ascii="Times New Roman" w:hAnsi="Times New Roman"/>
                      <w:color w:val="auto"/>
                      <w:sz w:val="18"/>
                      <w:szCs w:val="18"/>
                      <w:lang w:eastAsia="zh-CN"/>
                    </w:rPr>
                    <w:t>CS</w:t>
                  </w:r>
                  <w:r>
                    <w:rPr>
                      <w:rFonts w:hint="eastAsia" w:ascii="Times New Roman" w:hAnsi="Times New Roman"/>
                      <w:color w:val="auto"/>
                      <w:sz w:val="18"/>
                      <w:szCs w:val="18"/>
                      <w:vertAlign w:val="subscript"/>
                      <w:lang w:eastAsia="zh-CN"/>
                    </w:rPr>
                    <w:t>2</w:t>
                  </w:r>
                </w:p>
              </w:tc>
              <w:tc>
                <w:tcPr>
                  <w:tcW w:w="522" w:type="pct"/>
                  <w:vAlign w:val="center"/>
                </w:tcPr>
                <w:p>
                  <w:pPr>
                    <w:adjustRightInd w:val="0"/>
                    <w:snapToGrid w:val="0"/>
                    <w:jc w:val="center"/>
                    <w:rPr>
                      <w:color w:val="auto"/>
                      <w:sz w:val="18"/>
                      <w:szCs w:val="18"/>
                    </w:rPr>
                  </w:pPr>
                  <w:r>
                    <w:rPr>
                      <w:color w:val="auto"/>
                      <w:sz w:val="18"/>
                      <w:szCs w:val="18"/>
                    </w:rPr>
                    <w:t>每年一次</w:t>
                  </w:r>
                </w:p>
              </w:tc>
              <w:tc>
                <w:tcPr>
                  <w:tcW w:w="1303" w:type="pct"/>
                  <w:vMerge w:val="continue"/>
                  <w:vAlign w:val="center"/>
                </w:tcPr>
                <w:p>
                  <w:pPr>
                    <w:pStyle w:val="108"/>
                    <w:adjustRightInd w:val="0"/>
                    <w:snapToGrid w:val="0"/>
                    <w:jc w:val="center"/>
                    <w:rPr>
                      <w:color w:val="auto"/>
                      <w:sz w:val="18"/>
                      <w:szCs w:val="18"/>
                      <w:lang w:eastAsia="zh-CN"/>
                    </w:rPr>
                  </w:pPr>
                </w:p>
              </w:tc>
              <w:tc>
                <w:tcPr>
                  <w:tcW w:w="1301" w:type="pct"/>
                  <w:vMerge w:val="continue"/>
                  <w:vAlign w:val="center"/>
                </w:tcPr>
                <w:p>
                  <w:pPr>
                    <w:pStyle w:val="108"/>
                    <w:adjustRightInd w:val="0"/>
                    <w:snapToGrid w:val="0"/>
                    <w:jc w:val="center"/>
                    <w:rPr>
                      <w:rFonts w:ascii="Times New Roman" w:hAnsi="Times New Roman"/>
                      <w:color w:val="auto"/>
                      <w:sz w:val="18"/>
                      <w:szCs w:val="18"/>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0"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214" w:type="pct"/>
                  <w:vMerge w:val="restart"/>
                  <w:vAlign w:val="center"/>
                </w:tcPr>
                <w:p>
                  <w:pPr>
                    <w:pStyle w:val="108"/>
                    <w:adjustRightInd w:val="0"/>
                    <w:snapToGrid w:val="0"/>
                    <w:jc w:val="center"/>
                    <w:rPr>
                      <w:rFonts w:ascii="Times New Roman" w:hAnsi="Times New Roman"/>
                      <w:color w:val="auto"/>
                      <w:sz w:val="18"/>
                      <w:szCs w:val="18"/>
                    </w:rPr>
                  </w:pPr>
                  <w:r>
                    <w:rPr>
                      <w:rFonts w:ascii="Times New Roman" w:hAnsi="Times New Roman"/>
                      <w:color w:val="auto"/>
                      <w:sz w:val="18"/>
                      <w:szCs w:val="18"/>
                    </w:rPr>
                    <w:t>无组织</w:t>
                  </w:r>
                </w:p>
              </w:tc>
              <w:tc>
                <w:tcPr>
                  <w:tcW w:w="541" w:type="pct"/>
                  <w:vMerge w:val="restart"/>
                  <w:vAlign w:val="center"/>
                </w:tcPr>
                <w:p>
                  <w:pPr>
                    <w:pStyle w:val="108"/>
                    <w:adjustRightInd w:val="0"/>
                    <w:snapToGrid w:val="0"/>
                    <w:jc w:val="center"/>
                    <w:rPr>
                      <w:rFonts w:ascii="Times New Roman" w:hAnsi="Times New Roman"/>
                      <w:color w:val="auto"/>
                      <w:sz w:val="18"/>
                      <w:szCs w:val="18"/>
                    </w:rPr>
                  </w:pPr>
                  <w:r>
                    <w:rPr>
                      <w:rFonts w:ascii="Times New Roman" w:hAnsi="Times New Roman"/>
                      <w:color w:val="auto"/>
                      <w:sz w:val="18"/>
                      <w:szCs w:val="18"/>
                    </w:rPr>
                    <w:t>厂界</w:t>
                  </w:r>
                </w:p>
              </w:tc>
              <w:tc>
                <w:tcPr>
                  <w:tcW w:w="835" w:type="pct"/>
                  <w:vAlign w:val="center"/>
                </w:tcPr>
                <w:p>
                  <w:pPr>
                    <w:pStyle w:val="108"/>
                    <w:adjustRightInd w:val="0"/>
                    <w:snapToGrid w:val="0"/>
                    <w:jc w:val="center"/>
                    <w:rPr>
                      <w:rFonts w:ascii="Times New Roman" w:hAnsi="Times New Roman"/>
                      <w:color w:val="auto"/>
                      <w:sz w:val="18"/>
                      <w:szCs w:val="18"/>
                      <w:lang w:eastAsia="zh-CN"/>
                    </w:rPr>
                  </w:pPr>
                  <w:r>
                    <w:rPr>
                      <w:rFonts w:ascii="Times New Roman" w:hAnsi="Times New Roman"/>
                      <w:color w:val="auto"/>
                      <w:sz w:val="18"/>
                      <w:szCs w:val="18"/>
                    </w:rPr>
                    <w:t>非甲烷总烃</w:t>
                  </w:r>
                </w:p>
              </w:tc>
              <w:tc>
                <w:tcPr>
                  <w:tcW w:w="522" w:type="pct"/>
                  <w:vAlign w:val="center"/>
                </w:tcPr>
                <w:p>
                  <w:pPr>
                    <w:pStyle w:val="108"/>
                    <w:adjustRightInd w:val="0"/>
                    <w:snapToGrid w:val="0"/>
                    <w:jc w:val="center"/>
                    <w:rPr>
                      <w:rFonts w:ascii="Times New Roman" w:hAnsi="Times New Roman"/>
                      <w:color w:val="auto"/>
                      <w:sz w:val="18"/>
                      <w:szCs w:val="18"/>
                    </w:rPr>
                  </w:pPr>
                  <w:r>
                    <w:rPr>
                      <w:rFonts w:ascii="Times New Roman" w:hAnsi="Times New Roman"/>
                      <w:color w:val="auto"/>
                      <w:sz w:val="18"/>
                      <w:szCs w:val="18"/>
                    </w:rPr>
                    <w:t>每年一次</w:t>
                  </w:r>
                </w:p>
              </w:tc>
              <w:tc>
                <w:tcPr>
                  <w:tcW w:w="1303" w:type="pct"/>
                  <w:vMerge w:val="restart"/>
                  <w:vAlign w:val="center"/>
                </w:tcPr>
                <w:p>
                  <w:pPr>
                    <w:pStyle w:val="108"/>
                    <w:adjustRightInd w:val="0"/>
                    <w:snapToGrid w:val="0"/>
                    <w:jc w:val="center"/>
                    <w:rPr>
                      <w:rFonts w:ascii="Times New Roman" w:hAnsi="Times New Roman"/>
                      <w:color w:val="auto"/>
                      <w:sz w:val="18"/>
                      <w:szCs w:val="18"/>
                      <w:lang w:eastAsia="zh-CN"/>
                    </w:rPr>
                  </w:pPr>
                  <w:r>
                    <w:rPr>
                      <w:rFonts w:hint="eastAsia"/>
                      <w:color w:val="auto"/>
                      <w:sz w:val="18"/>
                      <w:szCs w:val="18"/>
                      <w:lang w:eastAsia="zh-CN"/>
                    </w:rPr>
                    <w:t>《橡胶制品工业污染物排放标准》(GB27632-2011)</w:t>
                  </w:r>
                </w:p>
              </w:tc>
              <w:tc>
                <w:tcPr>
                  <w:tcW w:w="1301" w:type="pct"/>
                  <w:vMerge w:val="continue"/>
                  <w:vAlign w:val="center"/>
                </w:tcPr>
                <w:p>
                  <w:pPr>
                    <w:pStyle w:val="108"/>
                    <w:adjustRightInd w:val="0"/>
                    <w:snapToGrid w:val="0"/>
                    <w:jc w:val="center"/>
                    <w:rPr>
                      <w:rFonts w:ascii="Times New Roman" w:hAnsi="Times New Roman"/>
                      <w:color w:val="auto"/>
                      <w:sz w:val="18"/>
                      <w:szCs w:val="18"/>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0"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214" w:type="pct"/>
                  <w:vMerge w:val="continue"/>
                  <w:vAlign w:val="center"/>
                </w:tcPr>
                <w:p>
                  <w:pPr>
                    <w:pStyle w:val="108"/>
                    <w:adjustRightInd w:val="0"/>
                    <w:snapToGrid w:val="0"/>
                    <w:jc w:val="center"/>
                    <w:rPr>
                      <w:rFonts w:ascii="Times New Roman" w:hAnsi="Times New Roman"/>
                      <w:color w:val="auto"/>
                      <w:sz w:val="18"/>
                      <w:szCs w:val="18"/>
                    </w:rPr>
                  </w:pPr>
                </w:p>
              </w:tc>
              <w:tc>
                <w:tcPr>
                  <w:tcW w:w="541" w:type="pct"/>
                  <w:vMerge w:val="continue"/>
                  <w:vAlign w:val="center"/>
                </w:tcPr>
                <w:p>
                  <w:pPr>
                    <w:pStyle w:val="108"/>
                    <w:adjustRightInd w:val="0"/>
                    <w:snapToGrid w:val="0"/>
                    <w:jc w:val="center"/>
                    <w:rPr>
                      <w:rFonts w:ascii="Times New Roman" w:hAnsi="Times New Roman"/>
                      <w:color w:val="auto"/>
                      <w:sz w:val="18"/>
                      <w:szCs w:val="18"/>
                    </w:rPr>
                  </w:pPr>
                </w:p>
              </w:tc>
              <w:tc>
                <w:tcPr>
                  <w:tcW w:w="835" w:type="pct"/>
                  <w:vAlign w:val="center"/>
                </w:tcPr>
                <w:p>
                  <w:pPr>
                    <w:pStyle w:val="108"/>
                    <w:adjustRightInd w:val="0"/>
                    <w:snapToGrid w:val="0"/>
                    <w:jc w:val="center"/>
                    <w:rPr>
                      <w:rFonts w:ascii="Times New Roman" w:hAnsi="Times New Roman"/>
                      <w:color w:val="auto"/>
                      <w:sz w:val="18"/>
                      <w:szCs w:val="18"/>
                    </w:rPr>
                  </w:pPr>
                  <w:r>
                    <w:rPr>
                      <w:rFonts w:hint="eastAsia" w:ascii="Times New Roman" w:hAnsi="Times New Roman"/>
                      <w:color w:val="auto"/>
                      <w:sz w:val="18"/>
                      <w:szCs w:val="18"/>
                      <w:lang w:eastAsia="zh-CN"/>
                    </w:rPr>
                    <w:t>颗粒物</w:t>
                  </w:r>
                </w:p>
              </w:tc>
              <w:tc>
                <w:tcPr>
                  <w:tcW w:w="522" w:type="pct"/>
                  <w:vAlign w:val="center"/>
                </w:tcPr>
                <w:p>
                  <w:pPr>
                    <w:adjustRightInd w:val="0"/>
                    <w:snapToGrid w:val="0"/>
                    <w:jc w:val="center"/>
                    <w:rPr>
                      <w:color w:val="auto"/>
                      <w:sz w:val="18"/>
                      <w:szCs w:val="18"/>
                    </w:rPr>
                  </w:pPr>
                  <w:r>
                    <w:rPr>
                      <w:color w:val="auto"/>
                      <w:sz w:val="18"/>
                      <w:szCs w:val="18"/>
                    </w:rPr>
                    <w:t>每年一次</w:t>
                  </w:r>
                </w:p>
              </w:tc>
              <w:tc>
                <w:tcPr>
                  <w:tcW w:w="1303" w:type="pct"/>
                  <w:vMerge w:val="continue"/>
                  <w:vAlign w:val="center"/>
                </w:tcPr>
                <w:p>
                  <w:pPr>
                    <w:pStyle w:val="108"/>
                    <w:adjustRightInd w:val="0"/>
                    <w:snapToGrid w:val="0"/>
                    <w:jc w:val="center"/>
                    <w:rPr>
                      <w:color w:val="auto"/>
                      <w:sz w:val="18"/>
                      <w:szCs w:val="18"/>
                      <w:lang w:eastAsia="zh-CN"/>
                    </w:rPr>
                  </w:pPr>
                </w:p>
              </w:tc>
              <w:tc>
                <w:tcPr>
                  <w:tcW w:w="1301" w:type="pct"/>
                  <w:vMerge w:val="continue"/>
                  <w:vAlign w:val="center"/>
                </w:tcPr>
                <w:p>
                  <w:pPr>
                    <w:pStyle w:val="108"/>
                    <w:adjustRightInd w:val="0"/>
                    <w:snapToGrid w:val="0"/>
                    <w:jc w:val="center"/>
                    <w:rPr>
                      <w:rFonts w:ascii="Times New Roman" w:hAnsi="Times New Roman"/>
                      <w:color w:val="auto"/>
                      <w:sz w:val="18"/>
                      <w:szCs w:val="18"/>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0"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214"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541"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835" w:type="pct"/>
                  <w:vAlign w:val="center"/>
                </w:tcPr>
                <w:p>
                  <w:pPr>
                    <w:pStyle w:val="108"/>
                    <w:adjustRightInd w:val="0"/>
                    <w:snapToGrid w:val="0"/>
                    <w:jc w:val="center"/>
                    <w:rPr>
                      <w:rFonts w:ascii="Times New Roman" w:hAnsi="Times New Roman"/>
                      <w:color w:val="auto"/>
                      <w:sz w:val="18"/>
                      <w:szCs w:val="18"/>
                    </w:rPr>
                  </w:pPr>
                  <w:r>
                    <w:rPr>
                      <w:rFonts w:hint="eastAsia" w:ascii="Times New Roman" w:hAnsi="Times New Roman"/>
                      <w:color w:val="auto"/>
                      <w:sz w:val="18"/>
                      <w:szCs w:val="18"/>
                      <w:lang w:eastAsia="zh-CN"/>
                    </w:rPr>
                    <w:t>硫化氢</w:t>
                  </w:r>
                </w:p>
              </w:tc>
              <w:tc>
                <w:tcPr>
                  <w:tcW w:w="522" w:type="pct"/>
                  <w:vAlign w:val="center"/>
                </w:tcPr>
                <w:p>
                  <w:pPr>
                    <w:adjustRightInd w:val="0"/>
                    <w:snapToGrid w:val="0"/>
                    <w:jc w:val="center"/>
                    <w:rPr>
                      <w:color w:val="auto"/>
                      <w:sz w:val="18"/>
                      <w:szCs w:val="18"/>
                    </w:rPr>
                  </w:pPr>
                  <w:r>
                    <w:rPr>
                      <w:color w:val="auto"/>
                      <w:sz w:val="18"/>
                      <w:szCs w:val="18"/>
                    </w:rPr>
                    <w:t>每年一次</w:t>
                  </w:r>
                </w:p>
              </w:tc>
              <w:tc>
                <w:tcPr>
                  <w:tcW w:w="1303" w:type="pct"/>
                  <w:vMerge w:val="restart"/>
                  <w:vAlign w:val="center"/>
                </w:tcPr>
                <w:p>
                  <w:pPr>
                    <w:pStyle w:val="108"/>
                    <w:adjustRightInd w:val="0"/>
                    <w:snapToGrid w:val="0"/>
                    <w:jc w:val="center"/>
                    <w:rPr>
                      <w:rFonts w:ascii="Times New Roman" w:hAnsi="Times New Roman"/>
                      <w:color w:val="auto"/>
                      <w:sz w:val="18"/>
                      <w:szCs w:val="18"/>
                      <w:lang w:eastAsia="zh-CN"/>
                    </w:rPr>
                  </w:pPr>
                  <w:r>
                    <w:rPr>
                      <w:rFonts w:hint="eastAsia"/>
                      <w:color w:val="auto"/>
                      <w:sz w:val="18"/>
                      <w:szCs w:val="18"/>
                      <w:lang w:eastAsia="zh-CN"/>
                    </w:rPr>
                    <w:t>《恶臭污染物排放标准》（GB14554-93）</w:t>
                  </w:r>
                </w:p>
              </w:tc>
              <w:tc>
                <w:tcPr>
                  <w:tcW w:w="1301" w:type="pct"/>
                  <w:vMerge w:val="continue"/>
                  <w:vAlign w:val="center"/>
                </w:tcPr>
                <w:p>
                  <w:pPr>
                    <w:pStyle w:val="108"/>
                    <w:adjustRightInd w:val="0"/>
                    <w:snapToGrid w:val="0"/>
                    <w:jc w:val="center"/>
                    <w:rPr>
                      <w:rFonts w:ascii="Times New Roman" w:hAnsi="Times New Roman"/>
                      <w:color w:val="auto"/>
                      <w:sz w:val="18"/>
                      <w:szCs w:val="18"/>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0"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214"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541"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835" w:type="pct"/>
                  <w:vAlign w:val="center"/>
                </w:tcPr>
                <w:p>
                  <w:pPr>
                    <w:pStyle w:val="108"/>
                    <w:adjustRightInd w:val="0"/>
                    <w:snapToGrid w:val="0"/>
                    <w:jc w:val="center"/>
                    <w:rPr>
                      <w:rFonts w:ascii="Times New Roman" w:hAnsi="Times New Roman"/>
                      <w:color w:val="auto"/>
                      <w:sz w:val="18"/>
                      <w:szCs w:val="18"/>
                      <w:lang w:eastAsia="zh-CN"/>
                    </w:rPr>
                  </w:pPr>
                  <w:r>
                    <w:rPr>
                      <w:rFonts w:hint="eastAsia" w:ascii="Times New Roman" w:hAnsi="Times New Roman"/>
                      <w:color w:val="auto"/>
                      <w:sz w:val="18"/>
                      <w:szCs w:val="18"/>
                      <w:lang w:eastAsia="zh-CN"/>
                    </w:rPr>
                    <w:t>CS</w:t>
                  </w:r>
                  <w:r>
                    <w:rPr>
                      <w:rFonts w:hint="eastAsia" w:ascii="Times New Roman" w:hAnsi="Times New Roman"/>
                      <w:color w:val="auto"/>
                      <w:sz w:val="18"/>
                      <w:szCs w:val="18"/>
                      <w:vertAlign w:val="subscript"/>
                      <w:lang w:eastAsia="zh-CN"/>
                    </w:rPr>
                    <w:t>2</w:t>
                  </w:r>
                </w:p>
              </w:tc>
              <w:tc>
                <w:tcPr>
                  <w:tcW w:w="522" w:type="pct"/>
                  <w:vAlign w:val="center"/>
                </w:tcPr>
                <w:p>
                  <w:pPr>
                    <w:adjustRightInd w:val="0"/>
                    <w:snapToGrid w:val="0"/>
                    <w:jc w:val="center"/>
                    <w:rPr>
                      <w:color w:val="auto"/>
                      <w:sz w:val="18"/>
                      <w:szCs w:val="18"/>
                    </w:rPr>
                  </w:pPr>
                  <w:r>
                    <w:rPr>
                      <w:color w:val="auto"/>
                      <w:sz w:val="18"/>
                      <w:szCs w:val="18"/>
                    </w:rPr>
                    <w:t>每年一次</w:t>
                  </w:r>
                </w:p>
              </w:tc>
              <w:tc>
                <w:tcPr>
                  <w:tcW w:w="1303" w:type="pct"/>
                  <w:vMerge w:val="continue"/>
                  <w:vAlign w:val="center"/>
                </w:tcPr>
                <w:p>
                  <w:pPr>
                    <w:pStyle w:val="108"/>
                    <w:adjustRightInd w:val="0"/>
                    <w:snapToGrid w:val="0"/>
                    <w:jc w:val="center"/>
                    <w:rPr>
                      <w:color w:val="auto"/>
                      <w:sz w:val="18"/>
                      <w:szCs w:val="18"/>
                      <w:lang w:eastAsia="zh-CN"/>
                    </w:rPr>
                  </w:pPr>
                </w:p>
              </w:tc>
              <w:tc>
                <w:tcPr>
                  <w:tcW w:w="1301" w:type="pct"/>
                  <w:vMerge w:val="continue"/>
                  <w:vAlign w:val="center"/>
                </w:tcPr>
                <w:p>
                  <w:pPr>
                    <w:pStyle w:val="108"/>
                    <w:adjustRightInd w:val="0"/>
                    <w:snapToGrid w:val="0"/>
                    <w:jc w:val="center"/>
                    <w:rPr>
                      <w:rFonts w:ascii="Times New Roman" w:hAnsi="Times New Roman"/>
                      <w:color w:val="auto"/>
                      <w:sz w:val="18"/>
                      <w:szCs w:val="18"/>
                      <w:lang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0"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214" w:type="pct"/>
                  <w:vMerge w:val="continue"/>
                  <w:vAlign w:val="center"/>
                </w:tcPr>
                <w:p>
                  <w:pPr>
                    <w:pStyle w:val="108"/>
                    <w:adjustRightInd w:val="0"/>
                    <w:snapToGrid w:val="0"/>
                    <w:jc w:val="center"/>
                    <w:rPr>
                      <w:rFonts w:ascii="Times New Roman" w:hAnsi="Times New Roman"/>
                      <w:color w:val="auto"/>
                      <w:sz w:val="18"/>
                      <w:szCs w:val="18"/>
                      <w:lang w:eastAsia="zh-CN"/>
                    </w:rPr>
                  </w:pPr>
                </w:p>
              </w:tc>
              <w:tc>
                <w:tcPr>
                  <w:tcW w:w="541" w:type="pct"/>
                  <w:vAlign w:val="center"/>
                </w:tcPr>
                <w:p>
                  <w:pPr>
                    <w:pStyle w:val="108"/>
                    <w:adjustRightInd w:val="0"/>
                    <w:snapToGrid w:val="0"/>
                    <w:jc w:val="center"/>
                    <w:rPr>
                      <w:rFonts w:ascii="Times New Roman" w:hAnsi="Times New Roman"/>
                      <w:color w:val="auto"/>
                      <w:sz w:val="18"/>
                      <w:szCs w:val="18"/>
                      <w:lang w:eastAsia="zh-CN"/>
                    </w:rPr>
                  </w:pPr>
                  <w:r>
                    <w:rPr>
                      <w:rFonts w:ascii="Times New Roman" w:hAnsi="Times New Roman"/>
                      <w:color w:val="auto"/>
                      <w:sz w:val="18"/>
                      <w:szCs w:val="18"/>
                      <w:lang w:eastAsia="zh-CN"/>
                    </w:rPr>
                    <w:t>厂区内</w:t>
                  </w:r>
                </w:p>
              </w:tc>
              <w:tc>
                <w:tcPr>
                  <w:tcW w:w="835" w:type="pct"/>
                  <w:vAlign w:val="center"/>
                </w:tcPr>
                <w:p>
                  <w:pPr>
                    <w:pStyle w:val="108"/>
                    <w:adjustRightInd w:val="0"/>
                    <w:snapToGrid w:val="0"/>
                    <w:jc w:val="center"/>
                    <w:rPr>
                      <w:rFonts w:ascii="Times New Roman" w:hAnsi="Times New Roman"/>
                      <w:color w:val="auto"/>
                      <w:sz w:val="18"/>
                      <w:szCs w:val="18"/>
                      <w:lang w:eastAsia="zh-CN"/>
                    </w:rPr>
                  </w:pPr>
                  <w:r>
                    <w:rPr>
                      <w:rFonts w:ascii="Times New Roman" w:hAnsi="Times New Roman"/>
                      <w:color w:val="auto"/>
                      <w:sz w:val="18"/>
                      <w:szCs w:val="18"/>
                      <w:lang w:eastAsia="zh-CN"/>
                    </w:rPr>
                    <w:t>非甲烷总烃</w:t>
                  </w:r>
                </w:p>
              </w:tc>
              <w:tc>
                <w:tcPr>
                  <w:tcW w:w="522" w:type="pct"/>
                  <w:vAlign w:val="center"/>
                </w:tcPr>
                <w:p>
                  <w:pPr>
                    <w:pStyle w:val="108"/>
                    <w:adjustRightInd w:val="0"/>
                    <w:snapToGrid w:val="0"/>
                    <w:jc w:val="center"/>
                    <w:rPr>
                      <w:rFonts w:ascii="Times New Roman" w:hAnsi="Times New Roman"/>
                      <w:color w:val="auto"/>
                      <w:sz w:val="18"/>
                      <w:szCs w:val="18"/>
                      <w:lang w:eastAsia="zh-CN"/>
                    </w:rPr>
                  </w:pPr>
                  <w:r>
                    <w:rPr>
                      <w:rFonts w:ascii="Times New Roman" w:hAnsi="Times New Roman"/>
                      <w:color w:val="auto"/>
                      <w:sz w:val="18"/>
                      <w:szCs w:val="18"/>
                      <w:lang w:eastAsia="zh-CN"/>
                    </w:rPr>
                    <w:t>每年一次</w:t>
                  </w:r>
                </w:p>
              </w:tc>
              <w:tc>
                <w:tcPr>
                  <w:tcW w:w="1303" w:type="pct"/>
                  <w:vAlign w:val="center"/>
                </w:tcPr>
                <w:p>
                  <w:pPr>
                    <w:pStyle w:val="108"/>
                    <w:adjustRightInd w:val="0"/>
                    <w:snapToGrid w:val="0"/>
                    <w:jc w:val="center"/>
                    <w:rPr>
                      <w:rFonts w:ascii="Times New Roman" w:hAnsi="Times New Roman"/>
                      <w:color w:val="auto"/>
                      <w:sz w:val="18"/>
                      <w:szCs w:val="18"/>
                      <w:lang w:eastAsia="zh-CN"/>
                    </w:rPr>
                  </w:pPr>
                  <w:r>
                    <w:rPr>
                      <w:rFonts w:ascii="Times New Roman" w:hAnsi="Times New Roman"/>
                      <w:color w:val="auto"/>
                      <w:sz w:val="18"/>
                      <w:szCs w:val="18"/>
                      <w:lang w:eastAsia="zh-CN"/>
                    </w:rPr>
                    <w:t>《大气污染物综合排放标准》（DB32/4041-2021）</w:t>
                  </w:r>
                </w:p>
              </w:tc>
              <w:tc>
                <w:tcPr>
                  <w:tcW w:w="1301" w:type="pct"/>
                  <w:vMerge w:val="continue"/>
                  <w:vAlign w:val="center"/>
                </w:tcPr>
                <w:p>
                  <w:pPr>
                    <w:pStyle w:val="108"/>
                    <w:adjustRightInd w:val="0"/>
                    <w:snapToGrid w:val="0"/>
                    <w:jc w:val="center"/>
                    <w:rPr>
                      <w:rFonts w:ascii="Times New Roman" w:hAnsi="Times New Roman"/>
                      <w:color w:val="auto"/>
                      <w:sz w:val="18"/>
                      <w:szCs w:val="18"/>
                      <w:lang w:eastAsia="zh-CN"/>
                    </w:rPr>
                  </w:pPr>
                </w:p>
              </w:tc>
            </w:tr>
          </w:tbl>
          <w:p>
            <w:pPr>
              <w:adjustRightInd w:val="0"/>
              <w:snapToGrid w:val="0"/>
              <w:spacing w:before="120" w:beforeLines="50" w:line="360" w:lineRule="auto"/>
              <w:ind w:firstLine="420" w:firstLineChars="200"/>
              <w:rPr>
                <w:color w:val="auto"/>
                <w:kern w:val="0"/>
                <w:szCs w:val="21"/>
              </w:rPr>
            </w:pPr>
            <w:r>
              <w:rPr>
                <w:color w:val="auto"/>
                <w:kern w:val="0"/>
                <w:szCs w:val="21"/>
              </w:rPr>
              <w:t>（</w:t>
            </w:r>
            <w:r>
              <w:rPr>
                <w:rFonts w:hint="eastAsia"/>
                <w:color w:val="auto"/>
                <w:kern w:val="0"/>
                <w:szCs w:val="21"/>
              </w:rPr>
              <w:t>6</w:t>
            </w:r>
            <w:r>
              <w:rPr>
                <w:color w:val="auto"/>
                <w:kern w:val="0"/>
                <w:szCs w:val="21"/>
              </w:rPr>
              <w:t>）大气环境影响分析结论</w:t>
            </w:r>
          </w:p>
          <w:p>
            <w:pPr>
              <w:pStyle w:val="28"/>
              <w:spacing w:line="360" w:lineRule="auto"/>
              <w:ind w:firstLine="420" w:firstLineChars="200"/>
              <w:rPr>
                <w:snapToGrid w:val="0"/>
                <w:color w:val="auto"/>
                <w:sz w:val="21"/>
                <w:szCs w:val="21"/>
              </w:rPr>
            </w:pPr>
            <w:r>
              <w:rPr>
                <w:snapToGrid w:val="0"/>
                <w:color w:val="auto"/>
                <w:sz w:val="21"/>
                <w:szCs w:val="21"/>
              </w:rPr>
              <w:t>本项目位于</w:t>
            </w:r>
            <w:r>
              <w:rPr>
                <w:rFonts w:hint="eastAsia"/>
                <w:color w:val="auto"/>
                <w:sz w:val="21"/>
                <w:szCs w:val="21"/>
              </w:rPr>
              <w:t>太仓城厢镇东亭北路128号9幢</w:t>
            </w:r>
            <w:r>
              <w:rPr>
                <w:snapToGrid w:val="0"/>
                <w:color w:val="auto"/>
                <w:sz w:val="21"/>
                <w:szCs w:val="21"/>
              </w:rPr>
              <w:t>，项目周边500米范围内</w:t>
            </w:r>
            <w:r>
              <w:rPr>
                <w:rFonts w:hint="eastAsia"/>
                <w:snapToGrid w:val="0"/>
                <w:color w:val="auto"/>
                <w:sz w:val="21"/>
                <w:szCs w:val="21"/>
              </w:rPr>
              <w:t>无</w:t>
            </w:r>
            <w:r>
              <w:rPr>
                <w:snapToGrid w:val="0"/>
                <w:color w:val="auto"/>
                <w:sz w:val="21"/>
                <w:szCs w:val="21"/>
              </w:rPr>
              <w:t>大气环境保护目标，项目区域大气环境中非甲烷总烃现状值满足《大气污染物综合排放标准详解》中推荐值</w:t>
            </w:r>
            <w:r>
              <w:rPr>
                <w:rFonts w:hint="eastAsia"/>
                <w:snapToGrid w:val="0"/>
                <w:color w:val="auto"/>
                <w:sz w:val="21"/>
                <w:szCs w:val="21"/>
              </w:rPr>
              <w:t>，硫化氢小时浓度满足《环境影响评价技术导则 大气环境》（HJ2.2-2018）附录 D 质量浓度参考限值。</w:t>
            </w:r>
            <w:r>
              <w:rPr>
                <w:snapToGrid w:val="0"/>
                <w:color w:val="auto"/>
                <w:sz w:val="21"/>
                <w:szCs w:val="21"/>
              </w:rPr>
              <w:t>经相应的污染治理措施处理后，各废气排放浓度均满足相应标准。本项目各废气污染物达标排放，对周围大气环境影响较小。</w:t>
            </w:r>
          </w:p>
          <w:p>
            <w:pPr>
              <w:spacing w:line="360" w:lineRule="auto"/>
              <w:ind w:firstLine="422" w:firstLineChars="200"/>
              <w:rPr>
                <w:b/>
                <w:bCs/>
                <w:color w:val="auto"/>
                <w:kern w:val="0"/>
                <w:szCs w:val="21"/>
              </w:rPr>
            </w:pPr>
            <w:r>
              <w:rPr>
                <w:b/>
                <w:bCs/>
                <w:color w:val="auto"/>
                <w:kern w:val="0"/>
                <w:szCs w:val="21"/>
              </w:rPr>
              <w:t>2、废水</w:t>
            </w:r>
          </w:p>
          <w:p>
            <w:pPr>
              <w:spacing w:line="360" w:lineRule="auto"/>
              <w:ind w:firstLine="420" w:firstLineChars="200"/>
              <w:rPr>
                <w:color w:val="auto"/>
                <w:kern w:val="0"/>
                <w:szCs w:val="21"/>
              </w:rPr>
            </w:pPr>
            <w:r>
              <w:rPr>
                <w:color w:val="auto"/>
                <w:kern w:val="0"/>
                <w:szCs w:val="21"/>
              </w:rPr>
              <w:t>本项目废水主要为生活污水W1</w:t>
            </w:r>
            <w:r>
              <w:rPr>
                <w:rFonts w:hint="eastAsia"/>
                <w:color w:val="auto"/>
                <w:kern w:val="0"/>
                <w:szCs w:val="21"/>
              </w:rPr>
              <w:t>经</w:t>
            </w:r>
            <w:r>
              <w:rPr>
                <w:color w:val="auto"/>
                <w:kern w:val="0"/>
                <w:szCs w:val="21"/>
              </w:rPr>
              <w:t>处理后由DW001接管城东污水处理厂。</w:t>
            </w:r>
          </w:p>
          <w:p>
            <w:pPr>
              <w:adjustRightInd w:val="0"/>
              <w:snapToGrid w:val="0"/>
              <w:spacing w:line="360" w:lineRule="auto"/>
              <w:ind w:firstLine="420" w:firstLineChars="200"/>
              <w:jc w:val="left"/>
              <w:rPr>
                <w:color w:val="auto"/>
                <w:kern w:val="0"/>
                <w:szCs w:val="21"/>
              </w:rPr>
            </w:pPr>
            <w:r>
              <w:rPr>
                <w:color w:val="auto"/>
                <w:kern w:val="0"/>
                <w:szCs w:val="21"/>
              </w:rPr>
              <w:t>（1）废水污染源强</w:t>
            </w:r>
          </w:p>
          <w:p>
            <w:pPr>
              <w:spacing w:line="360" w:lineRule="auto"/>
              <w:ind w:firstLine="420" w:firstLineChars="200"/>
              <w:rPr>
                <w:color w:val="auto"/>
                <w:szCs w:val="21"/>
              </w:rPr>
            </w:pPr>
            <w:r>
              <w:rPr>
                <w:rFonts w:hint="eastAsia"/>
                <w:color w:val="auto"/>
                <w:kern w:val="0"/>
                <w:szCs w:val="21"/>
                <w:lang w:val="en-US" w:eastAsia="zh-CN"/>
              </w:rPr>
              <w:t>全厂</w:t>
            </w:r>
            <w:r>
              <w:rPr>
                <w:color w:val="auto"/>
                <w:szCs w:val="21"/>
              </w:rPr>
              <w:t>生活污水量</w:t>
            </w:r>
            <w:r>
              <w:rPr>
                <w:color w:val="auto"/>
                <w:szCs w:val="21"/>
              </w:rPr>
              <w:t>为</w:t>
            </w:r>
            <w:r>
              <w:rPr>
                <w:rFonts w:hint="eastAsia"/>
                <w:color w:val="auto"/>
                <w:szCs w:val="21"/>
                <w:lang w:val="en-US" w:eastAsia="zh-CN"/>
              </w:rPr>
              <w:t>42</w:t>
            </w:r>
            <w:r>
              <w:rPr>
                <w:rFonts w:hint="eastAsia"/>
                <w:color w:val="auto"/>
                <w:szCs w:val="21"/>
              </w:rPr>
              <w:t>0</w:t>
            </w:r>
            <w:r>
              <w:rPr>
                <w:color w:val="auto"/>
                <w:szCs w:val="21"/>
              </w:rPr>
              <w:t>t/a</w:t>
            </w:r>
            <w:r>
              <w:rPr>
                <w:color w:val="auto"/>
                <w:szCs w:val="21"/>
              </w:rPr>
              <w:t>，经化粪池预处理后</w:t>
            </w:r>
            <w:r>
              <w:rPr>
                <w:color w:val="auto"/>
                <w:kern w:val="0"/>
                <w:szCs w:val="21"/>
              </w:rPr>
              <w:t>接管城东污水处理厂</w:t>
            </w:r>
            <w:r>
              <w:rPr>
                <w:color w:val="auto"/>
                <w:szCs w:val="21"/>
              </w:rPr>
              <w:t>。参照《给水排水设计手册》（第5册）表4-1，生活污水污染物浓度分别为COD350mg/L、SS200mg/L、氨氮25mg/L、总氮30mg/L、总磷</w:t>
            </w:r>
            <w:r>
              <w:rPr>
                <w:rFonts w:hint="eastAsia"/>
                <w:color w:val="auto"/>
                <w:szCs w:val="21"/>
              </w:rPr>
              <w:t>3</w:t>
            </w:r>
            <w:r>
              <w:rPr>
                <w:color w:val="auto"/>
                <w:szCs w:val="21"/>
              </w:rPr>
              <w:t>mg/L。</w:t>
            </w:r>
          </w:p>
          <w:p>
            <w:pPr>
              <w:spacing w:line="360" w:lineRule="auto"/>
              <w:ind w:firstLine="420" w:firstLineChars="200"/>
              <w:jc w:val="left"/>
              <w:rPr>
                <w:snapToGrid w:val="0"/>
                <w:color w:val="auto"/>
                <w:kern w:val="0"/>
                <w:szCs w:val="21"/>
              </w:rPr>
            </w:pPr>
            <w:r>
              <w:rPr>
                <w:color w:val="auto"/>
                <w:kern w:val="0"/>
                <w:szCs w:val="21"/>
              </w:rPr>
              <w:t>废水污染源强核算结果及相关参数一览见表4-1</w:t>
            </w:r>
            <w:r>
              <w:rPr>
                <w:rFonts w:hint="eastAsia"/>
                <w:color w:val="auto"/>
                <w:kern w:val="0"/>
                <w:szCs w:val="21"/>
              </w:rPr>
              <w:t>2</w:t>
            </w:r>
            <w:r>
              <w:rPr>
                <w:snapToGrid w:val="0"/>
                <w:color w:val="auto"/>
                <w:kern w:val="0"/>
                <w:szCs w:val="21"/>
              </w:rPr>
              <w:t>。</w:t>
            </w:r>
          </w:p>
          <w:p>
            <w:pPr>
              <w:ind w:firstLine="4" w:firstLineChars="2"/>
              <w:jc w:val="center"/>
              <w:rPr>
                <w:b/>
                <w:color w:val="auto"/>
                <w:kern w:val="0"/>
                <w:szCs w:val="21"/>
              </w:rPr>
            </w:pPr>
            <w:r>
              <w:rPr>
                <w:b/>
                <w:color w:val="auto"/>
                <w:kern w:val="0"/>
                <w:szCs w:val="21"/>
              </w:rPr>
              <w:t>表4-1</w:t>
            </w:r>
            <w:r>
              <w:rPr>
                <w:rFonts w:hint="eastAsia"/>
                <w:b/>
                <w:color w:val="auto"/>
                <w:kern w:val="0"/>
                <w:szCs w:val="21"/>
              </w:rPr>
              <w:t>2</w:t>
            </w:r>
            <w:r>
              <w:rPr>
                <w:b/>
                <w:color w:val="auto"/>
                <w:kern w:val="0"/>
                <w:szCs w:val="21"/>
              </w:rPr>
              <w:t xml:space="preserve">  废水污染源源强核算结果及相关参数一览表</w:t>
            </w:r>
          </w:p>
          <w:tbl>
            <w:tblPr>
              <w:tblStyle w:val="37"/>
              <w:tblpPr w:leftFromText="180" w:rightFromText="180" w:vertAnchor="text" w:tblpXSpec="center" w:tblpY="1"/>
              <w:tblOverlap w:val="never"/>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693"/>
              <w:gridCol w:w="996"/>
              <w:gridCol w:w="870"/>
              <w:gridCol w:w="827"/>
              <w:gridCol w:w="610"/>
              <w:gridCol w:w="793"/>
              <w:gridCol w:w="320"/>
              <w:gridCol w:w="650"/>
              <w:gridCol w:w="870"/>
              <w:gridCol w:w="591"/>
              <w:gridCol w:w="902"/>
              <w:gridCol w:w="658"/>
              <w:gridCol w:w="62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68" w:type="pct"/>
                  <w:vMerge w:val="restar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color w:val="auto"/>
                      <w:kern w:val="0"/>
                      <w:sz w:val="18"/>
                      <w:szCs w:val="18"/>
                    </w:rPr>
                    <w:t>工序/生产线</w:t>
                  </w:r>
                </w:p>
              </w:tc>
              <w:tc>
                <w:tcPr>
                  <w:tcW w:w="529" w:type="pct"/>
                  <w:vMerge w:val="restar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污染源</w:t>
                  </w:r>
                </w:p>
              </w:tc>
              <w:tc>
                <w:tcPr>
                  <w:tcW w:w="462" w:type="pct"/>
                  <w:vMerge w:val="restar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废水量</w:t>
                  </w:r>
                </w:p>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t/a</w:t>
                  </w:r>
                </w:p>
              </w:tc>
              <w:tc>
                <w:tcPr>
                  <w:tcW w:w="439" w:type="pct"/>
                  <w:vMerge w:val="restar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污染物</w:t>
                  </w:r>
                </w:p>
              </w:tc>
              <w:tc>
                <w:tcPr>
                  <w:tcW w:w="745" w:type="pct"/>
                  <w:gridSpan w:val="2"/>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产生情况</w:t>
                  </w:r>
                </w:p>
              </w:tc>
              <w:tc>
                <w:tcPr>
                  <w:tcW w:w="515" w:type="pct"/>
                  <w:gridSpan w:val="2"/>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治理措施</w:t>
                  </w:r>
                </w:p>
              </w:tc>
              <w:tc>
                <w:tcPr>
                  <w:tcW w:w="1255" w:type="pct"/>
                  <w:gridSpan w:val="3"/>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排放情况</w:t>
                  </w:r>
                </w:p>
              </w:tc>
              <w:tc>
                <w:tcPr>
                  <w:tcW w:w="349" w:type="pct"/>
                  <w:vMerge w:val="restar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标准浓度限值</w:t>
                  </w:r>
                </w:p>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mg/L</w:t>
                  </w:r>
                </w:p>
              </w:tc>
              <w:tc>
                <w:tcPr>
                  <w:tcW w:w="332" w:type="pct"/>
                  <w:vMerge w:val="restar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排放方式及去向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68"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529"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6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39"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324" w:type="pc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浓度</w:t>
                  </w:r>
                </w:p>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mg/L</w:t>
                  </w:r>
                </w:p>
              </w:tc>
              <w:tc>
                <w:tcPr>
                  <w:tcW w:w="420" w:type="pc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产生量</w:t>
                  </w:r>
                </w:p>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t/a</w:t>
                  </w:r>
                </w:p>
              </w:tc>
              <w:tc>
                <w:tcPr>
                  <w:tcW w:w="170" w:type="pct"/>
                  <w:vAlign w:val="center"/>
                </w:tcPr>
                <w:p>
                  <w:pPr>
                    <w:adjustRightInd w:val="0"/>
                    <w:snapToGrid w:val="0"/>
                    <w:jc w:val="center"/>
                    <w:rPr>
                      <w:b/>
                      <w:snapToGrid w:val="0"/>
                      <w:color w:val="auto"/>
                      <w:kern w:val="0"/>
                      <w:sz w:val="18"/>
                      <w:szCs w:val="18"/>
                    </w:rPr>
                  </w:pPr>
                  <w:r>
                    <w:rPr>
                      <w:b/>
                      <w:snapToGrid w:val="0"/>
                      <w:color w:val="auto"/>
                      <w:kern w:val="0"/>
                      <w:sz w:val="18"/>
                      <w:szCs w:val="18"/>
                    </w:rPr>
                    <w:t>工艺</w:t>
                  </w:r>
                </w:p>
              </w:tc>
              <w:tc>
                <w:tcPr>
                  <w:tcW w:w="345" w:type="pct"/>
                  <w:vAlign w:val="center"/>
                </w:tcPr>
                <w:p>
                  <w:pPr>
                    <w:adjustRightInd w:val="0"/>
                    <w:snapToGrid w:val="0"/>
                    <w:jc w:val="center"/>
                    <w:rPr>
                      <w:b/>
                      <w:snapToGrid w:val="0"/>
                      <w:color w:val="auto"/>
                      <w:kern w:val="0"/>
                      <w:sz w:val="18"/>
                      <w:szCs w:val="18"/>
                    </w:rPr>
                  </w:pPr>
                  <w:r>
                    <w:rPr>
                      <w:b/>
                      <w:snapToGrid w:val="0"/>
                      <w:color w:val="auto"/>
                      <w:kern w:val="0"/>
                      <w:sz w:val="18"/>
                      <w:szCs w:val="18"/>
                    </w:rPr>
                    <w:t>效率（%）</w:t>
                  </w:r>
                </w:p>
              </w:tc>
              <w:tc>
                <w:tcPr>
                  <w:tcW w:w="462" w:type="pc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废水量</w:t>
                  </w:r>
                </w:p>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t/a</w:t>
                  </w:r>
                </w:p>
              </w:tc>
              <w:tc>
                <w:tcPr>
                  <w:tcW w:w="314" w:type="pc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浓度</w:t>
                  </w:r>
                </w:p>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mg/L</w:t>
                  </w:r>
                </w:p>
              </w:tc>
              <w:tc>
                <w:tcPr>
                  <w:tcW w:w="479" w:type="pc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排放量</w:t>
                  </w:r>
                </w:p>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t/a</w:t>
                  </w:r>
                </w:p>
              </w:tc>
              <w:tc>
                <w:tcPr>
                  <w:tcW w:w="349"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33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68" w:type="pct"/>
                  <w:vMerge w:val="restar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员工生活</w:t>
                  </w:r>
                </w:p>
              </w:tc>
              <w:tc>
                <w:tcPr>
                  <w:tcW w:w="529" w:type="pct"/>
                  <w:vMerge w:val="restar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生活污水</w:t>
                  </w:r>
                </w:p>
              </w:tc>
              <w:tc>
                <w:tcPr>
                  <w:tcW w:w="462" w:type="pct"/>
                  <w:vMerge w:val="restart"/>
                  <w:vAlign w:val="center"/>
                </w:tcPr>
                <w:p>
                  <w:pPr>
                    <w:pStyle w:val="100"/>
                    <w:adjustRightInd w:val="0"/>
                    <w:spacing w:line="240" w:lineRule="auto"/>
                    <w:ind w:firstLine="0" w:firstLineChars="0"/>
                    <w:jc w:val="center"/>
                    <w:rPr>
                      <w:rFonts w:hint="default" w:ascii="Times New Roman" w:hAnsi="Times New Roman" w:eastAsia="宋体"/>
                      <w:snapToGrid w:val="0"/>
                      <w:color w:val="auto"/>
                      <w:kern w:val="0"/>
                      <w:sz w:val="18"/>
                      <w:szCs w:val="18"/>
                      <w:lang w:val="en-US" w:eastAsia="zh-CN"/>
                    </w:rPr>
                  </w:pPr>
                  <w:r>
                    <w:rPr>
                      <w:rFonts w:hint="eastAsia" w:ascii="Times New Roman" w:hAnsi="Times New Roman" w:eastAsia="宋体"/>
                      <w:snapToGrid w:val="0"/>
                      <w:color w:val="auto"/>
                      <w:kern w:val="0"/>
                      <w:sz w:val="18"/>
                      <w:szCs w:val="18"/>
                      <w:lang w:val="en-US" w:eastAsia="zh-CN"/>
                    </w:rPr>
                    <w:t>420</w:t>
                  </w:r>
                </w:p>
              </w:tc>
              <w:tc>
                <w:tcPr>
                  <w:tcW w:w="43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pH</w:t>
                  </w:r>
                </w:p>
              </w:tc>
              <w:tc>
                <w:tcPr>
                  <w:tcW w:w="324" w:type="pc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color w:val="auto"/>
                      <w:sz w:val="18"/>
                      <w:szCs w:val="18"/>
                    </w:rPr>
                    <w:t>6-9</w:t>
                  </w:r>
                </w:p>
              </w:tc>
              <w:tc>
                <w:tcPr>
                  <w:tcW w:w="420"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w:t>
                  </w:r>
                </w:p>
              </w:tc>
              <w:tc>
                <w:tcPr>
                  <w:tcW w:w="170" w:type="pct"/>
                  <w:vMerge w:val="restar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snapToGrid w:val="0"/>
                      <w:color w:val="auto"/>
                      <w:kern w:val="0"/>
                      <w:sz w:val="18"/>
                      <w:szCs w:val="18"/>
                    </w:rPr>
                    <w:t>/</w:t>
                  </w:r>
                </w:p>
              </w:tc>
              <w:tc>
                <w:tcPr>
                  <w:tcW w:w="345" w:type="pc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snapToGrid w:val="0"/>
                      <w:color w:val="auto"/>
                      <w:kern w:val="0"/>
                      <w:sz w:val="18"/>
                      <w:szCs w:val="18"/>
                    </w:rPr>
                    <w:t>/</w:t>
                  </w:r>
                </w:p>
              </w:tc>
              <w:tc>
                <w:tcPr>
                  <w:tcW w:w="462" w:type="pct"/>
                  <w:vMerge w:val="restart"/>
                  <w:vAlign w:val="center"/>
                </w:tcPr>
                <w:p>
                  <w:pPr>
                    <w:pStyle w:val="100"/>
                    <w:adjustRightInd w:val="0"/>
                    <w:spacing w:line="240" w:lineRule="auto"/>
                    <w:ind w:firstLine="0" w:firstLineChars="0"/>
                    <w:jc w:val="center"/>
                    <w:rPr>
                      <w:rFonts w:hint="default" w:ascii="Times New Roman" w:hAnsi="Times New Roman" w:eastAsia="宋体"/>
                      <w:snapToGrid w:val="0"/>
                      <w:color w:val="auto"/>
                      <w:kern w:val="0"/>
                      <w:sz w:val="18"/>
                      <w:szCs w:val="18"/>
                      <w:lang w:val="en-US" w:eastAsia="zh-CN"/>
                    </w:rPr>
                  </w:pPr>
                  <w:r>
                    <w:rPr>
                      <w:rFonts w:hint="eastAsia" w:ascii="Times New Roman" w:hAnsi="Times New Roman" w:eastAsia="宋体"/>
                      <w:snapToGrid w:val="0"/>
                      <w:color w:val="auto"/>
                      <w:kern w:val="0"/>
                      <w:sz w:val="18"/>
                      <w:szCs w:val="18"/>
                      <w:lang w:val="en-US" w:eastAsia="zh-CN"/>
                    </w:rPr>
                    <w:t>420</w:t>
                  </w:r>
                </w:p>
              </w:tc>
              <w:tc>
                <w:tcPr>
                  <w:tcW w:w="314" w:type="pc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color w:val="auto"/>
                      <w:sz w:val="18"/>
                      <w:szCs w:val="18"/>
                    </w:rPr>
                    <w:t>6-9</w:t>
                  </w:r>
                </w:p>
              </w:tc>
              <w:tc>
                <w:tcPr>
                  <w:tcW w:w="479" w:type="pct"/>
                  <w:vAlign w:val="center"/>
                </w:tcPr>
                <w:p>
                  <w:pPr>
                    <w:pStyle w:val="100"/>
                    <w:adjustRightInd w:val="0"/>
                    <w:spacing w:line="240" w:lineRule="auto"/>
                    <w:ind w:firstLine="0" w:firstLineChars="0"/>
                    <w:jc w:val="center"/>
                    <w:rPr>
                      <w:rFonts w:ascii="Times New Roman" w:hAnsi="Times New Roman" w:eastAsia="宋体"/>
                      <w:b/>
                      <w:snapToGrid w:val="0"/>
                      <w:color w:val="auto"/>
                      <w:kern w:val="0"/>
                      <w:sz w:val="18"/>
                      <w:szCs w:val="18"/>
                    </w:rPr>
                  </w:pPr>
                  <w:r>
                    <w:rPr>
                      <w:rFonts w:ascii="Times New Roman" w:hAnsi="Times New Roman" w:eastAsia="宋体"/>
                      <w:b/>
                      <w:snapToGrid w:val="0"/>
                      <w:color w:val="auto"/>
                      <w:kern w:val="0"/>
                      <w:sz w:val="18"/>
                      <w:szCs w:val="18"/>
                    </w:rPr>
                    <w:t>/</w:t>
                  </w:r>
                </w:p>
              </w:tc>
              <w:tc>
                <w:tcPr>
                  <w:tcW w:w="34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color w:val="auto"/>
                      <w:sz w:val="18"/>
                      <w:szCs w:val="18"/>
                    </w:rPr>
                    <w:t>6-9</w:t>
                  </w:r>
                </w:p>
              </w:tc>
              <w:tc>
                <w:tcPr>
                  <w:tcW w:w="332" w:type="pct"/>
                  <w:vMerge w:val="restar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color w:val="auto"/>
                      <w:sz w:val="18"/>
                      <w:szCs w:val="18"/>
                    </w:rPr>
                    <w:t>由DW001接管城东污水处理厂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68"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529"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6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3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COD</w:t>
                  </w:r>
                </w:p>
              </w:tc>
              <w:tc>
                <w:tcPr>
                  <w:tcW w:w="324" w:type="pct"/>
                  <w:vAlign w:val="center"/>
                </w:tcPr>
                <w:p>
                  <w:pPr>
                    <w:pStyle w:val="89"/>
                    <w:adjustRightInd w:val="0"/>
                    <w:snapToGrid w:val="0"/>
                    <w:spacing w:line="240" w:lineRule="auto"/>
                    <w:ind w:firstLine="0" w:firstLineChars="0"/>
                    <w:jc w:val="center"/>
                    <w:rPr>
                      <w:rFonts w:ascii="Times New Roman" w:hAnsi="Times New Roman"/>
                      <w:color w:val="auto"/>
                      <w:sz w:val="18"/>
                      <w:szCs w:val="18"/>
                    </w:rPr>
                  </w:pPr>
                  <w:r>
                    <w:rPr>
                      <w:rFonts w:ascii="Times New Roman" w:hAnsi="Times New Roman"/>
                      <w:color w:val="auto"/>
                      <w:sz w:val="18"/>
                      <w:szCs w:val="18"/>
                    </w:rPr>
                    <w:t>350</w:t>
                  </w:r>
                </w:p>
              </w:tc>
              <w:tc>
                <w:tcPr>
                  <w:tcW w:w="793" w:type="dxa"/>
                  <w:vAlign w:val="center"/>
                </w:tcPr>
                <w:p>
                  <w:pPr>
                    <w:keepNext w:val="0"/>
                    <w:keepLines w:val="0"/>
                    <w:widowControl/>
                    <w:suppressLineNumbers w:val="0"/>
                    <w:jc w:val="center"/>
                    <w:textAlignment w:val="center"/>
                    <w:rPr>
                      <w:rFonts w:hint="eastAsia" w:ascii="Times New Roman" w:hAnsi="Times New Roman" w:eastAsia="宋体" w:cs="Times New Roman"/>
                      <w:snapToGrid w:val="0"/>
                      <w:color w:val="auto"/>
                      <w:kern w:val="0"/>
                      <w:sz w:val="18"/>
                      <w:szCs w:val="18"/>
                      <w:lang w:val="en-US" w:eastAsia="zh-CN" w:bidi="ar-SA"/>
                    </w:rPr>
                  </w:pPr>
                  <w:r>
                    <w:rPr>
                      <w:rFonts w:hint="eastAsia" w:ascii="Times New Roman" w:hAnsi="Times New Roman" w:eastAsia="宋体" w:cs="Times New Roman"/>
                      <w:snapToGrid w:val="0"/>
                      <w:color w:val="auto"/>
                      <w:kern w:val="0"/>
                      <w:sz w:val="18"/>
                      <w:szCs w:val="18"/>
                      <w:lang w:val="en-US" w:eastAsia="zh-CN" w:bidi="ar-SA"/>
                    </w:rPr>
                    <w:t>0.147</w:t>
                  </w:r>
                </w:p>
              </w:tc>
              <w:tc>
                <w:tcPr>
                  <w:tcW w:w="170" w:type="pct"/>
                  <w:vMerge w:val="continue"/>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p>
              </w:tc>
              <w:tc>
                <w:tcPr>
                  <w:tcW w:w="345" w:type="pct"/>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r>
                    <w:rPr>
                      <w:rFonts w:ascii="Times New Roman" w:hAnsi="Times New Roman" w:eastAsia="宋体"/>
                      <w:color w:val="auto"/>
                      <w:kern w:val="0"/>
                      <w:sz w:val="18"/>
                      <w:szCs w:val="18"/>
                    </w:rPr>
                    <w:t>/</w:t>
                  </w:r>
                </w:p>
              </w:tc>
              <w:tc>
                <w:tcPr>
                  <w:tcW w:w="462" w:type="pct"/>
                  <w:vMerge w:val="continue"/>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p>
              </w:tc>
              <w:tc>
                <w:tcPr>
                  <w:tcW w:w="591" w:type="dxa"/>
                  <w:vAlign w:val="center"/>
                </w:tcPr>
                <w:p>
                  <w:pPr>
                    <w:pStyle w:val="89"/>
                    <w:adjustRightInd w:val="0"/>
                    <w:snapToGrid w:val="0"/>
                    <w:spacing w:line="240" w:lineRule="auto"/>
                    <w:ind w:firstLine="0" w:firstLineChars="0"/>
                    <w:jc w:val="center"/>
                    <w:rPr>
                      <w:color w:val="auto"/>
                      <w:kern w:val="0"/>
                      <w:sz w:val="18"/>
                      <w:szCs w:val="18"/>
                    </w:rPr>
                  </w:pPr>
                  <w:r>
                    <w:rPr>
                      <w:rFonts w:ascii="Times New Roman" w:hAnsi="Times New Roman"/>
                      <w:color w:val="auto"/>
                      <w:sz w:val="18"/>
                      <w:szCs w:val="18"/>
                    </w:rPr>
                    <w:t>350</w:t>
                  </w:r>
                </w:p>
              </w:tc>
              <w:tc>
                <w:tcPr>
                  <w:tcW w:w="902" w:type="dxa"/>
                  <w:vAlign w:val="center"/>
                </w:tcPr>
                <w:p>
                  <w:pPr>
                    <w:keepNext w:val="0"/>
                    <w:keepLines w:val="0"/>
                    <w:widowControl/>
                    <w:suppressLineNumbers w:val="0"/>
                    <w:jc w:val="center"/>
                    <w:textAlignment w:val="center"/>
                    <w:rPr>
                      <w:color w:val="auto"/>
                      <w:kern w:val="0"/>
                      <w:sz w:val="18"/>
                      <w:szCs w:val="18"/>
                    </w:rPr>
                  </w:pPr>
                  <w:r>
                    <w:rPr>
                      <w:rFonts w:hint="eastAsia" w:ascii="Times New Roman" w:hAnsi="Times New Roman" w:eastAsia="宋体" w:cs="Times New Roman"/>
                      <w:snapToGrid w:val="0"/>
                      <w:color w:val="auto"/>
                      <w:kern w:val="0"/>
                      <w:sz w:val="18"/>
                      <w:szCs w:val="18"/>
                      <w:lang w:val="en-US" w:eastAsia="zh-CN" w:bidi="ar-SA"/>
                    </w:rPr>
                    <w:t>0.147</w:t>
                  </w:r>
                </w:p>
              </w:tc>
              <w:tc>
                <w:tcPr>
                  <w:tcW w:w="34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500</w:t>
                  </w:r>
                </w:p>
              </w:tc>
              <w:tc>
                <w:tcPr>
                  <w:tcW w:w="33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68"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529"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6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3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SS</w:t>
                  </w:r>
                </w:p>
              </w:tc>
              <w:tc>
                <w:tcPr>
                  <w:tcW w:w="324" w:type="pct"/>
                  <w:vAlign w:val="center"/>
                </w:tcPr>
                <w:p>
                  <w:pPr>
                    <w:pStyle w:val="89"/>
                    <w:adjustRightInd w:val="0"/>
                    <w:snapToGrid w:val="0"/>
                    <w:spacing w:line="240" w:lineRule="auto"/>
                    <w:ind w:firstLine="0" w:firstLineChars="0"/>
                    <w:jc w:val="center"/>
                    <w:rPr>
                      <w:rFonts w:ascii="Times New Roman" w:hAnsi="Times New Roman"/>
                      <w:color w:val="auto"/>
                      <w:sz w:val="18"/>
                      <w:szCs w:val="18"/>
                    </w:rPr>
                  </w:pPr>
                  <w:r>
                    <w:rPr>
                      <w:rFonts w:ascii="Times New Roman" w:hAnsi="Times New Roman"/>
                      <w:color w:val="auto"/>
                      <w:sz w:val="18"/>
                      <w:szCs w:val="18"/>
                    </w:rPr>
                    <w:t>200</w:t>
                  </w:r>
                </w:p>
              </w:tc>
              <w:tc>
                <w:tcPr>
                  <w:tcW w:w="793" w:type="dxa"/>
                  <w:vAlign w:val="center"/>
                </w:tcPr>
                <w:p>
                  <w:pPr>
                    <w:keepNext w:val="0"/>
                    <w:keepLines w:val="0"/>
                    <w:widowControl/>
                    <w:suppressLineNumbers w:val="0"/>
                    <w:jc w:val="center"/>
                    <w:textAlignment w:val="center"/>
                    <w:rPr>
                      <w:rFonts w:hint="eastAsia" w:ascii="Times New Roman" w:hAnsi="Times New Roman" w:eastAsia="宋体" w:cs="Times New Roman"/>
                      <w:snapToGrid w:val="0"/>
                      <w:color w:val="auto"/>
                      <w:kern w:val="0"/>
                      <w:sz w:val="18"/>
                      <w:szCs w:val="18"/>
                      <w:lang w:val="en-US" w:eastAsia="zh-CN" w:bidi="ar-SA"/>
                    </w:rPr>
                  </w:pPr>
                  <w:r>
                    <w:rPr>
                      <w:rFonts w:hint="eastAsia" w:ascii="Times New Roman" w:hAnsi="Times New Roman" w:eastAsia="宋体" w:cs="Times New Roman"/>
                      <w:snapToGrid w:val="0"/>
                      <w:color w:val="auto"/>
                      <w:kern w:val="0"/>
                      <w:sz w:val="18"/>
                      <w:szCs w:val="18"/>
                      <w:lang w:val="en-US" w:eastAsia="zh-CN" w:bidi="ar-SA"/>
                    </w:rPr>
                    <w:t>0.084</w:t>
                  </w:r>
                </w:p>
              </w:tc>
              <w:tc>
                <w:tcPr>
                  <w:tcW w:w="170" w:type="pct"/>
                  <w:vMerge w:val="continue"/>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p>
              </w:tc>
              <w:tc>
                <w:tcPr>
                  <w:tcW w:w="345" w:type="pct"/>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r>
                    <w:rPr>
                      <w:rFonts w:ascii="Times New Roman" w:hAnsi="Times New Roman" w:eastAsia="宋体"/>
                      <w:color w:val="auto"/>
                      <w:kern w:val="0"/>
                      <w:sz w:val="18"/>
                      <w:szCs w:val="18"/>
                    </w:rPr>
                    <w:t>/</w:t>
                  </w:r>
                </w:p>
              </w:tc>
              <w:tc>
                <w:tcPr>
                  <w:tcW w:w="462" w:type="pct"/>
                  <w:vMerge w:val="continue"/>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p>
              </w:tc>
              <w:tc>
                <w:tcPr>
                  <w:tcW w:w="591" w:type="dxa"/>
                  <w:vAlign w:val="center"/>
                </w:tcPr>
                <w:p>
                  <w:pPr>
                    <w:pStyle w:val="89"/>
                    <w:adjustRightInd w:val="0"/>
                    <w:snapToGrid w:val="0"/>
                    <w:spacing w:line="240" w:lineRule="auto"/>
                    <w:ind w:firstLine="0" w:firstLineChars="0"/>
                    <w:jc w:val="center"/>
                    <w:rPr>
                      <w:color w:val="auto"/>
                      <w:kern w:val="0"/>
                      <w:sz w:val="18"/>
                      <w:szCs w:val="18"/>
                    </w:rPr>
                  </w:pPr>
                  <w:r>
                    <w:rPr>
                      <w:rFonts w:ascii="Times New Roman" w:hAnsi="Times New Roman"/>
                      <w:color w:val="auto"/>
                      <w:sz w:val="18"/>
                      <w:szCs w:val="18"/>
                    </w:rPr>
                    <w:t>200</w:t>
                  </w:r>
                </w:p>
              </w:tc>
              <w:tc>
                <w:tcPr>
                  <w:tcW w:w="902" w:type="dxa"/>
                  <w:vAlign w:val="center"/>
                </w:tcPr>
                <w:p>
                  <w:pPr>
                    <w:keepNext w:val="0"/>
                    <w:keepLines w:val="0"/>
                    <w:widowControl/>
                    <w:suppressLineNumbers w:val="0"/>
                    <w:jc w:val="center"/>
                    <w:textAlignment w:val="center"/>
                    <w:rPr>
                      <w:color w:val="auto"/>
                      <w:kern w:val="0"/>
                      <w:sz w:val="18"/>
                      <w:szCs w:val="18"/>
                    </w:rPr>
                  </w:pPr>
                  <w:r>
                    <w:rPr>
                      <w:rFonts w:hint="eastAsia" w:ascii="Times New Roman" w:hAnsi="Times New Roman" w:eastAsia="宋体" w:cs="Times New Roman"/>
                      <w:snapToGrid w:val="0"/>
                      <w:color w:val="auto"/>
                      <w:kern w:val="0"/>
                      <w:sz w:val="18"/>
                      <w:szCs w:val="18"/>
                      <w:lang w:val="en-US" w:eastAsia="zh-CN" w:bidi="ar-SA"/>
                    </w:rPr>
                    <w:t>0.084</w:t>
                  </w:r>
                </w:p>
              </w:tc>
              <w:tc>
                <w:tcPr>
                  <w:tcW w:w="34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400</w:t>
                  </w:r>
                </w:p>
              </w:tc>
              <w:tc>
                <w:tcPr>
                  <w:tcW w:w="33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68"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529"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6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3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氨氮</w:t>
                  </w:r>
                </w:p>
              </w:tc>
              <w:tc>
                <w:tcPr>
                  <w:tcW w:w="324" w:type="pct"/>
                  <w:vAlign w:val="center"/>
                </w:tcPr>
                <w:p>
                  <w:pPr>
                    <w:pStyle w:val="89"/>
                    <w:adjustRightInd w:val="0"/>
                    <w:snapToGrid w:val="0"/>
                    <w:spacing w:line="240" w:lineRule="auto"/>
                    <w:ind w:firstLine="0" w:firstLineChars="0"/>
                    <w:jc w:val="center"/>
                    <w:rPr>
                      <w:rFonts w:ascii="Times New Roman" w:hAnsi="Times New Roman"/>
                      <w:color w:val="auto"/>
                      <w:sz w:val="18"/>
                      <w:szCs w:val="18"/>
                    </w:rPr>
                  </w:pPr>
                  <w:r>
                    <w:rPr>
                      <w:rFonts w:ascii="Times New Roman" w:hAnsi="Times New Roman"/>
                      <w:color w:val="auto"/>
                      <w:sz w:val="18"/>
                      <w:szCs w:val="18"/>
                    </w:rPr>
                    <w:t>25</w:t>
                  </w:r>
                </w:p>
              </w:tc>
              <w:tc>
                <w:tcPr>
                  <w:tcW w:w="793" w:type="dxa"/>
                  <w:vAlign w:val="center"/>
                </w:tcPr>
                <w:p>
                  <w:pPr>
                    <w:keepNext w:val="0"/>
                    <w:keepLines w:val="0"/>
                    <w:widowControl/>
                    <w:suppressLineNumbers w:val="0"/>
                    <w:jc w:val="center"/>
                    <w:textAlignment w:val="center"/>
                    <w:rPr>
                      <w:rFonts w:hint="eastAsia" w:ascii="Times New Roman" w:hAnsi="Times New Roman" w:eastAsia="宋体" w:cs="Times New Roman"/>
                      <w:snapToGrid w:val="0"/>
                      <w:color w:val="auto"/>
                      <w:kern w:val="0"/>
                      <w:sz w:val="18"/>
                      <w:szCs w:val="18"/>
                      <w:lang w:val="en-US" w:eastAsia="zh-CN" w:bidi="ar-SA"/>
                    </w:rPr>
                  </w:pPr>
                  <w:r>
                    <w:rPr>
                      <w:rFonts w:hint="eastAsia" w:ascii="Times New Roman" w:hAnsi="Times New Roman" w:eastAsia="宋体" w:cs="Times New Roman"/>
                      <w:snapToGrid w:val="0"/>
                      <w:color w:val="auto"/>
                      <w:kern w:val="0"/>
                      <w:sz w:val="18"/>
                      <w:szCs w:val="18"/>
                      <w:lang w:val="en-US" w:eastAsia="zh-CN" w:bidi="ar-SA"/>
                    </w:rPr>
                    <w:t>0.0105</w:t>
                  </w:r>
                </w:p>
              </w:tc>
              <w:tc>
                <w:tcPr>
                  <w:tcW w:w="170" w:type="pct"/>
                  <w:vMerge w:val="continue"/>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p>
              </w:tc>
              <w:tc>
                <w:tcPr>
                  <w:tcW w:w="345" w:type="pct"/>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r>
                    <w:rPr>
                      <w:rFonts w:ascii="Times New Roman" w:hAnsi="Times New Roman" w:eastAsia="宋体"/>
                      <w:color w:val="auto"/>
                      <w:kern w:val="0"/>
                      <w:sz w:val="18"/>
                      <w:szCs w:val="18"/>
                    </w:rPr>
                    <w:t>/</w:t>
                  </w:r>
                </w:p>
              </w:tc>
              <w:tc>
                <w:tcPr>
                  <w:tcW w:w="462" w:type="pct"/>
                  <w:vMerge w:val="continue"/>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p>
              </w:tc>
              <w:tc>
                <w:tcPr>
                  <w:tcW w:w="591" w:type="dxa"/>
                  <w:vAlign w:val="center"/>
                </w:tcPr>
                <w:p>
                  <w:pPr>
                    <w:pStyle w:val="89"/>
                    <w:adjustRightInd w:val="0"/>
                    <w:snapToGrid w:val="0"/>
                    <w:spacing w:line="240" w:lineRule="auto"/>
                    <w:ind w:firstLine="0" w:firstLineChars="0"/>
                    <w:jc w:val="center"/>
                    <w:rPr>
                      <w:color w:val="auto"/>
                      <w:kern w:val="0"/>
                      <w:sz w:val="18"/>
                      <w:szCs w:val="18"/>
                    </w:rPr>
                  </w:pPr>
                  <w:r>
                    <w:rPr>
                      <w:rFonts w:ascii="Times New Roman" w:hAnsi="Times New Roman"/>
                      <w:color w:val="auto"/>
                      <w:sz w:val="18"/>
                      <w:szCs w:val="18"/>
                    </w:rPr>
                    <w:t>25</w:t>
                  </w:r>
                </w:p>
              </w:tc>
              <w:tc>
                <w:tcPr>
                  <w:tcW w:w="902" w:type="dxa"/>
                  <w:vAlign w:val="center"/>
                </w:tcPr>
                <w:p>
                  <w:pPr>
                    <w:keepNext w:val="0"/>
                    <w:keepLines w:val="0"/>
                    <w:widowControl/>
                    <w:suppressLineNumbers w:val="0"/>
                    <w:jc w:val="center"/>
                    <w:textAlignment w:val="center"/>
                    <w:rPr>
                      <w:color w:val="auto"/>
                      <w:kern w:val="0"/>
                      <w:sz w:val="18"/>
                      <w:szCs w:val="18"/>
                    </w:rPr>
                  </w:pPr>
                  <w:r>
                    <w:rPr>
                      <w:rFonts w:hint="eastAsia" w:ascii="Times New Roman" w:hAnsi="Times New Roman" w:eastAsia="宋体" w:cs="Times New Roman"/>
                      <w:snapToGrid w:val="0"/>
                      <w:color w:val="auto"/>
                      <w:kern w:val="0"/>
                      <w:sz w:val="18"/>
                      <w:szCs w:val="18"/>
                      <w:lang w:val="en-US" w:eastAsia="zh-CN" w:bidi="ar-SA"/>
                    </w:rPr>
                    <w:t>0.0105</w:t>
                  </w:r>
                </w:p>
              </w:tc>
              <w:tc>
                <w:tcPr>
                  <w:tcW w:w="34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45</w:t>
                  </w:r>
                </w:p>
              </w:tc>
              <w:tc>
                <w:tcPr>
                  <w:tcW w:w="33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68"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529"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6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3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总氮</w:t>
                  </w:r>
                </w:p>
              </w:tc>
              <w:tc>
                <w:tcPr>
                  <w:tcW w:w="324" w:type="pct"/>
                  <w:vAlign w:val="center"/>
                </w:tcPr>
                <w:p>
                  <w:pPr>
                    <w:pStyle w:val="89"/>
                    <w:adjustRightInd w:val="0"/>
                    <w:snapToGrid w:val="0"/>
                    <w:spacing w:line="240" w:lineRule="auto"/>
                    <w:ind w:firstLine="0" w:firstLineChars="0"/>
                    <w:jc w:val="center"/>
                    <w:rPr>
                      <w:rFonts w:ascii="Times New Roman" w:hAnsi="Times New Roman"/>
                      <w:color w:val="auto"/>
                      <w:sz w:val="18"/>
                      <w:szCs w:val="18"/>
                    </w:rPr>
                  </w:pPr>
                  <w:r>
                    <w:rPr>
                      <w:rFonts w:ascii="Times New Roman" w:hAnsi="Times New Roman"/>
                      <w:color w:val="auto"/>
                      <w:sz w:val="18"/>
                      <w:szCs w:val="18"/>
                    </w:rPr>
                    <w:t>30</w:t>
                  </w:r>
                </w:p>
              </w:tc>
              <w:tc>
                <w:tcPr>
                  <w:tcW w:w="793" w:type="dxa"/>
                  <w:vAlign w:val="center"/>
                </w:tcPr>
                <w:p>
                  <w:pPr>
                    <w:keepNext w:val="0"/>
                    <w:keepLines w:val="0"/>
                    <w:widowControl/>
                    <w:suppressLineNumbers w:val="0"/>
                    <w:jc w:val="center"/>
                    <w:textAlignment w:val="center"/>
                    <w:rPr>
                      <w:rFonts w:hint="eastAsia" w:ascii="Times New Roman" w:hAnsi="Times New Roman" w:eastAsia="宋体" w:cs="Times New Roman"/>
                      <w:snapToGrid w:val="0"/>
                      <w:color w:val="auto"/>
                      <w:kern w:val="0"/>
                      <w:sz w:val="18"/>
                      <w:szCs w:val="18"/>
                      <w:lang w:val="en-US" w:eastAsia="zh-CN" w:bidi="ar-SA"/>
                    </w:rPr>
                  </w:pPr>
                  <w:r>
                    <w:rPr>
                      <w:rFonts w:hint="eastAsia" w:ascii="Times New Roman" w:hAnsi="Times New Roman" w:eastAsia="宋体" w:cs="Times New Roman"/>
                      <w:snapToGrid w:val="0"/>
                      <w:color w:val="auto"/>
                      <w:kern w:val="0"/>
                      <w:sz w:val="18"/>
                      <w:szCs w:val="18"/>
                      <w:lang w:val="en-US" w:eastAsia="zh-CN" w:bidi="ar-SA"/>
                    </w:rPr>
                    <w:t>0.0126</w:t>
                  </w:r>
                </w:p>
              </w:tc>
              <w:tc>
                <w:tcPr>
                  <w:tcW w:w="170" w:type="pct"/>
                  <w:vMerge w:val="continue"/>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p>
              </w:tc>
              <w:tc>
                <w:tcPr>
                  <w:tcW w:w="345" w:type="pct"/>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r>
                    <w:rPr>
                      <w:rFonts w:ascii="Times New Roman" w:hAnsi="Times New Roman" w:eastAsia="宋体"/>
                      <w:color w:val="auto"/>
                      <w:kern w:val="0"/>
                      <w:sz w:val="18"/>
                      <w:szCs w:val="18"/>
                    </w:rPr>
                    <w:t>/</w:t>
                  </w:r>
                </w:p>
              </w:tc>
              <w:tc>
                <w:tcPr>
                  <w:tcW w:w="462" w:type="pct"/>
                  <w:vMerge w:val="continue"/>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p>
              </w:tc>
              <w:tc>
                <w:tcPr>
                  <w:tcW w:w="591" w:type="dxa"/>
                  <w:vAlign w:val="center"/>
                </w:tcPr>
                <w:p>
                  <w:pPr>
                    <w:pStyle w:val="89"/>
                    <w:adjustRightInd w:val="0"/>
                    <w:snapToGrid w:val="0"/>
                    <w:spacing w:line="240" w:lineRule="auto"/>
                    <w:ind w:firstLine="0" w:firstLineChars="0"/>
                    <w:jc w:val="center"/>
                    <w:rPr>
                      <w:color w:val="auto"/>
                      <w:kern w:val="0"/>
                      <w:sz w:val="18"/>
                      <w:szCs w:val="18"/>
                    </w:rPr>
                  </w:pPr>
                  <w:r>
                    <w:rPr>
                      <w:rFonts w:ascii="Times New Roman" w:hAnsi="Times New Roman"/>
                      <w:color w:val="auto"/>
                      <w:sz w:val="18"/>
                      <w:szCs w:val="18"/>
                    </w:rPr>
                    <w:t>30</w:t>
                  </w:r>
                </w:p>
              </w:tc>
              <w:tc>
                <w:tcPr>
                  <w:tcW w:w="902" w:type="dxa"/>
                  <w:vAlign w:val="center"/>
                </w:tcPr>
                <w:p>
                  <w:pPr>
                    <w:keepNext w:val="0"/>
                    <w:keepLines w:val="0"/>
                    <w:widowControl/>
                    <w:suppressLineNumbers w:val="0"/>
                    <w:jc w:val="center"/>
                    <w:textAlignment w:val="center"/>
                    <w:rPr>
                      <w:color w:val="auto"/>
                      <w:kern w:val="0"/>
                      <w:sz w:val="18"/>
                      <w:szCs w:val="18"/>
                    </w:rPr>
                  </w:pPr>
                  <w:r>
                    <w:rPr>
                      <w:rFonts w:hint="eastAsia" w:ascii="Times New Roman" w:hAnsi="Times New Roman" w:eastAsia="宋体" w:cs="Times New Roman"/>
                      <w:snapToGrid w:val="0"/>
                      <w:color w:val="auto"/>
                      <w:kern w:val="0"/>
                      <w:sz w:val="18"/>
                      <w:szCs w:val="18"/>
                      <w:lang w:val="en-US" w:eastAsia="zh-CN" w:bidi="ar-SA"/>
                    </w:rPr>
                    <w:t>0.0126</w:t>
                  </w:r>
                </w:p>
              </w:tc>
              <w:tc>
                <w:tcPr>
                  <w:tcW w:w="34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70</w:t>
                  </w:r>
                </w:p>
              </w:tc>
              <w:tc>
                <w:tcPr>
                  <w:tcW w:w="33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68"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529"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6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c>
                <w:tcPr>
                  <w:tcW w:w="43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总磷</w:t>
                  </w:r>
                </w:p>
              </w:tc>
              <w:tc>
                <w:tcPr>
                  <w:tcW w:w="324" w:type="pct"/>
                  <w:vAlign w:val="center"/>
                </w:tcPr>
                <w:p>
                  <w:pPr>
                    <w:pStyle w:val="89"/>
                    <w:adjustRightInd w:val="0"/>
                    <w:snapToGrid w:val="0"/>
                    <w:spacing w:line="240" w:lineRule="auto"/>
                    <w:ind w:firstLine="0" w:firstLineChars="0"/>
                    <w:jc w:val="center"/>
                    <w:rPr>
                      <w:rFonts w:ascii="Times New Roman" w:hAnsi="Times New Roman"/>
                      <w:color w:val="auto"/>
                      <w:sz w:val="18"/>
                      <w:szCs w:val="18"/>
                    </w:rPr>
                  </w:pPr>
                  <w:r>
                    <w:rPr>
                      <w:rFonts w:ascii="Times New Roman" w:hAnsi="Times New Roman"/>
                      <w:color w:val="auto"/>
                      <w:sz w:val="18"/>
                      <w:szCs w:val="18"/>
                    </w:rPr>
                    <w:t>3</w:t>
                  </w:r>
                </w:p>
              </w:tc>
              <w:tc>
                <w:tcPr>
                  <w:tcW w:w="793" w:type="dxa"/>
                  <w:vAlign w:val="center"/>
                </w:tcPr>
                <w:p>
                  <w:pPr>
                    <w:keepNext w:val="0"/>
                    <w:keepLines w:val="0"/>
                    <w:widowControl/>
                    <w:suppressLineNumbers w:val="0"/>
                    <w:jc w:val="center"/>
                    <w:textAlignment w:val="center"/>
                    <w:rPr>
                      <w:rFonts w:hint="eastAsia" w:ascii="Times New Roman" w:hAnsi="Times New Roman" w:eastAsia="宋体" w:cs="Times New Roman"/>
                      <w:snapToGrid w:val="0"/>
                      <w:color w:val="auto"/>
                      <w:kern w:val="0"/>
                      <w:sz w:val="18"/>
                      <w:szCs w:val="18"/>
                      <w:lang w:val="en-US" w:eastAsia="zh-CN" w:bidi="ar-SA"/>
                    </w:rPr>
                  </w:pPr>
                  <w:r>
                    <w:rPr>
                      <w:rFonts w:hint="eastAsia" w:ascii="Times New Roman" w:hAnsi="Times New Roman" w:eastAsia="宋体" w:cs="Times New Roman"/>
                      <w:snapToGrid w:val="0"/>
                      <w:color w:val="auto"/>
                      <w:kern w:val="0"/>
                      <w:sz w:val="18"/>
                      <w:szCs w:val="18"/>
                      <w:lang w:val="en-US" w:eastAsia="zh-CN" w:bidi="ar-SA"/>
                    </w:rPr>
                    <w:t>0.0013</w:t>
                  </w:r>
                </w:p>
              </w:tc>
              <w:tc>
                <w:tcPr>
                  <w:tcW w:w="170" w:type="pct"/>
                  <w:vMerge w:val="continue"/>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p>
              </w:tc>
              <w:tc>
                <w:tcPr>
                  <w:tcW w:w="345" w:type="pct"/>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r>
                    <w:rPr>
                      <w:rFonts w:hint="eastAsia" w:ascii="Times New Roman" w:hAnsi="Times New Roman" w:eastAsia="宋体"/>
                      <w:color w:val="auto"/>
                      <w:kern w:val="0"/>
                      <w:sz w:val="18"/>
                      <w:szCs w:val="18"/>
                    </w:rPr>
                    <w:t>/</w:t>
                  </w:r>
                </w:p>
              </w:tc>
              <w:tc>
                <w:tcPr>
                  <w:tcW w:w="462" w:type="pct"/>
                  <w:vMerge w:val="continue"/>
                  <w:vAlign w:val="center"/>
                </w:tcPr>
                <w:p>
                  <w:pPr>
                    <w:pStyle w:val="100"/>
                    <w:adjustRightInd w:val="0"/>
                    <w:spacing w:line="240" w:lineRule="auto"/>
                    <w:ind w:firstLine="0" w:firstLineChars="0"/>
                    <w:jc w:val="center"/>
                    <w:rPr>
                      <w:rFonts w:ascii="Times New Roman" w:hAnsi="Times New Roman" w:eastAsia="宋体"/>
                      <w:color w:val="auto"/>
                      <w:kern w:val="0"/>
                      <w:sz w:val="18"/>
                      <w:szCs w:val="18"/>
                    </w:rPr>
                  </w:pPr>
                </w:p>
              </w:tc>
              <w:tc>
                <w:tcPr>
                  <w:tcW w:w="591" w:type="dxa"/>
                  <w:vAlign w:val="center"/>
                </w:tcPr>
                <w:p>
                  <w:pPr>
                    <w:pStyle w:val="89"/>
                    <w:adjustRightInd w:val="0"/>
                    <w:snapToGrid w:val="0"/>
                    <w:spacing w:line="240" w:lineRule="auto"/>
                    <w:ind w:firstLine="0" w:firstLineChars="0"/>
                    <w:jc w:val="center"/>
                    <w:rPr>
                      <w:color w:val="auto"/>
                      <w:kern w:val="0"/>
                      <w:sz w:val="18"/>
                      <w:szCs w:val="18"/>
                    </w:rPr>
                  </w:pPr>
                  <w:r>
                    <w:rPr>
                      <w:rFonts w:ascii="Times New Roman" w:hAnsi="Times New Roman"/>
                      <w:color w:val="auto"/>
                      <w:sz w:val="18"/>
                      <w:szCs w:val="18"/>
                    </w:rPr>
                    <w:t>3</w:t>
                  </w:r>
                </w:p>
              </w:tc>
              <w:tc>
                <w:tcPr>
                  <w:tcW w:w="902" w:type="dxa"/>
                  <w:vAlign w:val="center"/>
                </w:tcPr>
                <w:p>
                  <w:pPr>
                    <w:keepNext w:val="0"/>
                    <w:keepLines w:val="0"/>
                    <w:widowControl/>
                    <w:suppressLineNumbers w:val="0"/>
                    <w:jc w:val="center"/>
                    <w:textAlignment w:val="center"/>
                    <w:rPr>
                      <w:color w:val="auto"/>
                      <w:kern w:val="0"/>
                      <w:sz w:val="18"/>
                      <w:szCs w:val="18"/>
                    </w:rPr>
                  </w:pPr>
                  <w:r>
                    <w:rPr>
                      <w:rFonts w:hint="eastAsia" w:ascii="Times New Roman" w:hAnsi="Times New Roman" w:eastAsia="宋体" w:cs="Times New Roman"/>
                      <w:snapToGrid w:val="0"/>
                      <w:color w:val="auto"/>
                      <w:kern w:val="0"/>
                      <w:sz w:val="18"/>
                      <w:szCs w:val="18"/>
                      <w:lang w:val="en-US" w:eastAsia="zh-CN" w:bidi="ar-SA"/>
                    </w:rPr>
                    <w:t>0.0013</w:t>
                  </w:r>
                </w:p>
              </w:tc>
              <w:tc>
                <w:tcPr>
                  <w:tcW w:w="349" w:type="pct"/>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r>
                    <w:rPr>
                      <w:rFonts w:ascii="Times New Roman" w:hAnsi="Times New Roman" w:eastAsia="宋体"/>
                      <w:snapToGrid w:val="0"/>
                      <w:color w:val="auto"/>
                      <w:kern w:val="0"/>
                      <w:sz w:val="18"/>
                      <w:szCs w:val="18"/>
                    </w:rPr>
                    <w:t>8</w:t>
                  </w:r>
                </w:p>
              </w:tc>
              <w:tc>
                <w:tcPr>
                  <w:tcW w:w="332" w:type="pct"/>
                  <w:vMerge w:val="continue"/>
                  <w:vAlign w:val="center"/>
                </w:tcPr>
                <w:p>
                  <w:pPr>
                    <w:pStyle w:val="100"/>
                    <w:adjustRightInd w:val="0"/>
                    <w:spacing w:line="240" w:lineRule="auto"/>
                    <w:ind w:firstLine="0" w:firstLineChars="0"/>
                    <w:jc w:val="center"/>
                    <w:rPr>
                      <w:rFonts w:ascii="Times New Roman" w:hAnsi="Times New Roman" w:eastAsia="宋体"/>
                      <w:snapToGrid w:val="0"/>
                      <w:color w:val="auto"/>
                      <w:kern w:val="0"/>
                      <w:sz w:val="18"/>
                      <w:szCs w:val="18"/>
                    </w:rPr>
                  </w:pPr>
                </w:p>
              </w:tc>
            </w:tr>
          </w:tbl>
          <w:p>
            <w:pPr>
              <w:adjustRightInd w:val="0"/>
              <w:snapToGrid w:val="0"/>
              <w:spacing w:before="120" w:beforeLines="50" w:line="360" w:lineRule="auto"/>
              <w:ind w:firstLine="420" w:firstLineChars="200"/>
              <w:jc w:val="left"/>
              <w:rPr>
                <w:color w:val="auto"/>
                <w:kern w:val="0"/>
                <w:szCs w:val="21"/>
              </w:rPr>
            </w:pPr>
            <w:r>
              <w:rPr>
                <w:color w:val="auto"/>
                <w:kern w:val="0"/>
                <w:szCs w:val="21"/>
              </w:rPr>
              <w:t>（2）废水类别、污染物及污染治理设施信息</w:t>
            </w:r>
          </w:p>
          <w:p>
            <w:pPr>
              <w:spacing w:line="360" w:lineRule="auto"/>
              <w:ind w:firstLine="420" w:firstLineChars="200"/>
              <w:rPr>
                <w:snapToGrid w:val="0"/>
                <w:color w:val="auto"/>
                <w:kern w:val="0"/>
                <w:szCs w:val="21"/>
              </w:rPr>
            </w:pPr>
            <w:r>
              <w:rPr>
                <w:color w:val="auto"/>
                <w:kern w:val="0"/>
                <w:szCs w:val="21"/>
              </w:rPr>
              <w:t>废水类别、污染物及污染治理设施信息表见表4-1</w:t>
            </w:r>
            <w:r>
              <w:rPr>
                <w:rFonts w:hint="eastAsia"/>
                <w:color w:val="auto"/>
                <w:kern w:val="0"/>
                <w:szCs w:val="21"/>
              </w:rPr>
              <w:t>3</w:t>
            </w:r>
            <w:r>
              <w:rPr>
                <w:snapToGrid w:val="0"/>
                <w:color w:val="auto"/>
                <w:kern w:val="0"/>
                <w:szCs w:val="21"/>
              </w:rPr>
              <w:t>。</w:t>
            </w:r>
          </w:p>
          <w:p>
            <w:pPr>
              <w:tabs>
                <w:tab w:val="left" w:pos="1747"/>
              </w:tabs>
              <w:jc w:val="center"/>
              <w:rPr>
                <w:b/>
                <w:color w:val="auto"/>
                <w:kern w:val="0"/>
                <w:szCs w:val="21"/>
              </w:rPr>
            </w:pPr>
            <w:r>
              <w:rPr>
                <w:b/>
                <w:color w:val="auto"/>
                <w:kern w:val="0"/>
                <w:szCs w:val="21"/>
              </w:rPr>
              <w:t>表4-1</w:t>
            </w:r>
            <w:r>
              <w:rPr>
                <w:rFonts w:hint="eastAsia"/>
                <w:b/>
                <w:color w:val="auto"/>
                <w:kern w:val="0"/>
                <w:szCs w:val="21"/>
              </w:rPr>
              <w:t>3</w:t>
            </w:r>
            <w:r>
              <w:rPr>
                <w:b/>
                <w:color w:val="auto"/>
                <w:kern w:val="0"/>
                <w:szCs w:val="21"/>
              </w:rPr>
              <w:t xml:space="preserve"> 废水类别、污染物及污染治理设施信息表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28"/>
              <w:gridCol w:w="882"/>
              <w:gridCol w:w="877"/>
              <w:gridCol w:w="768"/>
              <w:gridCol w:w="879"/>
              <w:gridCol w:w="879"/>
              <w:gridCol w:w="854"/>
              <w:gridCol w:w="610"/>
              <w:gridCol w:w="884"/>
              <w:gridCol w:w="884"/>
              <w:gridCol w:w="146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28" w:type="pct"/>
                  <w:vMerge w:val="restart"/>
                  <w:vAlign w:val="center"/>
                </w:tcPr>
                <w:p>
                  <w:pPr>
                    <w:jc w:val="center"/>
                    <w:rPr>
                      <w:b/>
                      <w:color w:val="auto"/>
                      <w:sz w:val="18"/>
                      <w:szCs w:val="18"/>
                    </w:rPr>
                  </w:pPr>
                  <w:r>
                    <w:rPr>
                      <w:b/>
                      <w:color w:val="auto"/>
                      <w:sz w:val="18"/>
                      <w:szCs w:val="18"/>
                    </w:rPr>
                    <w:t>序号</w:t>
                  </w:r>
                </w:p>
              </w:tc>
              <w:tc>
                <w:tcPr>
                  <w:tcW w:w="469" w:type="pct"/>
                  <w:vMerge w:val="restart"/>
                  <w:vAlign w:val="center"/>
                </w:tcPr>
                <w:p>
                  <w:pPr>
                    <w:jc w:val="center"/>
                    <w:rPr>
                      <w:b/>
                      <w:color w:val="auto"/>
                      <w:sz w:val="18"/>
                      <w:szCs w:val="18"/>
                    </w:rPr>
                  </w:pPr>
                  <w:r>
                    <w:rPr>
                      <w:b/>
                      <w:color w:val="auto"/>
                      <w:sz w:val="18"/>
                      <w:szCs w:val="18"/>
                    </w:rPr>
                    <w:t>废水类别</w:t>
                  </w:r>
                </w:p>
              </w:tc>
              <w:tc>
                <w:tcPr>
                  <w:tcW w:w="466" w:type="pct"/>
                  <w:vMerge w:val="restart"/>
                  <w:vAlign w:val="center"/>
                </w:tcPr>
                <w:p>
                  <w:pPr>
                    <w:jc w:val="center"/>
                    <w:rPr>
                      <w:b/>
                      <w:color w:val="auto"/>
                      <w:sz w:val="18"/>
                      <w:szCs w:val="18"/>
                    </w:rPr>
                  </w:pPr>
                  <w:r>
                    <w:rPr>
                      <w:b/>
                      <w:color w:val="auto"/>
                      <w:sz w:val="18"/>
                      <w:szCs w:val="18"/>
                    </w:rPr>
                    <w:t>污染物种类</w:t>
                  </w:r>
                </w:p>
              </w:tc>
              <w:tc>
                <w:tcPr>
                  <w:tcW w:w="408" w:type="pct"/>
                  <w:vMerge w:val="restart"/>
                  <w:vAlign w:val="center"/>
                </w:tcPr>
                <w:p>
                  <w:pPr>
                    <w:jc w:val="center"/>
                    <w:rPr>
                      <w:b/>
                      <w:color w:val="auto"/>
                      <w:sz w:val="18"/>
                      <w:szCs w:val="18"/>
                    </w:rPr>
                  </w:pPr>
                  <w:r>
                    <w:rPr>
                      <w:b/>
                      <w:color w:val="auto"/>
                      <w:sz w:val="18"/>
                      <w:szCs w:val="18"/>
                    </w:rPr>
                    <w:t>排放</w:t>
                  </w:r>
                </w:p>
                <w:p>
                  <w:pPr>
                    <w:jc w:val="center"/>
                    <w:rPr>
                      <w:b/>
                      <w:color w:val="auto"/>
                      <w:sz w:val="18"/>
                      <w:szCs w:val="18"/>
                    </w:rPr>
                  </w:pPr>
                  <w:r>
                    <w:rPr>
                      <w:b/>
                      <w:color w:val="auto"/>
                      <w:sz w:val="18"/>
                      <w:szCs w:val="18"/>
                    </w:rPr>
                    <w:t>去向</w:t>
                  </w:r>
                </w:p>
              </w:tc>
              <w:tc>
                <w:tcPr>
                  <w:tcW w:w="467" w:type="pct"/>
                  <w:vMerge w:val="restart"/>
                  <w:vAlign w:val="center"/>
                </w:tcPr>
                <w:p>
                  <w:pPr>
                    <w:jc w:val="center"/>
                    <w:rPr>
                      <w:b/>
                      <w:color w:val="auto"/>
                      <w:sz w:val="18"/>
                      <w:szCs w:val="18"/>
                    </w:rPr>
                  </w:pPr>
                  <w:r>
                    <w:rPr>
                      <w:b/>
                      <w:color w:val="auto"/>
                      <w:sz w:val="18"/>
                      <w:szCs w:val="18"/>
                    </w:rPr>
                    <w:t>排放规律</w:t>
                  </w:r>
                </w:p>
              </w:tc>
              <w:tc>
                <w:tcPr>
                  <w:tcW w:w="1245" w:type="pct"/>
                  <w:gridSpan w:val="3"/>
                  <w:vAlign w:val="center"/>
                </w:tcPr>
                <w:p>
                  <w:pPr>
                    <w:jc w:val="center"/>
                    <w:rPr>
                      <w:b/>
                      <w:color w:val="auto"/>
                      <w:sz w:val="18"/>
                      <w:szCs w:val="18"/>
                    </w:rPr>
                  </w:pPr>
                  <w:r>
                    <w:rPr>
                      <w:b/>
                      <w:color w:val="auto"/>
                      <w:sz w:val="18"/>
                      <w:szCs w:val="18"/>
                    </w:rPr>
                    <w:t>污染治理设施</w:t>
                  </w:r>
                </w:p>
              </w:tc>
              <w:tc>
                <w:tcPr>
                  <w:tcW w:w="470" w:type="pct"/>
                  <w:vMerge w:val="restart"/>
                  <w:vAlign w:val="center"/>
                </w:tcPr>
                <w:p>
                  <w:pPr>
                    <w:jc w:val="center"/>
                    <w:rPr>
                      <w:b/>
                      <w:color w:val="auto"/>
                      <w:sz w:val="18"/>
                      <w:szCs w:val="18"/>
                    </w:rPr>
                  </w:pPr>
                  <w:r>
                    <w:rPr>
                      <w:b/>
                      <w:color w:val="auto"/>
                      <w:sz w:val="18"/>
                      <w:szCs w:val="18"/>
                    </w:rPr>
                    <w:t>排放口编号</w:t>
                  </w:r>
                </w:p>
              </w:tc>
              <w:tc>
                <w:tcPr>
                  <w:tcW w:w="470" w:type="pct"/>
                  <w:vMerge w:val="restart"/>
                  <w:vAlign w:val="center"/>
                </w:tcPr>
                <w:p>
                  <w:pPr>
                    <w:jc w:val="center"/>
                    <w:rPr>
                      <w:b/>
                      <w:color w:val="auto"/>
                      <w:sz w:val="18"/>
                      <w:szCs w:val="18"/>
                    </w:rPr>
                  </w:pPr>
                  <w:r>
                    <w:rPr>
                      <w:b/>
                      <w:color w:val="auto"/>
                      <w:sz w:val="18"/>
                      <w:szCs w:val="18"/>
                    </w:rPr>
                    <w:t>排放口设置是否符合要求</w:t>
                  </w:r>
                </w:p>
              </w:tc>
              <w:tc>
                <w:tcPr>
                  <w:tcW w:w="777" w:type="pct"/>
                  <w:vMerge w:val="restart"/>
                  <w:vAlign w:val="center"/>
                </w:tcPr>
                <w:p>
                  <w:pPr>
                    <w:jc w:val="center"/>
                    <w:rPr>
                      <w:b/>
                      <w:color w:val="auto"/>
                      <w:sz w:val="18"/>
                      <w:szCs w:val="18"/>
                    </w:rPr>
                  </w:pPr>
                  <w:r>
                    <w:rPr>
                      <w:b/>
                      <w:color w:val="auto"/>
                      <w:sz w:val="18"/>
                      <w:szCs w:val="18"/>
                    </w:rPr>
                    <w:t>排放口类型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28" w:type="pct"/>
                  <w:vMerge w:val="continue"/>
                  <w:vAlign w:val="center"/>
                </w:tcPr>
                <w:p>
                  <w:pPr>
                    <w:jc w:val="center"/>
                    <w:rPr>
                      <w:color w:val="auto"/>
                      <w:sz w:val="18"/>
                      <w:szCs w:val="18"/>
                    </w:rPr>
                  </w:pPr>
                </w:p>
              </w:tc>
              <w:tc>
                <w:tcPr>
                  <w:tcW w:w="469" w:type="pct"/>
                  <w:vMerge w:val="continue"/>
                  <w:vAlign w:val="center"/>
                </w:tcPr>
                <w:p>
                  <w:pPr>
                    <w:jc w:val="center"/>
                    <w:rPr>
                      <w:color w:val="auto"/>
                      <w:sz w:val="18"/>
                      <w:szCs w:val="18"/>
                    </w:rPr>
                  </w:pPr>
                </w:p>
              </w:tc>
              <w:tc>
                <w:tcPr>
                  <w:tcW w:w="466" w:type="pct"/>
                  <w:vMerge w:val="continue"/>
                  <w:vAlign w:val="center"/>
                </w:tcPr>
                <w:p>
                  <w:pPr>
                    <w:jc w:val="center"/>
                    <w:rPr>
                      <w:color w:val="auto"/>
                      <w:sz w:val="18"/>
                      <w:szCs w:val="18"/>
                    </w:rPr>
                  </w:pPr>
                </w:p>
              </w:tc>
              <w:tc>
                <w:tcPr>
                  <w:tcW w:w="408" w:type="pct"/>
                  <w:vMerge w:val="continue"/>
                  <w:vAlign w:val="center"/>
                </w:tcPr>
                <w:p>
                  <w:pPr>
                    <w:jc w:val="center"/>
                    <w:rPr>
                      <w:color w:val="auto"/>
                      <w:sz w:val="18"/>
                      <w:szCs w:val="18"/>
                    </w:rPr>
                  </w:pPr>
                </w:p>
              </w:tc>
              <w:tc>
                <w:tcPr>
                  <w:tcW w:w="467" w:type="pct"/>
                  <w:vMerge w:val="continue"/>
                  <w:vAlign w:val="center"/>
                </w:tcPr>
                <w:p>
                  <w:pPr>
                    <w:jc w:val="center"/>
                    <w:rPr>
                      <w:color w:val="auto"/>
                      <w:sz w:val="18"/>
                      <w:szCs w:val="18"/>
                    </w:rPr>
                  </w:pPr>
                </w:p>
              </w:tc>
              <w:tc>
                <w:tcPr>
                  <w:tcW w:w="467" w:type="pct"/>
                  <w:vAlign w:val="center"/>
                </w:tcPr>
                <w:p>
                  <w:pPr>
                    <w:jc w:val="center"/>
                    <w:rPr>
                      <w:b/>
                      <w:color w:val="auto"/>
                      <w:sz w:val="18"/>
                      <w:szCs w:val="18"/>
                    </w:rPr>
                  </w:pPr>
                  <w:r>
                    <w:rPr>
                      <w:b/>
                      <w:color w:val="auto"/>
                      <w:sz w:val="18"/>
                      <w:szCs w:val="18"/>
                    </w:rPr>
                    <w:t>污染治理设施编号</w:t>
                  </w:r>
                </w:p>
              </w:tc>
              <w:tc>
                <w:tcPr>
                  <w:tcW w:w="454" w:type="pct"/>
                  <w:vAlign w:val="center"/>
                </w:tcPr>
                <w:p>
                  <w:pPr>
                    <w:jc w:val="center"/>
                    <w:rPr>
                      <w:b/>
                      <w:color w:val="auto"/>
                      <w:sz w:val="18"/>
                      <w:szCs w:val="18"/>
                    </w:rPr>
                  </w:pPr>
                  <w:r>
                    <w:rPr>
                      <w:b/>
                      <w:color w:val="auto"/>
                      <w:sz w:val="18"/>
                      <w:szCs w:val="18"/>
                    </w:rPr>
                    <w:t>污染治理设施名称</w:t>
                  </w:r>
                </w:p>
              </w:tc>
              <w:tc>
                <w:tcPr>
                  <w:tcW w:w="324" w:type="pct"/>
                  <w:vAlign w:val="center"/>
                </w:tcPr>
                <w:p>
                  <w:pPr>
                    <w:jc w:val="center"/>
                    <w:rPr>
                      <w:b/>
                      <w:color w:val="auto"/>
                      <w:sz w:val="18"/>
                      <w:szCs w:val="18"/>
                    </w:rPr>
                  </w:pPr>
                  <w:r>
                    <w:rPr>
                      <w:b/>
                      <w:color w:val="auto"/>
                      <w:sz w:val="18"/>
                      <w:szCs w:val="18"/>
                    </w:rPr>
                    <w:t>污染治理设施工艺</w:t>
                  </w:r>
                </w:p>
              </w:tc>
              <w:tc>
                <w:tcPr>
                  <w:tcW w:w="470" w:type="pct"/>
                  <w:vMerge w:val="continue"/>
                  <w:vAlign w:val="center"/>
                </w:tcPr>
                <w:p>
                  <w:pPr>
                    <w:jc w:val="center"/>
                    <w:rPr>
                      <w:color w:val="auto"/>
                      <w:sz w:val="18"/>
                      <w:szCs w:val="18"/>
                    </w:rPr>
                  </w:pPr>
                </w:p>
              </w:tc>
              <w:tc>
                <w:tcPr>
                  <w:tcW w:w="470" w:type="pct"/>
                  <w:vMerge w:val="continue"/>
                  <w:vAlign w:val="center"/>
                </w:tcPr>
                <w:p>
                  <w:pPr>
                    <w:jc w:val="center"/>
                    <w:rPr>
                      <w:color w:val="auto"/>
                      <w:sz w:val="18"/>
                      <w:szCs w:val="18"/>
                    </w:rPr>
                  </w:pPr>
                </w:p>
              </w:tc>
              <w:tc>
                <w:tcPr>
                  <w:tcW w:w="777" w:type="pct"/>
                  <w:vMerge w:val="continue"/>
                  <w:vAlign w:val="center"/>
                </w:tcPr>
                <w:p>
                  <w:pPr>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28" w:type="pct"/>
                  <w:vAlign w:val="center"/>
                </w:tcPr>
                <w:p>
                  <w:pPr>
                    <w:jc w:val="center"/>
                    <w:rPr>
                      <w:color w:val="auto"/>
                      <w:sz w:val="18"/>
                      <w:szCs w:val="18"/>
                    </w:rPr>
                  </w:pPr>
                  <w:r>
                    <w:rPr>
                      <w:color w:val="auto"/>
                      <w:sz w:val="18"/>
                      <w:szCs w:val="18"/>
                    </w:rPr>
                    <w:t>1</w:t>
                  </w:r>
                </w:p>
              </w:tc>
              <w:tc>
                <w:tcPr>
                  <w:tcW w:w="469" w:type="pct"/>
                  <w:vAlign w:val="center"/>
                </w:tcPr>
                <w:p>
                  <w:pPr>
                    <w:jc w:val="center"/>
                    <w:rPr>
                      <w:color w:val="auto"/>
                      <w:sz w:val="18"/>
                      <w:szCs w:val="18"/>
                    </w:rPr>
                  </w:pPr>
                  <w:r>
                    <w:rPr>
                      <w:rFonts w:hint="eastAsia"/>
                      <w:color w:val="auto"/>
                      <w:sz w:val="18"/>
                      <w:szCs w:val="18"/>
                    </w:rPr>
                    <w:t>全厂</w:t>
                  </w:r>
                </w:p>
                <w:p>
                  <w:pPr>
                    <w:jc w:val="center"/>
                    <w:rPr>
                      <w:color w:val="auto"/>
                      <w:sz w:val="18"/>
                      <w:szCs w:val="18"/>
                    </w:rPr>
                  </w:pPr>
                  <w:r>
                    <w:rPr>
                      <w:rFonts w:hint="eastAsia"/>
                      <w:color w:val="auto"/>
                      <w:sz w:val="18"/>
                      <w:szCs w:val="18"/>
                    </w:rPr>
                    <w:t>废水</w:t>
                  </w:r>
                </w:p>
              </w:tc>
              <w:tc>
                <w:tcPr>
                  <w:tcW w:w="466" w:type="pct"/>
                  <w:vAlign w:val="center"/>
                </w:tcPr>
                <w:p>
                  <w:pPr>
                    <w:jc w:val="center"/>
                    <w:textAlignment w:val="baseline"/>
                    <w:rPr>
                      <w:color w:val="auto"/>
                      <w:kern w:val="0"/>
                      <w:sz w:val="18"/>
                      <w:szCs w:val="18"/>
                    </w:rPr>
                  </w:pPr>
                  <w:r>
                    <w:rPr>
                      <w:color w:val="auto"/>
                      <w:kern w:val="0"/>
                      <w:sz w:val="18"/>
                      <w:szCs w:val="18"/>
                    </w:rPr>
                    <w:t>pH</w:t>
                  </w:r>
                </w:p>
                <w:p>
                  <w:pPr>
                    <w:jc w:val="center"/>
                    <w:textAlignment w:val="baseline"/>
                    <w:rPr>
                      <w:color w:val="auto"/>
                      <w:kern w:val="0"/>
                      <w:sz w:val="18"/>
                      <w:szCs w:val="18"/>
                    </w:rPr>
                  </w:pPr>
                  <w:r>
                    <w:rPr>
                      <w:color w:val="auto"/>
                      <w:kern w:val="0"/>
                      <w:sz w:val="18"/>
                      <w:szCs w:val="18"/>
                    </w:rPr>
                    <w:t>COD</w:t>
                  </w:r>
                </w:p>
                <w:p>
                  <w:pPr>
                    <w:jc w:val="center"/>
                    <w:textAlignment w:val="baseline"/>
                    <w:rPr>
                      <w:color w:val="auto"/>
                      <w:kern w:val="0"/>
                      <w:sz w:val="18"/>
                      <w:szCs w:val="18"/>
                    </w:rPr>
                  </w:pPr>
                  <w:r>
                    <w:rPr>
                      <w:color w:val="auto"/>
                      <w:kern w:val="0"/>
                      <w:sz w:val="18"/>
                      <w:szCs w:val="18"/>
                    </w:rPr>
                    <w:t>SS</w:t>
                  </w:r>
                </w:p>
                <w:p>
                  <w:pPr>
                    <w:jc w:val="center"/>
                    <w:textAlignment w:val="baseline"/>
                    <w:rPr>
                      <w:color w:val="auto"/>
                      <w:kern w:val="0"/>
                      <w:sz w:val="18"/>
                      <w:szCs w:val="18"/>
                    </w:rPr>
                  </w:pPr>
                  <w:r>
                    <w:rPr>
                      <w:color w:val="auto"/>
                      <w:kern w:val="0"/>
                      <w:sz w:val="18"/>
                      <w:szCs w:val="18"/>
                    </w:rPr>
                    <w:t>氨氮</w:t>
                  </w:r>
                </w:p>
                <w:p>
                  <w:pPr>
                    <w:jc w:val="center"/>
                    <w:textAlignment w:val="baseline"/>
                    <w:rPr>
                      <w:color w:val="auto"/>
                      <w:kern w:val="0"/>
                      <w:sz w:val="18"/>
                      <w:szCs w:val="18"/>
                    </w:rPr>
                  </w:pPr>
                  <w:r>
                    <w:rPr>
                      <w:color w:val="auto"/>
                      <w:kern w:val="0"/>
                      <w:sz w:val="18"/>
                      <w:szCs w:val="18"/>
                    </w:rPr>
                    <w:t>总氮</w:t>
                  </w:r>
                </w:p>
                <w:p>
                  <w:pPr>
                    <w:jc w:val="center"/>
                    <w:textAlignment w:val="baseline"/>
                    <w:rPr>
                      <w:color w:val="auto"/>
                      <w:kern w:val="0"/>
                      <w:sz w:val="18"/>
                      <w:szCs w:val="18"/>
                    </w:rPr>
                  </w:pPr>
                  <w:r>
                    <w:rPr>
                      <w:color w:val="auto"/>
                      <w:kern w:val="0"/>
                      <w:sz w:val="18"/>
                      <w:szCs w:val="18"/>
                    </w:rPr>
                    <w:t>总磷</w:t>
                  </w:r>
                </w:p>
              </w:tc>
              <w:tc>
                <w:tcPr>
                  <w:tcW w:w="408" w:type="pct"/>
                  <w:vAlign w:val="center"/>
                </w:tcPr>
                <w:p>
                  <w:pPr>
                    <w:jc w:val="center"/>
                    <w:rPr>
                      <w:color w:val="auto"/>
                      <w:sz w:val="18"/>
                      <w:szCs w:val="18"/>
                    </w:rPr>
                  </w:pPr>
                  <w:r>
                    <w:rPr>
                      <w:color w:val="auto"/>
                      <w:sz w:val="18"/>
                      <w:szCs w:val="18"/>
                    </w:rPr>
                    <w:t>接管城东污水处理厂</w:t>
                  </w:r>
                </w:p>
              </w:tc>
              <w:tc>
                <w:tcPr>
                  <w:tcW w:w="467" w:type="pct"/>
                  <w:vAlign w:val="center"/>
                </w:tcPr>
                <w:p>
                  <w:pPr>
                    <w:jc w:val="center"/>
                    <w:rPr>
                      <w:snapToGrid w:val="0"/>
                      <w:color w:val="auto"/>
                      <w:kern w:val="0"/>
                      <w:sz w:val="18"/>
                      <w:szCs w:val="18"/>
                    </w:rPr>
                  </w:pPr>
                  <w:r>
                    <w:rPr>
                      <w:snapToGrid w:val="0"/>
                      <w:color w:val="auto"/>
                      <w:kern w:val="0"/>
                      <w:sz w:val="18"/>
                      <w:szCs w:val="18"/>
                    </w:rPr>
                    <w:t>间断排放，排放期间流量不稳定</w:t>
                  </w:r>
                </w:p>
              </w:tc>
              <w:tc>
                <w:tcPr>
                  <w:tcW w:w="467" w:type="pct"/>
                  <w:vAlign w:val="center"/>
                </w:tcPr>
                <w:p>
                  <w:pPr>
                    <w:jc w:val="center"/>
                    <w:rPr>
                      <w:snapToGrid w:val="0"/>
                      <w:color w:val="auto"/>
                      <w:kern w:val="0"/>
                      <w:sz w:val="18"/>
                      <w:szCs w:val="18"/>
                    </w:rPr>
                  </w:pPr>
                  <w:r>
                    <w:rPr>
                      <w:snapToGrid w:val="0"/>
                      <w:color w:val="auto"/>
                      <w:kern w:val="0"/>
                      <w:sz w:val="18"/>
                      <w:szCs w:val="18"/>
                    </w:rPr>
                    <w:t>/</w:t>
                  </w:r>
                </w:p>
              </w:tc>
              <w:tc>
                <w:tcPr>
                  <w:tcW w:w="454" w:type="pct"/>
                  <w:vAlign w:val="center"/>
                </w:tcPr>
                <w:p>
                  <w:pPr>
                    <w:jc w:val="center"/>
                    <w:rPr>
                      <w:snapToGrid w:val="0"/>
                      <w:color w:val="auto"/>
                      <w:kern w:val="0"/>
                      <w:sz w:val="18"/>
                      <w:szCs w:val="18"/>
                    </w:rPr>
                  </w:pPr>
                  <w:r>
                    <w:rPr>
                      <w:snapToGrid w:val="0"/>
                      <w:color w:val="auto"/>
                      <w:kern w:val="0"/>
                      <w:sz w:val="18"/>
                      <w:szCs w:val="18"/>
                    </w:rPr>
                    <w:t>/</w:t>
                  </w:r>
                </w:p>
              </w:tc>
              <w:tc>
                <w:tcPr>
                  <w:tcW w:w="324" w:type="pct"/>
                  <w:vAlign w:val="center"/>
                </w:tcPr>
                <w:p>
                  <w:pPr>
                    <w:jc w:val="center"/>
                    <w:rPr>
                      <w:color w:val="auto"/>
                      <w:sz w:val="18"/>
                      <w:szCs w:val="18"/>
                    </w:rPr>
                  </w:pPr>
                  <w:r>
                    <w:rPr>
                      <w:color w:val="auto"/>
                      <w:sz w:val="18"/>
                      <w:szCs w:val="18"/>
                    </w:rPr>
                    <w:t>/</w:t>
                  </w:r>
                </w:p>
              </w:tc>
              <w:tc>
                <w:tcPr>
                  <w:tcW w:w="470" w:type="pct"/>
                  <w:vAlign w:val="center"/>
                </w:tcPr>
                <w:p>
                  <w:pPr>
                    <w:jc w:val="center"/>
                    <w:rPr>
                      <w:snapToGrid w:val="0"/>
                      <w:color w:val="auto"/>
                      <w:kern w:val="0"/>
                      <w:sz w:val="18"/>
                      <w:szCs w:val="18"/>
                    </w:rPr>
                  </w:pPr>
                  <w:r>
                    <w:rPr>
                      <w:rFonts w:hint="eastAsia"/>
                      <w:snapToGrid w:val="0"/>
                      <w:color w:val="auto"/>
                      <w:kern w:val="0"/>
                      <w:sz w:val="18"/>
                      <w:szCs w:val="18"/>
                    </w:rPr>
                    <w:t>D</w:t>
                  </w:r>
                  <w:r>
                    <w:rPr>
                      <w:snapToGrid w:val="0"/>
                      <w:color w:val="auto"/>
                      <w:kern w:val="0"/>
                      <w:sz w:val="18"/>
                      <w:szCs w:val="18"/>
                    </w:rPr>
                    <w:t>A001</w:t>
                  </w:r>
                </w:p>
              </w:tc>
              <w:tc>
                <w:tcPr>
                  <w:tcW w:w="470" w:type="pct"/>
                  <w:vAlign w:val="center"/>
                </w:tcPr>
                <w:p>
                  <w:pPr>
                    <w:jc w:val="center"/>
                    <w:rPr>
                      <w:snapToGrid w:val="0"/>
                      <w:color w:val="auto"/>
                      <w:kern w:val="0"/>
                      <w:sz w:val="18"/>
                      <w:szCs w:val="18"/>
                    </w:rPr>
                  </w:pPr>
                  <w:r>
                    <w:rPr>
                      <w:snapToGrid w:val="0"/>
                      <w:color w:val="auto"/>
                      <w:kern w:val="0"/>
                      <w:sz w:val="18"/>
                      <w:szCs w:val="18"/>
                    </w:rPr>
                    <w:t>√是</w:t>
                  </w:r>
                </w:p>
                <w:p>
                  <w:pPr>
                    <w:jc w:val="center"/>
                    <w:rPr>
                      <w:snapToGrid w:val="0"/>
                      <w:color w:val="auto"/>
                      <w:kern w:val="0"/>
                      <w:sz w:val="18"/>
                      <w:szCs w:val="18"/>
                    </w:rPr>
                  </w:pPr>
                  <w:r>
                    <w:rPr>
                      <w:snapToGrid w:val="0"/>
                      <w:color w:val="auto"/>
                      <w:kern w:val="0"/>
                      <w:sz w:val="18"/>
                      <w:szCs w:val="18"/>
                    </w:rPr>
                    <w:t>□否</w:t>
                  </w:r>
                </w:p>
              </w:tc>
              <w:tc>
                <w:tcPr>
                  <w:tcW w:w="777" w:type="pct"/>
                  <w:vAlign w:val="center"/>
                </w:tcPr>
                <w:p>
                  <w:pPr>
                    <w:jc w:val="center"/>
                    <w:rPr>
                      <w:snapToGrid w:val="0"/>
                      <w:color w:val="auto"/>
                      <w:kern w:val="0"/>
                      <w:sz w:val="18"/>
                      <w:szCs w:val="18"/>
                    </w:rPr>
                  </w:pPr>
                  <w:r>
                    <w:rPr>
                      <w:snapToGrid w:val="0"/>
                      <w:color w:val="auto"/>
                      <w:kern w:val="0"/>
                      <w:sz w:val="18"/>
                      <w:szCs w:val="18"/>
                    </w:rPr>
                    <w:t>√企业总排</w:t>
                  </w:r>
                </w:p>
                <w:p>
                  <w:pPr>
                    <w:jc w:val="center"/>
                    <w:rPr>
                      <w:snapToGrid w:val="0"/>
                      <w:color w:val="auto"/>
                      <w:kern w:val="0"/>
                      <w:sz w:val="18"/>
                      <w:szCs w:val="18"/>
                    </w:rPr>
                  </w:pPr>
                  <w:r>
                    <w:rPr>
                      <w:snapToGrid w:val="0"/>
                      <w:color w:val="auto"/>
                      <w:kern w:val="0"/>
                      <w:sz w:val="18"/>
                      <w:szCs w:val="18"/>
                    </w:rPr>
                    <w:t>□雨水排放</w:t>
                  </w:r>
                </w:p>
                <w:p>
                  <w:pPr>
                    <w:jc w:val="center"/>
                    <w:rPr>
                      <w:snapToGrid w:val="0"/>
                      <w:color w:val="auto"/>
                      <w:kern w:val="0"/>
                      <w:sz w:val="18"/>
                      <w:szCs w:val="18"/>
                    </w:rPr>
                  </w:pPr>
                  <w:r>
                    <w:rPr>
                      <w:snapToGrid w:val="0"/>
                      <w:color w:val="auto"/>
                      <w:kern w:val="0"/>
                      <w:sz w:val="18"/>
                      <w:szCs w:val="18"/>
                    </w:rPr>
                    <w:t>□清净下水排放</w:t>
                  </w:r>
                </w:p>
                <w:p>
                  <w:pPr>
                    <w:jc w:val="center"/>
                    <w:rPr>
                      <w:snapToGrid w:val="0"/>
                      <w:color w:val="auto"/>
                      <w:kern w:val="0"/>
                      <w:sz w:val="18"/>
                      <w:szCs w:val="18"/>
                    </w:rPr>
                  </w:pPr>
                  <w:r>
                    <w:rPr>
                      <w:snapToGrid w:val="0"/>
                      <w:color w:val="auto"/>
                      <w:kern w:val="0"/>
                      <w:sz w:val="18"/>
                      <w:szCs w:val="18"/>
                    </w:rPr>
                    <w:t>□温排水排放</w:t>
                  </w:r>
                </w:p>
                <w:p>
                  <w:pPr>
                    <w:jc w:val="center"/>
                    <w:rPr>
                      <w:snapToGrid w:val="0"/>
                      <w:color w:val="auto"/>
                      <w:kern w:val="0"/>
                      <w:sz w:val="18"/>
                      <w:szCs w:val="18"/>
                    </w:rPr>
                  </w:pPr>
                  <w:r>
                    <w:rPr>
                      <w:snapToGrid w:val="0"/>
                      <w:color w:val="auto"/>
                      <w:kern w:val="0"/>
                      <w:sz w:val="18"/>
                      <w:szCs w:val="18"/>
                    </w:rPr>
                    <w:t>□车间或车间处理设施排放口</w:t>
                  </w:r>
                </w:p>
              </w:tc>
            </w:tr>
          </w:tbl>
          <w:p>
            <w:pPr>
              <w:adjustRightInd w:val="0"/>
              <w:snapToGrid w:val="0"/>
              <w:spacing w:before="120" w:beforeLines="50" w:line="360" w:lineRule="auto"/>
              <w:ind w:firstLine="420" w:firstLineChars="200"/>
              <w:rPr>
                <w:snapToGrid w:val="0"/>
                <w:color w:val="auto"/>
                <w:kern w:val="0"/>
                <w:szCs w:val="21"/>
              </w:rPr>
            </w:pPr>
            <w:r>
              <w:rPr>
                <w:color w:val="auto"/>
                <w:kern w:val="0"/>
                <w:szCs w:val="21"/>
              </w:rPr>
              <w:t>废水间接排放口基本情况见表4-1</w:t>
            </w:r>
            <w:r>
              <w:rPr>
                <w:rFonts w:hint="eastAsia"/>
                <w:color w:val="auto"/>
                <w:kern w:val="0"/>
                <w:szCs w:val="21"/>
              </w:rPr>
              <w:t>4</w:t>
            </w:r>
            <w:r>
              <w:rPr>
                <w:snapToGrid w:val="0"/>
                <w:color w:val="auto"/>
                <w:kern w:val="0"/>
                <w:szCs w:val="21"/>
              </w:rPr>
              <w:t>。</w:t>
            </w:r>
          </w:p>
          <w:p>
            <w:pPr>
              <w:jc w:val="center"/>
              <w:rPr>
                <w:b/>
                <w:color w:val="auto"/>
                <w:kern w:val="0"/>
                <w:szCs w:val="21"/>
              </w:rPr>
            </w:pPr>
            <w:r>
              <w:rPr>
                <w:b/>
                <w:color w:val="auto"/>
                <w:kern w:val="0"/>
                <w:szCs w:val="21"/>
              </w:rPr>
              <w:t>表4-1</w:t>
            </w:r>
            <w:r>
              <w:rPr>
                <w:rFonts w:hint="eastAsia"/>
                <w:b/>
                <w:color w:val="auto"/>
                <w:kern w:val="0"/>
                <w:szCs w:val="21"/>
              </w:rPr>
              <w:t>4</w:t>
            </w:r>
            <w:r>
              <w:rPr>
                <w:b/>
                <w:color w:val="auto"/>
                <w:kern w:val="0"/>
                <w:szCs w:val="21"/>
              </w:rPr>
              <w:t xml:space="preserve">  废水间接排放口基本情况表</w:t>
            </w:r>
          </w:p>
          <w:tbl>
            <w:tblPr>
              <w:tblStyle w:val="3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26"/>
              <w:gridCol w:w="1038"/>
              <w:gridCol w:w="1175"/>
              <w:gridCol w:w="1060"/>
              <w:gridCol w:w="1179"/>
              <w:gridCol w:w="761"/>
              <w:gridCol w:w="524"/>
              <w:gridCol w:w="524"/>
              <w:gridCol w:w="524"/>
              <w:gridCol w:w="789"/>
              <w:gridCol w:w="130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restart"/>
                  <w:vAlign w:val="center"/>
                </w:tcPr>
                <w:p>
                  <w:pPr>
                    <w:jc w:val="center"/>
                    <w:rPr>
                      <w:b/>
                      <w:color w:val="auto"/>
                      <w:sz w:val="18"/>
                      <w:szCs w:val="18"/>
                    </w:rPr>
                  </w:pPr>
                  <w:r>
                    <w:rPr>
                      <w:b/>
                      <w:color w:val="auto"/>
                      <w:sz w:val="18"/>
                      <w:szCs w:val="18"/>
                    </w:rPr>
                    <w:t>序号</w:t>
                  </w:r>
                </w:p>
              </w:tc>
              <w:tc>
                <w:tcPr>
                  <w:tcW w:w="551" w:type="pct"/>
                  <w:vMerge w:val="restart"/>
                  <w:vAlign w:val="center"/>
                </w:tcPr>
                <w:p>
                  <w:pPr>
                    <w:jc w:val="center"/>
                    <w:rPr>
                      <w:b/>
                      <w:color w:val="auto"/>
                      <w:sz w:val="18"/>
                      <w:szCs w:val="18"/>
                    </w:rPr>
                  </w:pPr>
                  <w:r>
                    <w:rPr>
                      <w:b/>
                      <w:color w:val="auto"/>
                      <w:sz w:val="18"/>
                      <w:szCs w:val="18"/>
                    </w:rPr>
                    <w:t>排放口编号</w:t>
                  </w:r>
                </w:p>
              </w:tc>
              <w:tc>
                <w:tcPr>
                  <w:tcW w:w="1187" w:type="pct"/>
                  <w:gridSpan w:val="2"/>
                  <w:vAlign w:val="center"/>
                </w:tcPr>
                <w:p>
                  <w:pPr>
                    <w:jc w:val="center"/>
                    <w:rPr>
                      <w:b/>
                      <w:color w:val="auto"/>
                      <w:sz w:val="18"/>
                      <w:szCs w:val="18"/>
                    </w:rPr>
                  </w:pPr>
                  <w:r>
                    <w:rPr>
                      <w:b/>
                      <w:color w:val="auto"/>
                      <w:sz w:val="18"/>
                      <w:szCs w:val="18"/>
                    </w:rPr>
                    <w:t>排放口地理位置</w:t>
                  </w:r>
                </w:p>
              </w:tc>
              <w:tc>
                <w:tcPr>
                  <w:tcW w:w="626" w:type="pct"/>
                  <w:vMerge w:val="restart"/>
                  <w:vAlign w:val="center"/>
                </w:tcPr>
                <w:p>
                  <w:pPr>
                    <w:jc w:val="center"/>
                    <w:rPr>
                      <w:b/>
                      <w:color w:val="auto"/>
                      <w:sz w:val="18"/>
                      <w:szCs w:val="18"/>
                    </w:rPr>
                  </w:pPr>
                  <w:r>
                    <w:rPr>
                      <w:b/>
                      <w:color w:val="auto"/>
                      <w:sz w:val="18"/>
                      <w:szCs w:val="18"/>
                    </w:rPr>
                    <w:t>废水排放量（t/a）</w:t>
                  </w:r>
                </w:p>
              </w:tc>
              <w:tc>
                <w:tcPr>
                  <w:tcW w:w="404" w:type="pct"/>
                  <w:vMerge w:val="restart"/>
                  <w:vAlign w:val="center"/>
                </w:tcPr>
                <w:p>
                  <w:pPr>
                    <w:jc w:val="center"/>
                    <w:rPr>
                      <w:b/>
                      <w:color w:val="auto"/>
                      <w:sz w:val="18"/>
                      <w:szCs w:val="18"/>
                    </w:rPr>
                  </w:pPr>
                  <w:r>
                    <w:rPr>
                      <w:b/>
                      <w:color w:val="auto"/>
                      <w:sz w:val="18"/>
                      <w:szCs w:val="18"/>
                    </w:rPr>
                    <w:t>排放去向</w:t>
                  </w:r>
                </w:p>
              </w:tc>
              <w:tc>
                <w:tcPr>
                  <w:tcW w:w="278" w:type="pct"/>
                  <w:vMerge w:val="restart"/>
                  <w:vAlign w:val="center"/>
                </w:tcPr>
                <w:p>
                  <w:pPr>
                    <w:jc w:val="center"/>
                    <w:rPr>
                      <w:b/>
                      <w:color w:val="auto"/>
                      <w:sz w:val="18"/>
                      <w:szCs w:val="18"/>
                    </w:rPr>
                  </w:pPr>
                  <w:r>
                    <w:rPr>
                      <w:b/>
                      <w:color w:val="auto"/>
                      <w:sz w:val="18"/>
                      <w:szCs w:val="18"/>
                    </w:rPr>
                    <w:t>排放规律</w:t>
                  </w:r>
                </w:p>
              </w:tc>
              <w:tc>
                <w:tcPr>
                  <w:tcW w:w="278" w:type="pct"/>
                  <w:vMerge w:val="restart"/>
                  <w:vAlign w:val="center"/>
                </w:tcPr>
                <w:p>
                  <w:pPr>
                    <w:jc w:val="center"/>
                    <w:rPr>
                      <w:b/>
                      <w:color w:val="auto"/>
                      <w:sz w:val="18"/>
                      <w:szCs w:val="18"/>
                    </w:rPr>
                  </w:pPr>
                  <w:r>
                    <w:rPr>
                      <w:b/>
                      <w:color w:val="auto"/>
                      <w:sz w:val="18"/>
                      <w:szCs w:val="18"/>
                    </w:rPr>
                    <w:t>间歇排放时段</w:t>
                  </w:r>
                </w:p>
              </w:tc>
              <w:tc>
                <w:tcPr>
                  <w:tcW w:w="1391" w:type="pct"/>
                  <w:gridSpan w:val="3"/>
                  <w:vAlign w:val="center"/>
                </w:tcPr>
                <w:p>
                  <w:pPr>
                    <w:jc w:val="center"/>
                    <w:rPr>
                      <w:b/>
                      <w:color w:val="auto"/>
                      <w:sz w:val="18"/>
                      <w:szCs w:val="18"/>
                    </w:rPr>
                  </w:pPr>
                  <w:r>
                    <w:rPr>
                      <w:b/>
                      <w:color w:val="auto"/>
                      <w:sz w:val="18"/>
                      <w:szCs w:val="18"/>
                    </w:rPr>
                    <w:t>近期受纳污水处理厂信息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continue"/>
                  <w:vAlign w:val="center"/>
                </w:tcPr>
                <w:p>
                  <w:pPr>
                    <w:jc w:val="center"/>
                    <w:rPr>
                      <w:b/>
                      <w:color w:val="auto"/>
                      <w:sz w:val="18"/>
                      <w:szCs w:val="18"/>
                    </w:rPr>
                  </w:pPr>
                </w:p>
              </w:tc>
              <w:tc>
                <w:tcPr>
                  <w:tcW w:w="551" w:type="pct"/>
                  <w:vMerge w:val="continue"/>
                  <w:vAlign w:val="center"/>
                </w:tcPr>
                <w:p>
                  <w:pPr>
                    <w:jc w:val="center"/>
                    <w:rPr>
                      <w:b/>
                      <w:color w:val="auto"/>
                      <w:sz w:val="18"/>
                      <w:szCs w:val="18"/>
                    </w:rPr>
                  </w:pPr>
                </w:p>
              </w:tc>
              <w:tc>
                <w:tcPr>
                  <w:tcW w:w="624" w:type="pct"/>
                  <w:vAlign w:val="center"/>
                </w:tcPr>
                <w:p>
                  <w:pPr>
                    <w:jc w:val="center"/>
                    <w:rPr>
                      <w:b/>
                      <w:color w:val="auto"/>
                      <w:sz w:val="18"/>
                      <w:szCs w:val="18"/>
                    </w:rPr>
                  </w:pPr>
                  <w:r>
                    <w:rPr>
                      <w:b/>
                      <w:color w:val="auto"/>
                      <w:sz w:val="18"/>
                      <w:szCs w:val="18"/>
                    </w:rPr>
                    <w:t>经度</w:t>
                  </w:r>
                </w:p>
              </w:tc>
              <w:tc>
                <w:tcPr>
                  <w:tcW w:w="562" w:type="pct"/>
                  <w:vAlign w:val="center"/>
                </w:tcPr>
                <w:p>
                  <w:pPr>
                    <w:jc w:val="center"/>
                    <w:rPr>
                      <w:b/>
                      <w:color w:val="auto"/>
                      <w:sz w:val="18"/>
                      <w:szCs w:val="18"/>
                    </w:rPr>
                  </w:pPr>
                  <w:r>
                    <w:rPr>
                      <w:b/>
                      <w:color w:val="auto"/>
                      <w:sz w:val="18"/>
                      <w:szCs w:val="18"/>
                    </w:rPr>
                    <w:t>纬度</w:t>
                  </w:r>
                </w:p>
              </w:tc>
              <w:tc>
                <w:tcPr>
                  <w:tcW w:w="626" w:type="pct"/>
                  <w:vMerge w:val="continue"/>
                  <w:vAlign w:val="center"/>
                </w:tcPr>
                <w:p>
                  <w:pPr>
                    <w:jc w:val="center"/>
                    <w:rPr>
                      <w:b/>
                      <w:color w:val="auto"/>
                      <w:sz w:val="18"/>
                      <w:szCs w:val="18"/>
                    </w:rPr>
                  </w:pPr>
                </w:p>
              </w:tc>
              <w:tc>
                <w:tcPr>
                  <w:tcW w:w="404" w:type="pct"/>
                  <w:vMerge w:val="continue"/>
                  <w:vAlign w:val="center"/>
                </w:tcPr>
                <w:p>
                  <w:pPr>
                    <w:jc w:val="center"/>
                    <w:rPr>
                      <w:b/>
                      <w:color w:val="auto"/>
                      <w:sz w:val="18"/>
                      <w:szCs w:val="18"/>
                    </w:rPr>
                  </w:pPr>
                </w:p>
              </w:tc>
              <w:tc>
                <w:tcPr>
                  <w:tcW w:w="278" w:type="pct"/>
                  <w:vMerge w:val="continue"/>
                  <w:vAlign w:val="center"/>
                </w:tcPr>
                <w:p>
                  <w:pPr>
                    <w:jc w:val="center"/>
                    <w:rPr>
                      <w:b/>
                      <w:color w:val="auto"/>
                      <w:sz w:val="18"/>
                      <w:szCs w:val="18"/>
                    </w:rPr>
                  </w:pPr>
                </w:p>
              </w:tc>
              <w:tc>
                <w:tcPr>
                  <w:tcW w:w="278" w:type="pct"/>
                  <w:vMerge w:val="continue"/>
                  <w:vAlign w:val="center"/>
                </w:tcPr>
                <w:p>
                  <w:pPr>
                    <w:jc w:val="center"/>
                    <w:rPr>
                      <w:b/>
                      <w:color w:val="auto"/>
                      <w:sz w:val="18"/>
                      <w:szCs w:val="18"/>
                    </w:rPr>
                  </w:pPr>
                </w:p>
              </w:tc>
              <w:tc>
                <w:tcPr>
                  <w:tcW w:w="278" w:type="pct"/>
                  <w:vAlign w:val="center"/>
                </w:tcPr>
                <w:p>
                  <w:pPr>
                    <w:jc w:val="center"/>
                    <w:rPr>
                      <w:b/>
                      <w:color w:val="auto"/>
                      <w:sz w:val="18"/>
                      <w:szCs w:val="18"/>
                    </w:rPr>
                  </w:pPr>
                  <w:r>
                    <w:rPr>
                      <w:b/>
                      <w:color w:val="auto"/>
                      <w:sz w:val="18"/>
                      <w:szCs w:val="18"/>
                    </w:rPr>
                    <w:t>名称</w:t>
                  </w:r>
                </w:p>
              </w:tc>
              <w:tc>
                <w:tcPr>
                  <w:tcW w:w="419" w:type="pct"/>
                  <w:vAlign w:val="center"/>
                </w:tcPr>
                <w:p>
                  <w:pPr>
                    <w:jc w:val="center"/>
                    <w:rPr>
                      <w:b/>
                      <w:color w:val="auto"/>
                      <w:sz w:val="18"/>
                      <w:szCs w:val="18"/>
                    </w:rPr>
                  </w:pPr>
                  <w:r>
                    <w:rPr>
                      <w:b/>
                      <w:color w:val="auto"/>
                      <w:sz w:val="18"/>
                      <w:szCs w:val="18"/>
                    </w:rPr>
                    <w:t>污染物种类</w:t>
                  </w:r>
                </w:p>
              </w:tc>
              <w:tc>
                <w:tcPr>
                  <w:tcW w:w="693" w:type="pct"/>
                  <w:vAlign w:val="center"/>
                </w:tcPr>
                <w:p>
                  <w:pPr>
                    <w:jc w:val="center"/>
                    <w:rPr>
                      <w:b/>
                      <w:color w:val="auto"/>
                      <w:sz w:val="18"/>
                      <w:szCs w:val="18"/>
                    </w:rPr>
                  </w:pPr>
                  <w:r>
                    <w:rPr>
                      <w:b/>
                      <w:color w:val="auto"/>
                      <w:sz w:val="18"/>
                      <w:szCs w:val="18"/>
                    </w:rPr>
                    <w:t>国家或地方污染物排放标准浓度限值（mg/L）</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restart"/>
                  <w:vAlign w:val="center"/>
                </w:tcPr>
                <w:p>
                  <w:pPr>
                    <w:jc w:val="center"/>
                    <w:rPr>
                      <w:color w:val="auto"/>
                      <w:sz w:val="18"/>
                      <w:szCs w:val="18"/>
                    </w:rPr>
                  </w:pPr>
                  <w:r>
                    <w:rPr>
                      <w:color w:val="auto"/>
                      <w:sz w:val="18"/>
                      <w:szCs w:val="18"/>
                    </w:rPr>
                    <w:t>1</w:t>
                  </w:r>
                </w:p>
              </w:tc>
              <w:tc>
                <w:tcPr>
                  <w:tcW w:w="551" w:type="pct"/>
                  <w:vMerge w:val="restart"/>
                  <w:vAlign w:val="center"/>
                </w:tcPr>
                <w:p>
                  <w:pPr>
                    <w:jc w:val="center"/>
                    <w:rPr>
                      <w:color w:val="auto"/>
                      <w:sz w:val="18"/>
                      <w:szCs w:val="18"/>
                    </w:rPr>
                  </w:pPr>
                  <w:r>
                    <w:rPr>
                      <w:color w:val="auto"/>
                      <w:sz w:val="18"/>
                      <w:szCs w:val="18"/>
                    </w:rPr>
                    <w:t>DW001</w:t>
                  </w:r>
                </w:p>
              </w:tc>
              <w:tc>
                <w:tcPr>
                  <w:tcW w:w="624" w:type="pct"/>
                  <w:vMerge w:val="restart"/>
                  <w:vAlign w:val="center"/>
                </w:tcPr>
                <w:p>
                  <w:pPr>
                    <w:jc w:val="center"/>
                    <w:rPr>
                      <w:color w:val="auto"/>
                      <w:sz w:val="18"/>
                      <w:szCs w:val="18"/>
                    </w:rPr>
                  </w:pPr>
                  <w:r>
                    <w:rPr>
                      <w:rFonts w:hint="eastAsia"/>
                      <w:color w:val="auto"/>
                      <w:sz w:val="18"/>
                      <w:szCs w:val="18"/>
                    </w:rPr>
                    <w:t>121.119087</w:t>
                  </w:r>
                </w:p>
              </w:tc>
              <w:tc>
                <w:tcPr>
                  <w:tcW w:w="562" w:type="pct"/>
                  <w:vMerge w:val="restart"/>
                  <w:vAlign w:val="center"/>
                </w:tcPr>
                <w:p>
                  <w:pPr>
                    <w:jc w:val="center"/>
                    <w:rPr>
                      <w:color w:val="auto"/>
                      <w:sz w:val="18"/>
                      <w:szCs w:val="18"/>
                    </w:rPr>
                  </w:pPr>
                  <w:r>
                    <w:rPr>
                      <w:rFonts w:hint="eastAsia"/>
                      <w:color w:val="auto"/>
                      <w:sz w:val="18"/>
                      <w:szCs w:val="18"/>
                    </w:rPr>
                    <w:t>31.497742</w:t>
                  </w:r>
                </w:p>
              </w:tc>
              <w:tc>
                <w:tcPr>
                  <w:tcW w:w="626" w:type="pct"/>
                  <w:vMerge w:val="restart"/>
                  <w:vAlign w:val="center"/>
                </w:tcPr>
                <w:p>
                  <w:pPr>
                    <w:jc w:val="center"/>
                    <w:rPr>
                      <w:rFonts w:hint="default" w:eastAsia="宋体"/>
                      <w:color w:val="auto"/>
                      <w:sz w:val="18"/>
                      <w:szCs w:val="18"/>
                      <w:lang w:val="en-US" w:eastAsia="zh-CN"/>
                    </w:rPr>
                  </w:pPr>
                  <w:r>
                    <w:rPr>
                      <w:rFonts w:hint="eastAsia"/>
                      <w:snapToGrid w:val="0"/>
                      <w:color w:val="auto"/>
                      <w:kern w:val="0"/>
                      <w:sz w:val="18"/>
                      <w:szCs w:val="18"/>
                      <w:lang w:val="en-US" w:eastAsia="zh-CN"/>
                    </w:rPr>
                    <w:t>420</w:t>
                  </w:r>
                </w:p>
              </w:tc>
              <w:tc>
                <w:tcPr>
                  <w:tcW w:w="404" w:type="pct"/>
                  <w:vMerge w:val="restart"/>
                  <w:vAlign w:val="center"/>
                </w:tcPr>
                <w:p>
                  <w:pPr>
                    <w:jc w:val="center"/>
                    <w:rPr>
                      <w:color w:val="auto"/>
                      <w:sz w:val="18"/>
                      <w:szCs w:val="18"/>
                    </w:rPr>
                  </w:pPr>
                  <w:r>
                    <w:rPr>
                      <w:color w:val="auto"/>
                      <w:sz w:val="18"/>
                      <w:szCs w:val="18"/>
                    </w:rPr>
                    <w:t>接管城东污水处理厂</w:t>
                  </w:r>
                </w:p>
              </w:tc>
              <w:tc>
                <w:tcPr>
                  <w:tcW w:w="278" w:type="pct"/>
                  <w:vMerge w:val="restart"/>
                  <w:vAlign w:val="center"/>
                </w:tcPr>
                <w:p>
                  <w:pPr>
                    <w:jc w:val="center"/>
                    <w:rPr>
                      <w:color w:val="auto"/>
                      <w:sz w:val="18"/>
                      <w:szCs w:val="18"/>
                    </w:rPr>
                  </w:pPr>
                  <w:r>
                    <w:rPr>
                      <w:color w:val="auto"/>
                      <w:sz w:val="18"/>
                      <w:szCs w:val="18"/>
                    </w:rPr>
                    <w:t>间断</w:t>
                  </w:r>
                </w:p>
              </w:tc>
              <w:tc>
                <w:tcPr>
                  <w:tcW w:w="278" w:type="pct"/>
                  <w:vMerge w:val="restart"/>
                  <w:vAlign w:val="center"/>
                </w:tcPr>
                <w:p>
                  <w:pPr>
                    <w:jc w:val="center"/>
                    <w:rPr>
                      <w:color w:val="auto"/>
                      <w:sz w:val="18"/>
                      <w:szCs w:val="18"/>
                    </w:rPr>
                  </w:pPr>
                  <w:r>
                    <w:rPr>
                      <w:color w:val="auto"/>
                      <w:sz w:val="18"/>
                      <w:szCs w:val="18"/>
                    </w:rPr>
                    <w:t>/</w:t>
                  </w:r>
                </w:p>
              </w:tc>
              <w:tc>
                <w:tcPr>
                  <w:tcW w:w="278" w:type="pct"/>
                  <w:vMerge w:val="restart"/>
                  <w:vAlign w:val="center"/>
                </w:tcPr>
                <w:p>
                  <w:pPr>
                    <w:jc w:val="center"/>
                    <w:rPr>
                      <w:color w:val="auto"/>
                      <w:sz w:val="18"/>
                      <w:szCs w:val="18"/>
                    </w:rPr>
                  </w:pPr>
                  <w:r>
                    <w:rPr>
                      <w:color w:val="auto"/>
                      <w:sz w:val="18"/>
                      <w:szCs w:val="18"/>
                    </w:rPr>
                    <w:t>城东污水处理厂</w:t>
                  </w:r>
                </w:p>
              </w:tc>
              <w:tc>
                <w:tcPr>
                  <w:tcW w:w="419" w:type="pct"/>
                  <w:vAlign w:val="center"/>
                </w:tcPr>
                <w:p>
                  <w:pPr>
                    <w:jc w:val="center"/>
                    <w:rPr>
                      <w:color w:val="auto"/>
                      <w:sz w:val="18"/>
                      <w:szCs w:val="18"/>
                    </w:rPr>
                  </w:pPr>
                  <w:r>
                    <w:rPr>
                      <w:color w:val="auto"/>
                      <w:sz w:val="18"/>
                      <w:szCs w:val="18"/>
                    </w:rPr>
                    <w:t>pH</w:t>
                  </w:r>
                </w:p>
              </w:tc>
              <w:tc>
                <w:tcPr>
                  <w:tcW w:w="693" w:type="pct"/>
                  <w:vAlign w:val="center"/>
                </w:tcPr>
                <w:p>
                  <w:pPr>
                    <w:jc w:val="center"/>
                    <w:rPr>
                      <w:color w:val="auto"/>
                      <w:sz w:val="18"/>
                      <w:szCs w:val="18"/>
                    </w:rPr>
                  </w:pPr>
                  <w:r>
                    <w:rPr>
                      <w:color w:val="auto"/>
                      <w:sz w:val="18"/>
                      <w:szCs w:val="18"/>
                    </w:rPr>
                    <w:t>6-9（无量纲）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continue"/>
                  <w:vAlign w:val="center"/>
                </w:tcPr>
                <w:p>
                  <w:pPr>
                    <w:jc w:val="center"/>
                    <w:rPr>
                      <w:color w:val="auto"/>
                      <w:sz w:val="18"/>
                      <w:szCs w:val="18"/>
                    </w:rPr>
                  </w:pPr>
                </w:p>
              </w:tc>
              <w:tc>
                <w:tcPr>
                  <w:tcW w:w="551" w:type="pct"/>
                  <w:vMerge w:val="continue"/>
                  <w:vAlign w:val="center"/>
                </w:tcPr>
                <w:p>
                  <w:pPr>
                    <w:jc w:val="center"/>
                    <w:rPr>
                      <w:color w:val="auto"/>
                      <w:sz w:val="18"/>
                      <w:szCs w:val="18"/>
                    </w:rPr>
                  </w:pPr>
                </w:p>
              </w:tc>
              <w:tc>
                <w:tcPr>
                  <w:tcW w:w="624" w:type="pct"/>
                  <w:vMerge w:val="continue"/>
                  <w:vAlign w:val="center"/>
                </w:tcPr>
                <w:p>
                  <w:pPr>
                    <w:jc w:val="center"/>
                    <w:rPr>
                      <w:color w:val="auto"/>
                      <w:sz w:val="18"/>
                      <w:szCs w:val="18"/>
                    </w:rPr>
                  </w:pPr>
                </w:p>
              </w:tc>
              <w:tc>
                <w:tcPr>
                  <w:tcW w:w="562" w:type="pct"/>
                  <w:vMerge w:val="continue"/>
                  <w:vAlign w:val="center"/>
                </w:tcPr>
                <w:p>
                  <w:pPr>
                    <w:jc w:val="center"/>
                    <w:rPr>
                      <w:color w:val="auto"/>
                      <w:sz w:val="18"/>
                      <w:szCs w:val="18"/>
                    </w:rPr>
                  </w:pPr>
                </w:p>
              </w:tc>
              <w:tc>
                <w:tcPr>
                  <w:tcW w:w="626" w:type="pct"/>
                  <w:vMerge w:val="continue"/>
                  <w:vAlign w:val="center"/>
                </w:tcPr>
                <w:p>
                  <w:pPr>
                    <w:jc w:val="center"/>
                    <w:rPr>
                      <w:color w:val="auto"/>
                      <w:sz w:val="18"/>
                      <w:szCs w:val="18"/>
                    </w:rPr>
                  </w:pPr>
                </w:p>
              </w:tc>
              <w:tc>
                <w:tcPr>
                  <w:tcW w:w="404"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419" w:type="pct"/>
                  <w:vAlign w:val="center"/>
                </w:tcPr>
                <w:p>
                  <w:pPr>
                    <w:jc w:val="center"/>
                    <w:rPr>
                      <w:color w:val="auto"/>
                      <w:sz w:val="18"/>
                      <w:szCs w:val="18"/>
                    </w:rPr>
                  </w:pPr>
                  <w:r>
                    <w:rPr>
                      <w:color w:val="auto"/>
                      <w:sz w:val="18"/>
                      <w:szCs w:val="18"/>
                    </w:rPr>
                    <w:t>COD</w:t>
                  </w:r>
                </w:p>
              </w:tc>
              <w:tc>
                <w:tcPr>
                  <w:tcW w:w="693" w:type="pct"/>
                  <w:vAlign w:val="center"/>
                </w:tcPr>
                <w:p>
                  <w:pPr>
                    <w:jc w:val="center"/>
                    <w:rPr>
                      <w:color w:val="auto"/>
                      <w:sz w:val="18"/>
                      <w:szCs w:val="18"/>
                    </w:rPr>
                  </w:pPr>
                  <w:r>
                    <w:rPr>
                      <w:rFonts w:hint="eastAsia"/>
                      <w:color w:val="auto"/>
                      <w:spacing w:val="4"/>
                      <w:kern w:val="0"/>
                      <w:sz w:val="18"/>
                      <w:szCs w:val="18"/>
                    </w:rPr>
                    <w:t>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continue"/>
                  <w:vAlign w:val="center"/>
                </w:tcPr>
                <w:p>
                  <w:pPr>
                    <w:jc w:val="center"/>
                    <w:rPr>
                      <w:color w:val="auto"/>
                      <w:sz w:val="18"/>
                      <w:szCs w:val="18"/>
                    </w:rPr>
                  </w:pPr>
                </w:p>
              </w:tc>
              <w:tc>
                <w:tcPr>
                  <w:tcW w:w="551" w:type="pct"/>
                  <w:vMerge w:val="continue"/>
                  <w:vAlign w:val="center"/>
                </w:tcPr>
                <w:p>
                  <w:pPr>
                    <w:jc w:val="center"/>
                    <w:rPr>
                      <w:color w:val="auto"/>
                      <w:sz w:val="18"/>
                      <w:szCs w:val="18"/>
                    </w:rPr>
                  </w:pPr>
                </w:p>
              </w:tc>
              <w:tc>
                <w:tcPr>
                  <w:tcW w:w="624" w:type="pct"/>
                  <w:vMerge w:val="continue"/>
                  <w:vAlign w:val="center"/>
                </w:tcPr>
                <w:p>
                  <w:pPr>
                    <w:jc w:val="center"/>
                    <w:rPr>
                      <w:color w:val="auto"/>
                      <w:sz w:val="18"/>
                      <w:szCs w:val="18"/>
                    </w:rPr>
                  </w:pPr>
                </w:p>
              </w:tc>
              <w:tc>
                <w:tcPr>
                  <w:tcW w:w="562" w:type="pct"/>
                  <w:vMerge w:val="continue"/>
                  <w:vAlign w:val="center"/>
                </w:tcPr>
                <w:p>
                  <w:pPr>
                    <w:jc w:val="center"/>
                    <w:rPr>
                      <w:color w:val="auto"/>
                      <w:sz w:val="18"/>
                      <w:szCs w:val="18"/>
                    </w:rPr>
                  </w:pPr>
                </w:p>
              </w:tc>
              <w:tc>
                <w:tcPr>
                  <w:tcW w:w="626" w:type="pct"/>
                  <w:vMerge w:val="continue"/>
                  <w:vAlign w:val="center"/>
                </w:tcPr>
                <w:p>
                  <w:pPr>
                    <w:jc w:val="center"/>
                    <w:rPr>
                      <w:color w:val="auto"/>
                      <w:sz w:val="18"/>
                      <w:szCs w:val="18"/>
                    </w:rPr>
                  </w:pPr>
                </w:p>
              </w:tc>
              <w:tc>
                <w:tcPr>
                  <w:tcW w:w="404"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419" w:type="pct"/>
                  <w:vAlign w:val="center"/>
                </w:tcPr>
                <w:p>
                  <w:pPr>
                    <w:jc w:val="center"/>
                    <w:rPr>
                      <w:color w:val="auto"/>
                      <w:sz w:val="18"/>
                      <w:szCs w:val="18"/>
                    </w:rPr>
                  </w:pPr>
                  <w:r>
                    <w:rPr>
                      <w:color w:val="auto"/>
                      <w:sz w:val="18"/>
                      <w:szCs w:val="18"/>
                    </w:rPr>
                    <w:t>SS</w:t>
                  </w:r>
                </w:p>
              </w:tc>
              <w:tc>
                <w:tcPr>
                  <w:tcW w:w="693" w:type="pct"/>
                  <w:vAlign w:val="center"/>
                </w:tcPr>
                <w:p>
                  <w:pPr>
                    <w:jc w:val="center"/>
                    <w:rPr>
                      <w:color w:val="auto"/>
                      <w:sz w:val="18"/>
                      <w:szCs w:val="18"/>
                    </w:rPr>
                  </w:pPr>
                  <w:r>
                    <w:rPr>
                      <w:color w:val="auto"/>
                      <w:spacing w:val="4"/>
                      <w:kern w:val="0"/>
                      <w:sz w:val="18"/>
                      <w:szCs w:val="18"/>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continue"/>
                  <w:vAlign w:val="center"/>
                </w:tcPr>
                <w:p>
                  <w:pPr>
                    <w:jc w:val="center"/>
                    <w:rPr>
                      <w:color w:val="auto"/>
                      <w:sz w:val="18"/>
                      <w:szCs w:val="18"/>
                    </w:rPr>
                  </w:pPr>
                </w:p>
              </w:tc>
              <w:tc>
                <w:tcPr>
                  <w:tcW w:w="551" w:type="pct"/>
                  <w:vMerge w:val="continue"/>
                  <w:vAlign w:val="center"/>
                </w:tcPr>
                <w:p>
                  <w:pPr>
                    <w:jc w:val="center"/>
                    <w:rPr>
                      <w:color w:val="auto"/>
                      <w:sz w:val="18"/>
                      <w:szCs w:val="18"/>
                    </w:rPr>
                  </w:pPr>
                </w:p>
              </w:tc>
              <w:tc>
                <w:tcPr>
                  <w:tcW w:w="624" w:type="pct"/>
                  <w:vMerge w:val="continue"/>
                  <w:vAlign w:val="center"/>
                </w:tcPr>
                <w:p>
                  <w:pPr>
                    <w:jc w:val="center"/>
                    <w:rPr>
                      <w:color w:val="auto"/>
                      <w:sz w:val="18"/>
                      <w:szCs w:val="18"/>
                    </w:rPr>
                  </w:pPr>
                </w:p>
              </w:tc>
              <w:tc>
                <w:tcPr>
                  <w:tcW w:w="562" w:type="pct"/>
                  <w:vMerge w:val="continue"/>
                  <w:vAlign w:val="center"/>
                </w:tcPr>
                <w:p>
                  <w:pPr>
                    <w:jc w:val="center"/>
                    <w:rPr>
                      <w:color w:val="auto"/>
                      <w:sz w:val="18"/>
                      <w:szCs w:val="18"/>
                    </w:rPr>
                  </w:pPr>
                </w:p>
              </w:tc>
              <w:tc>
                <w:tcPr>
                  <w:tcW w:w="626" w:type="pct"/>
                  <w:vMerge w:val="continue"/>
                  <w:vAlign w:val="center"/>
                </w:tcPr>
                <w:p>
                  <w:pPr>
                    <w:jc w:val="center"/>
                    <w:rPr>
                      <w:color w:val="auto"/>
                      <w:sz w:val="18"/>
                      <w:szCs w:val="18"/>
                    </w:rPr>
                  </w:pPr>
                </w:p>
              </w:tc>
              <w:tc>
                <w:tcPr>
                  <w:tcW w:w="404"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419" w:type="pct"/>
                  <w:vAlign w:val="center"/>
                </w:tcPr>
                <w:p>
                  <w:pPr>
                    <w:jc w:val="center"/>
                    <w:rPr>
                      <w:color w:val="auto"/>
                      <w:sz w:val="18"/>
                      <w:szCs w:val="18"/>
                    </w:rPr>
                  </w:pPr>
                  <w:r>
                    <w:rPr>
                      <w:color w:val="auto"/>
                      <w:sz w:val="18"/>
                      <w:szCs w:val="18"/>
                    </w:rPr>
                    <w:t>NH</w:t>
                  </w:r>
                  <w:r>
                    <w:rPr>
                      <w:color w:val="auto"/>
                      <w:sz w:val="18"/>
                      <w:szCs w:val="18"/>
                      <w:vertAlign w:val="subscript"/>
                    </w:rPr>
                    <w:t>3</w:t>
                  </w:r>
                  <w:r>
                    <w:rPr>
                      <w:color w:val="auto"/>
                      <w:sz w:val="18"/>
                      <w:szCs w:val="18"/>
                    </w:rPr>
                    <w:t>-N</w:t>
                  </w:r>
                </w:p>
              </w:tc>
              <w:tc>
                <w:tcPr>
                  <w:tcW w:w="693" w:type="pct"/>
                  <w:vAlign w:val="center"/>
                </w:tcPr>
                <w:p>
                  <w:pPr>
                    <w:jc w:val="center"/>
                    <w:rPr>
                      <w:color w:val="auto"/>
                      <w:sz w:val="18"/>
                      <w:szCs w:val="18"/>
                    </w:rPr>
                  </w:pPr>
                  <w:r>
                    <w:rPr>
                      <w:rFonts w:eastAsiaTheme="minorEastAsia"/>
                      <w:bCs/>
                      <w:snapToGrid w:val="0"/>
                      <w:color w:val="auto"/>
                      <w:sz w:val="18"/>
                      <w:szCs w:val="18"/>
                    </w:rPr>
                    <w:t>1.5（3）*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continue"/>
                  <w:vAlign w:val="center"/>
                </w:tcPr>
                <w:p>
                  <w:pPr>
                    <w:jc w:val="center"/>
                    <w:rPr>
                      <w:color w:val="auto"/>
                      <w:sz w:val="18"/>
                      <w:szCs w:val="18"/>
                    </w:rPr>
                  </w:pPr>
                </w:p>
              </w:tc>
              <w:tc>
                <w:tcPr>
                  <w:tcW w:w="551" w:type="pct"/>
                  <w:vMerge w:val="continue"/>
                  <w:vAlign w:val="center"/>
                </w:tcPr>
                <w:p>
                  <w:pPr>
                    <w:jc w:val="center"/>
                    <w:rPr>
                      <w:color w:val="auto"/>
                      <w:sz w:val="18"/>
                      <w:szCs w:val="18"/>
                    </w:rPr>
                  </w:pPr>
                </w:p>
              </w:tc>
              <w:tc>
                <w:tcPr>
                  <w:tcW w:w="624" w:type="pct"/>
                  <w:vMerge w:val="continue"/>
                  <w:vAlign w:val="center"/>
                </w:tcPr>
                <w:p>
                  <w:pPr>
                    <w:jc w:val="center"/>
                    <w:rPr>
                      <w:color w:val="auto"/>
                      <w:sz w:val="18"/>
                      <w:szCs w:val="18"/>
                    </w:rPr>
                  </w:pPr>
                </w:p>
              </w:tc>
              <w:tc>
                <w:tcPr>
                  <w:tcW w:w="562" w:type="pct"/>
                  <w:vMerge w:val="continue"/>
                  <w:vAlign w:val="center"/>
                </w:tcPr>
                <w:p>
                  <w:pPr>
                    <w:jc w:val="center"/>
                    <w:rPr>
                      <w:color w:val="auto"/>
                      <w:sz w:val="18"/>
                      <w:szCs w:val="18"/>
                    </w:rPr>
                  </w:pPr>
                </w:p>
              </w:tc>
              <w:tc>
                <w:tcPr>
                  <w:tcW w:w="626" w:type="pct"/>
                  <w:vMerge w:val="continue"/>
                  <w:vAlign w:val="center"/>
                </w:tcPr>
                <w:p>
                  <w:pPr>
                    <w:jc w:val="center"/>
                    <w:rPr>
                      <w:color w:val="auto"/>
                      <w:sz w:val="18"/>
                      <w:szCs w:val="18"/>
                    </w:rPr>
                  </w:pPr>
                </w:p>
              </w:tc>
              <w:tc>
                <w:tcPr>
                  <w:tcW w:w="404"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419" w:type="pct"/>
                  <w:vAlign w:val="center"/>
                </w:tcPr>
                <w:p>
                  <w:pPr>
                    <w:jc w:val="center"/>
                    <w:rPr>
                      <w:color w:val="auto"/>
                      <w:sz w:val="18"/>
                      <w:szCs w:val="18"/>
                    </w:rPr>
                  </w:pPr>
                  <w:r>
                    <w:rPr>
                      <w:color w:val="auto"/>
                      <w:sz w:val="18"/>
                      <w:szCs w:val="18"/>
                    </w:rPr>
                    <w:t>TP</w:t>
                  </w:r>
                </w:p>
              </w:tc>
              <w:tc>
                <w:tcPr>
                  <w:tcW w:w="693" w:type="pct"/>
                  <w:vAlign w:val="center"/>
                </w:tcPr>
                <w:p>
                  <w:pPr>
                    <w:jc w:val="center"/>
                    <w:rPr>
                      <w:color w:val="auto"/>
                      <w:sz w:val="18"/>
                      <w:szCs w:val="18"/>
                    </w:rPr>
                  </w:pPr>
                  <w:r>
                    <w:rPr>
                      <w:color w:val="auto"/>
                      <w:spacing w:val="4"/>
                      <w:kern w:val="0"/>
                      <w:sz w:val="18"/>
                      <w:szCs w:val="18"/>
                    </w:rPr>
                    <w:t>0</w:t>
                  </w:r>
                  <w:r>
                    <w:rPr>
                      <w:rFonts w:hint="eastAsia"/>
                      <w:color w:val="auto"/>
                      <w:spacing w:val="4"/>
                      <w:kern w:val="0"/>
                      <w:sz w:val="18"/>
                      <w:szCs w:val="18"/>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0" w:type="pct"/>
                  <w:vMerge w:val="continue"/>
                  <w:vAlign w:val="center"/>
                </w:tcPr>
                <w:p>
                  <w:pPr>
                    <w:jc w:val="center"/>
                    <w:rPr>
                      <w:color w:val="auto"/>
                      <w:sz w:val="18"/>
                      <w:szCs w:val="18"/>
                    </w:rPr>
                  </w:pPr>
                </w:p>
              </w:tc>
              <w:tc>
                <w:tcPr>
                  <w:tcW w:w="551" w:type="pct"/>
                  <w:vMerge w:val="continue"/>
                  <w:vAlign w:val="center"/>
                </w:tcPr>
                <w:p>
                  <w:pPr>
                    <w:jc w:val="center"/>
                    <w:rPr>
                      <w:color w:val="auto"/>
                      <w:sz w:val="18"/>
                      <w:szCs w:val="18"/>
                    </w:rPr>
                  </w:pPr>
                </w:p>
              </w:tc>
              <w:tc>
                <w:tcPr>
                  <w:tcW w:w="624" w:type="pct"/>
                  <w:vMerge w:val="continue"/>
                  <w:vAlign w:val="center"/>
                </w:tcPr>
                <w:p>
                  <w:pPr>
                    <w:jc w:val="center"/>
                    <w:rPr>
                      <w:color w:val="auto"/>
                      <w:sz w:val="18"/>
                      <w:szCs w:val="18"/>
                    </w:rPr>
                  </w:pPr>
                </w:p>
              </w:tc>
              <w:tc>
                <w:tcPr>
                  <w:tcW w:w="562" w:type="pct"/>
                  <w:vMerge w:val="continue"/>
                  <w:vAlign w:val="center"/>
                </w:tcPr>
                <w:p>
                  <w:pPr>
                    <w:jc w:val="center"/>
                    <w:rPr>
                      <w:color w:val="auto"/>
                      <w:sz w:val="18"/>
                      <w:szCs w:val="18"/>
                    </w:rPr>
                  </w:pPr>
                </w:p>
              </w:tc>
              <w:tc>
                <w:tcPr>
                  <w:tcW w:w="626" w:type="pct"/>
                  <w:vMerge w:val="continue"/>
                  <w:vAlign w:val="center"/>
                </w:tcPr>
                <w:p>
                  <w:pPr>
                    <w:jc w:val="center"/>
                    <w:rPr>
                      <w:color w:val="auto"/>
                      <w:sz w:val="18"/>
                      <w:szCs w:val="18"/>
                    </w:rPr>
                  </w:pPr>
                </w:p>
              </w:tc>
              <w:tc>
                <w:tcPr>
                  <w:tcW w:w="404"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278" w:type="pct"/>
                  <w:vMerge w:val="continue"/>
                  <w:vAlign w:val="center"/>
                </w:tcPr>
                <w:p>
                  <w:pPr>
                    <w:jc w:val="center"/>
                    <w:rPr>
                      <w:color w:val="auto"/>
                      <w:sz w:val="18"/>
                      <w:szCs w:val="18"/>
                    </w:rPr>
                  </w:pPr>
                </w:p>
              </w:tc>
              <w:tc>
                <w:tcPr>
                  <w:tcW w:w="419" w:type="pct"/>
                  <w:vAlign w:val="center"/>
                </w:tcPr>
                <w:p>
                  <w:pPr>
                    <w:jc w:val="center"/>
                    <w:rPr>
                      <w:color w:val="auto"/>
                      <w:sz w:val="18"/>
                      <w:szCs w:val="18"/>
                    </w:rPr>
                  </w:pPr>
                  <w:r>
                    <w:rPr>
                      <w:color w:val="auto"/>
                      <w:sz w:val="18"/>
                      <w:szCs w:val="18"/>
                    </w:rPr>
                    <w:t>TN</w:t>
                  </w:r>
                </w:p>
              </w:tc>
              <w:tc>
                <w:tcPr>
                  <w:tcW w:w="693" w:type="pct"/>
                  <w:vAlign w:val="center"/>
                </w:tcPr>
                <w:p>
                  <w:pPr>
                    <w:jc w:val="center"/>
                    <w:rPr>
                      <w:color w:val="auto"/>
                      <w:sz w:val="18"/>
                      <w:szCs w:val="18"/>
                    </w:rPr>
                  </w:pPr>
                  <w:r>
                    <w:rPr>
                      <w:rFonts w:hint="eastAsia"/>
                      <w:color w:val="auto"/>
                      <w:sz w:val="18"/>
                      <w:szCs w:val="18"/>
                    </w:rPr>
                    <w:t>10</w:t>
                  </w:r>
                </w:p>
              </w:tc>
            </w:tr>
          </w:tbl>
          <w:p>
            <w:pPr>
              <w:spacing w:line="360" w:lineRule="auto"/>
              <w:rPr>
                <w:color w:val="auto"/>
                <w:sz w:val="18"/>
                <w:szCs w:val="18"/>
              </w:rPr>
            </w:pPr>
            <w:r>
              <w:rPr>
                <w:color w:val="auto"/>
                <w:sz w:val="18"/>
                <w:szCs w:val="18"/>
              </w:rPr>
              <w:t>注*：括号外数值水温&gt;12℃时的控制指标，括号外数值为水温≤12℃时的控制指标。</w:t>
            </w:r>
          </w:p>
          <w:p>
            <w:pPr>
              <w:spacing w:line="360" w:lineRule="auto"/>
              <w:ind w:firstLine="420" w:firstLineChars="200"/>
              <w:rPr>
                <w:snapToGrid w:val="0"/>
                <w:color w:val="auto"/>
                <w:szCs w:val="28"/>
              </w:rPr>
            </w:pPr>
            <w:r>
              <w:rPr>
                <w:snapToGrid w:val="0"/>
                <w:color w:val="auto"/>
                <w:szCs w:val="28"/>
              </w:rPr>
              <w:t>（3）废水污染治理设施可行性分析</w:t>
            </w:r>
          </w:p>
          <w:p>
            <w:pPr>
              <w:spacing w:line="360" w:lineRule="auto"/>
              <w:ind w:firstLine="420" w:firstLineChars="200"/>
              <w:rPr>
                <w:color w:val="auto"/>
                <w:szCs w:val="21"/>
              </w:rPr>
            </w:pPr>
            <w:r>
              <w:rPr>
                <w:bCs/>
                <w:color w:val="auto"/>
                <w:szCs w:val="21"/>
              </w:rPr>
              <w:t>本项目</w:t>
            </w:r>
            <w:r>
              <w:rPr>
                <w:color w:val="auto"/>
                <w:kern w:val="0"/>
                <w:szCs w:val="21"/>
              </w:rPr>
              <w:t>生活污水</w:t>
            </w:r>
            <w:r>
              <w:rPr>
                <w:rFonts w:hint="eastAsia"/>
                <w:color w:val="auto"/>
                <w:kern w:val="0"/>
                <w:szCs w:val="21"/>
              </w:rPr>
              <w:t>经化粪池处理后与循环冷却排污水</w:t>
            </w:r>
            <w:r>
              <w:rPr>
                <w:color w:val="auto"/>
                <w:kern w:val="0"/>
                <w:szCs w:val="21"/>
              </w:rPr>
              <w:t>通过DW001</w:t>
            </w:r>
            <w:r>
              <w:rPr>
                <w:bCs/>
                <w:color w:val="auto"/>
                <w:szCs w:val="21"/>
              </w:rPr>
              <w:t>接管城东污水处理厂。</w:t>
            </w:r>
            <w:r>
              <w:rPr>
                <w:color w:val="auto"/>
                <w:szCs w:val="21"/>
              </w:rPr>
              <w:t>本项目废水收集、处理方式示意图见图4-3。</w:t>
            </w:r>
          </w:p>
          <w:p>
            <w:pPr>
              <w:ind w:left="-106" w:leftChars="-51" w:hanging="1"/>
              <w:jc w:val="center"/>
              <w:rPr>
                <w:color w:val="auto"/>
              </w:rPr>
            </w:pPr>
            <w:bookmarkStart w:id="10" w:name="_MON_1722342299"/>
            <w:bookmarkEnd w:id="10"/>
            <w:r>
              <w:rPr>
                <w:color w:val="auto"/>
              </w:rPr>
              <w:object>
                <v:shape id="_x0000_i1029" o:spt="75" type="#_x0000_t75" style="height:69.7pt;width:289.55pt;" o:ole="t" filled="f" o:preferrelative="t" stroked="f" coordsize="21600,21600">
                  <v:path/>
                  <v:fill on="f" focussize="0,0"/>
                  <v:stroke on="f" joinstyle="miter"/>
                  <v:imagedata r:id="rId24" o:title=""/>
                  <o:lock v:ext="edit" aspectratio="t"/>
                  <w10:wrap type="none"/>
                  <w10:anchorlock/>
                </v:shape>
                <o:OLEObject Type="Embed" ProgID="Visio.Drawing.11" ShapeID="_x0000_i1029" DrawAspect="Content" ObjectID="_1468075729" r:id="rId23">
                  <o:LockedField>false</o:LockedField>
                </o:OLEObject>
              </w:object>
            </w:r>
          </w:p>
          <w:p>
            <w:pPr>
              <w:adjustRightInd w:val="0"/>
              <w:snapToGrid w:val="0"/>
              <w:jc w:val="center"/>
              <w:rPr>
                <w:color w:val="auto"/>
                <w:szCs w:val="21"/>
              </w:rPr>
            </w:pPr>
            <w:r>
              <w:rPr>
                <w:b/>
                <w:color w:val="auto"/>
                <w:szCs w:val="21"/>
              </w:rPr>
              <w:t>图4-</w:t>
            </w:r>
            <w:r>
              <w:rPr>
                <w:rFonts w:hint="eastAsia"/>
                <w:b/>
                <w:color w:val="auto"/>
                <w:szCs w:val="21"/>
              </w:rPr>
              <w:t>2</w:t>
            </w:r>
            <w:r>
              <w:rPr>
                <w:b/>
                <w:color w:val="auto"/>
                <w:szCs w:val="21"/>
              </w:rPr>
              <w:t xml:space="preserve">  废水收集、处理方式示意图</w:t>
            </w:r>
          </w:p>
          <w:p>
            <w:pPr>
              <w:spacing w:line="360" w:lineRule="auto"/>
              <w:ind w:firstLine="420" w:firstLineChars="200"/>
              <w:rPr>
                <w:color w:val="auto"/>
                <w:kern w:val="0"/>
                <w:szCs w:val="21"/>
              </w:rPr>
            </w:pPr>
            <w:r>
              <w:rPr>
                <w:color w:val="auto"/>
                <w:kern w:val="0"/>
                <w:szCs w:val="21"/>
              </w:rPr>
              <w:t>（4）依托污水处理厂可行性分析</w:t>
            </w:r>
          </w:p>
          <w:p>
            <w:pPr>
              <w:autoSpaceDE w:val="0"/>
              <w:autoSpaceDN w:val="0"/>
              <w:spacing w:line="360" w:lineRule="auto"/>
              <w:ind w:firstLine="420" w:firstLineChars="200"/>
              <w:rPr>
                <w:color w:val="auto"/>
                <w:kern w:val="0"/>
                <w:szCs w:val="21"/>
              </w:rPr>
            </w:pPr>
            <w:r>
              <w:rPr>
                <w:color w:val="auto"/>
                <w:kern w:val="0"/>
                <w:szCs w:val="21"/>
              </w:rPr>
              <w:t>根据《太仓市城东污水处理厂工程环境影响报告书》评价结果，污水处理厂设计规模为日处理污水5万吨，共分二期实施。其中首期工程日处理污水2万吨，工程从2003年4月20日开工建设，于2004年4月完工投入试运行，2005年1月经苏州市环保局验收通过（苏环验[2005]17号）；二期扩建工程于2005年8月开工，2006年11月竣工并投入试运行，2007年1月1日正式投入运行。为满足开发区发展的需求，城东污水处理厂在现有厂区扩建三期工程，处理规模3万t/d，处理工艺采用循环式活性污泥法（C-TECH法），并配备深度处理设施（与前两期项目升级改造后工艺相同），三期项目环评报告于2010年7月通过太仓市环保局审批（太环计[2010]280号），已于2012年6月实现调试和收水，目前城东污水处理厂处理能力达到8万t/d。</w:t>
            </w:r>
          </w:p>
          <w:p>
            <w:pPr>
              <w:autoSpaceDE w:val="0"/>
              <w:autoSpaceDN w:val="0"/>
              <w:spacing w:line="360" w:lineRule="auto"/>
              <w:ind w:firstLine="4" w:firstLineChars="2"/>
              <w:jc w:val="center"/>
              <w:rPr>
                <w:color w:val="auto"/>
                <w:kern w:val="0"/>
                <w:sz w:val="24"/>
              </w:rPr>
            </w:pPr>
            <w:r>
              <w:rPr>
                <w:color w:val="auto"/>
                <w:szCs w:val="21"/>
              </w:rPr>
              <w:drawing>
                <wp:inline distT="0" distB="0" distL="0" distR="0">
                  <wp:extent cx="5757545" cy="2508885"/>
                  <wp:effectExtent l="0" t="0" r="0" b="5715"/>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noChangeArrowheads="1"/>
                          </pic:cNvPicPr>
                        </pic:nvPicPr>
                        <pic:blipFill>
                          <a:blip r:embed="rId25">
                            <a:extLst>
                              <a:ext uri="{28A0092B-C50C-407E-A947-70E740481C1C}">
                                <a14:useLocalDpi xmlns:a14="http://schemas.microsoft.com/office/drawing/2010/main" val="0"/>
                              </a:ext>
                            </a:extLst>
                          </a:blip>
                          <a:srcRect l="2245" t="5435" b="1811"/>
                          <a:stretch>
                            <a:fillRect/>
                          </a:stretch>
                        </pic:blipFill>
                        <pic:spPr>
                          <a:xfrm>
                            <a:off x="0" y="0"/>
                            <a:ext cx="5880976" cy="2562657"/>
                          </a:xfrm>
                          <a:prstGeom prst="rect">
                            <a:avLst/>
                          </a:prstGeom>
                          <a:noFill/>
                          <a:ln>
                            <a:noFill/>
                          </a:ln>
                        </pic:spPr>
                      </pic:pic>
                    </a:graphicData>
                  </a:graphic>
                </wp:inline>
              </w:drawing>
            </w:r>
          </w:p>
          <w:p>
            <w:pPr>
              <w:adjustRightInd w:val="0"/>
              <w:snapToGrid w:val="0"/>
              <w:spacing w:line="360" w:lineRule="auto"/>
              <w:jc w:val="center"/>
              <w:rPr>
                <w:b/>
                <w:bCs/>
                <w:color w:val="auto"/>
                <w:szCs w:val="21"/>
              </w:rPr>
            </w:pPr>
            <w:bookmarkStart w:id="11" w:name="_Ref25850316"/>
            <w:r>
              <w:rPr>
                <w:b/>
                <w:color w:val="auto"/>
                <w:szCs w:val="21"/>
              </w:rPr>
              <w:t>图</w:t>
            </w:r>
            <w:bookmarkEnd w:id="11"/>
            <w:r>
              <w:rPr>
                <w:b/>
                <w:color w:val="auto"/>
                <w:szCs w:val="21"/>
              </w:rPr>
              <w:t>4-</w:t>
            </w:r>
            <w:r>
              <w:rPr>
                <w:rFonts w:hint="eastAsia"/>
                <w:b/>
                <w:color w:val="auto"/>
                <w:szCs w:val="21"/>
              </w:rPr>
              <w:t>3</w:t>
            </w:r>
            <w:r>
              <w:rPr>
                <w:b/>
                <w:color w:val="auto"/>
                <w:szCs w:val="21"/>
              </w:rPr>
              <w:t xml:space="preserve">  城东</w:t>
            </w:r>
            <w:r>
              <w:rPr>
                <w:b/>
                <w:bCs/>
                <w:color w:val="auto"/>
                <w:szCs w:val="21"/>
              </w:rPr>
              <w:t>污水处理厂处理工艺流程图</w:t>
            </w:r>
          </w:p>
          <w:p>
            <w:pPr>
              <w:snapToGrid w:val="0"/>
              <w:spacing w:line="360" w:lineRule="auto"/>
              <w:ind w:left="420"/>
              <w:rPr>
                <w:color w:val="auto"/>
                <w:szCs w:val="21"/>
              </w:rPr>
            </w:pPr>
            <w:r>
              <w:rPr>
                <w:rFonts w:hint="eastAsia" w:ascii="宋体" w:hAnsi="宋体" w:cs="宋体"/>
                <w:color w:val="auto"/>
                <w:szCs w:val="21"/>
              </w:rPr>
              <w:t>①</w:t>
            </w:r>
            <w:r>
              <w:rPr>
                <w:color w:val="auto"/>
                <w:szCs w:val="21"/>
              </w:rPr>
              <w:t>水量接管可行</w:t>
            </w:r>
          </w:p>
          <w:p>
            <w:pPr>
              <w:snapToGrid w:val="0"/>
              <w:spacing w:line="360" w:lineRule="auto"/>
              <w:ind w:firstLine="420" w:firstLineChars="200"/>
              <w:rPr>
                <w:bCs/>
                <w:color w:val="auto"/>
                <w:szCs w:val="21"/>
              </w:rPr>
            </w:pPr>
            <w:r>
              <w:rPr>
                <w:color w:val="auto"/>
                <w:kern w:val="0"/>
                <w:szCs w:val="21"/>
              </w:rPr>
              <w:t>城东污水处理厂</w:t>
            </w:r>
            <w:r>
              <w:rPr>
                <w:bCs/>
                <w:color w:val="auto"/>
                <w:szCs w:val="21"/>
              </w:rPr>
              <w:t>污水处理能力为8万t/d，尚有接管余量1.2万t/d。本项目废水排放量为</w:t>
            </w:r>
            <w:r>
              <w:rPr>
                <w:rFonts w:hint="eastAsia"/>
                <w:bCs/>
                <w:color w:val="auto"/>
                <w:szCs w:val="21"/>
              </w:rPr>
              <w:t>42</w:t>
            </w:r>
            <w:r>
              <w:rPr>
                <w:rFonts w:hint="eastAsia"/>
                <w:bCs/>
                <w:color w:val="auto"/>
                <w:szCs w:val="21"/>
                <w:lang w:val="en-US" w:eastAsia="zh-CN"/>
              </w:rPr>
              <w:t>0</w:t>
            </w:r>
            <w:r>
              <w:rPr>
                <w:bCs/>
                <w:color w:val="auto"/>
                <w:szCs w:val="21"/>
              </w:rPr>
              <w:t>t/a（</w:t>
            </w:r>
            <w:r>
              <w:rPr>
                <w:rFonts w:hint="eastAsia"/>
                <w:bCs/>
                <w:color w:val="auto"/>
                <w:szCs w:val="21"/>
              </w:rPr>
              <w:t>1.4</w:t>
            </w:r>
            <w:r>
              <w:rPr>
                <w:bCs/>
                <w:color w:val="auto"/>
                <w:szCs w:val="21"/>
              </w:rPr>
              <w:t>t/d），</w:t>
            </w:r>
            <w:r>
              <w:rPr>
                <w:color w:val="auto"/>
                <w:kern w:val="0"/>
                <w:szCs w:val="21"/>
              </w:rPr>
              <w:t>城东污水处理厂</w:t>
            </w:r>
            <w:r>
              <w:rPr>
                <w:bCs/>
                <w:color w:val="auto"/>
                <w:szCs w:val="21"/>
              </w:rPr>
              <w:t>目前有能力接纳本项目的污水，从处理规模上讲，接管进入</w:t>
            </w:r>
            <w:r>
              <w:rPr>
                <w:color w:val="auto"/>
                <w:kern w:val="0"/>
                <w:szCs w:val="21"/>
              </w:rPr>
              <w:t>城东污水处理厂</w:t>
            </w:r>
            <w:r>
              <w:rPr>
                <w:bCs/>
                <w:color w:val="auto"/>
                <w:szCs w:val="21"/>
              </w:rPr>
              <w:t>进行集中处理是可行的。</w:t>
            </w:r>
          </w:p>
          <w:p>
            <w:pPr>
              <w:snapToGrid w:val="0"/>
              <w:spacing w:line="360" w:lineRule="auto"/>
              <w:ind w:left="420"/>
              <w:rPr>
                <w:color w:val="auto"/>
                <w:szCs w:val="21"/>
              </w:rPr>
            </w:pPr>
            <w:r>
              <w:rPr>
                <w:rFonts w:hint="eastAsia" w:ascii="宋体" w:hAnsi="宋体" w:cs="宋体"/>
                <w:color w:val="auto"/>
                <w:szCs w:val="21"/>
              </w:rPr>
              <w:t>②</w:t>
            </w:r>
            <w:r>
              <w:rPr>
                <w:color w:val="auto"/>
                <w:szCs w:val="21"/>
              </w:rPr>
              <w:t>水质接管可行</w:t>
            </w:r>
          </w:p>
          <w:p>
            <w:pPr>
              <w:snapToGrid w:val="0"/>
              <w:spacing w:line="360" w:lineRule="auto"/>
              <w:ind w:firstLine="420" w:firstLineChars="200"/>
              <w:rPr>
                <w:color w:val="auto"/>
                <w:szCs w:val="21"/>
              </w:rPr>
            </w:pPr>
            <w:r>
              <w:rPr>
                <w:color w:val="auto"/>
                <w:szCs w:val="21"/>
              </w:rPr>
              <w:t>本项目雨、污水分别接管进入市政雨、污水管网，</w:t>
            </w:r>
            <w:r>
              <w:rPr>
                <w:rFonts w:hint="eastAsia"/>
                <w:color w:val="auto"/>
                <w:kern w:val="0"/>
                <w:szCs w:val="21"/>
              </w:rPr>
              <w:t>经化粪池处理后的</w:t>
            </w:r>
            <w:r>
              <w:rPr>
                <w:color w:val="auto"/>
                <w:kern w:val="0"/>
                <w:szCs w:val="21"/>
              </w:rPr>
              <w:t>生活污水</w:t>
            </w:r>
            <w:r>
              <w:rPr>
                <w:rFonts w:hint="eastAsia"/>
                <w:color w:val="auto"/>
                <w:kern w:val="0"/>
                <w:szCs w:val="21"/>
              </w:rPr>
              <w:t>与循环冷却排污水</w:t>
            </w:r>
            <w:r>
              <w:rPr>
                <w:color w:val="auto"/>
                <w:kern w:val="0"/>
                <w:szCs w:val="21"/>
              </w:rPr>
              <w:t>由DW001接管城东污水处理厂</w:t>
            </w:r>
            <w:r>
              <w:rPr>
                <w:color w:val="auto"/>
                <w:szCs w:val="21"/>
              </w:rPr>
              <w:t>，水质可达</w:t>
            </w:r>
            <w:r>
              <w:rPr>
                <w:color w:val="auto"/>
                <w:kern w:val="0"/>
                <w:szCs w:val="21"/>
              </w:rPr>
              <w:t>城东污水处理厂</w:t>
            </w:r>
            <w:r>
              <w:rPr>
                <w:color w:val="auto"/>
                <w:szCs w:val="21"/>
              </w:rPr>
              <w:t>的接管要求。项目所依托的雨、污水接管口已根据《江苏省排污口设置及规范化整治管理办法》中要求进行设置，废水经</w:t>
            </w:r>
            <w:r>
              <w:rPr>
                <w:color w:val="auto"/>
                <w:kern w:val="0"/>
                <w:szCs w:val="21"/>
              </w:rPr>
              <w:t>城东污水处理厂</w:t>
            </w:r>
            <w:r>
              <w:rPr>
                <w:color w:val="auto"/>
                <w:szCs w:val="21"/>
              </w:rPr>
              <w:t>处理后达标排放，对周围水环境影响较小。</w:t>
            </w:r>
          </w:p>
          <w:p>
            <w:pPr>
              <w:snapToGrid w:val="0"/>
              <w:spacing w:line="360" w:lineRule="auto"/>
              <w:ind w:left="420"/>
              <w:outlineLvl w:val="2"/>
              <w:rPr>
                <w:color w:val="auto"/>
                <w:szCs w:val="21"/>
              </w:rPr>
            </w:pPr>
            <w:r>
              <w:rPr>
                <w:rFonts w:hint="eastAsia" w:ascii="宋体" w:hAnsi="宋体" w:cs="宋体"/>
                <w:color w:val="auto"/>
                <w:szCs w:val="21"/>
              </w:rPr>
              <w:t>③</w:t>
            </w:r>
            <w:r>
              <w:rPr>
                <w:color w:val="auto"/>
                <w:szCs w:val="21"/>
              </w:rPr>
              <w:t>管网配套</w:t>
            </w:r>
          </w:p>
          <w:p>
            <w:pPr>
              <w:spacing w:line="360" w:lineRule="auto"/>
              <w:ind w:firstLine="420" w:firstLineChars="200"/>
              <w:rPr>
                <w:color w:val="auto"/>
                <w:szCs w:val="21"/>
              </w:rPr>
            </w:pPr>
            <w:r>
              <w:rPr>
                <w:color w:val="auto"/>
                <w:szCs w:val="21"/>
              </w:rPr>
              <w:t>本项目位于</w:t>
            </w:r>
            <w:r>
              <w:rPr>
                <w:rFonts w:hint="eastAsia"/>
                <w:color w:val="auto"/>
              </w:rPr>
              <w:t>太仓城厢镇东亭北路128号9幢</w:t>
            </w:r>
            <w:r>
              <w:rPr>
                <w:color w:val="auto"/>
                <w:szCs w:val="21"/>
              </w:rPr>
              <w:t>，位于</w:t>
            </w:r>
            <w:r>
              <w:rPr>
                <w:color w:val="auto"/>
                <w:kern w:val="0"/>
                <w:szCs w:val="21"/>
              </w:rPr>
              <w:t>城东污水处理厂</w:t>
            </w:r>
            <w:r>
              <w:rPr>
                <w:color w:val="auto"/>
                <w:szCs w:val="21"/>
              </w:rPr>
              <w:t>污水管网覆盖范围内，目前，项目所在地区域管网已铺设到位。因此，本项目产生的废水接管进入</w:t>
            </w:r>
            <w:r>
              <w:rPr>
                <w:color w:val="auto"/>
                <w:kern w:val="0"/>
                <w:szCs w:val="21"/>
              </w:rPr>
              <w:t>城东污水处理厂</w:t>
            </w:r>
            <w:r>
              <w:rPr>
                <w:color w:val="auto"/>
                <w:szCs w:val="21"/>
              </w:rPr>
              <w:t>集中处理是可行的。</w:t>
            </w:r>
          </w:p>
          <w:p>
            <w:pPr>
              <w:spacing w:line="360" w:lineRule="auto"/>
              <w:ind w:firstLine="420" w:firstLineChars="200"/>
              <w:rPr>
                <w:color w:val="auto"/>
                <w:szCs w:val="21"/>
              </w:rPr>
            </w:pPr>
            <w:r>
              <w:rPr>
                <w:color w:val="auto"/>
                <w:szCs w:val="21"/>
              </w:rPr>
              <w:t>从以上的分析可知，本项目废水近期接入</w:t>
            </w:r>
            <w:r>
              <w:rPr>
                <w:color w:val="auto"/>
                <w:kern w:val="0"/>
                <w:szCs w:val="21"/>
              </w:rPr>
              <w:t>城东污水处理厂</w:t>
            </w:r>
            <w:r>
              <w:rPr>
                <w:color w:val="auto"/>
                <w:szCs w:val="21"/>
              </w:rPr>
              <w:t>处理是可行的。</w:t>
            </w:r>
          </w:p>
          <w:p>
            <w:pPr>
              <w:spacing w:line="360" w:lineRule="auto"/>
              <w:ind w:firstLine="420" w:firstLineChars="200"/>
              <w:rPr>
                <w:color w:val="auto"/>
                <w:kern w:val="0"/>
                <w:szCs w:val="21"/>
              </w:rPr>
            </w:pPr>
            <w:r>
              <w:rPr>
                <w:color w:val="auto"/>
                <w:kern w:val="0"/>
                <w:szCs w:val="21"/>
              </w:rPr>
              <w:t>（5）水污染源监测计划</w:t>
            </w:r>
          </w:p>
          <w:p>
            <w:pPr>
              <w:adjustRightInd w:val="0"/>
              <w:snapToGrid w:val="0"/>
              <w:spacing w:line="360" w:lineRule="auto"/>
              <w:ind w:firstLine="420" w:firstLineChars="200"/>
              <w:rPr>
                <w:snapToGrid w:val="0"/>
                <w:color w:val="auto"/>
                <w:szCs w:val="28"/>
              </w:rPr>
            </w:pPr>
            <w:r>
              <w:rPr>
                <w:snapToGrid w:val="0"/>
                <w:color w:val="auto"/>
                <w:szCs w:val="28"/>
              </w:rPr>
              <w:t>根据《排污单位自行监测技术指南总则》(HJ 819-2017)表2</w:t>
            </w:r>
            <w:r>
              <w:rPr>
                <w:rFonts w:hint="eastAsia"/>
                <w:snapToGrid w:val="0"/>
                <w:color w:val="auto"/>
                <w:szCs w:val="28"/>
              </w:rPr>
              <w:t>中相关要求</w:t>
            </w:r>
            <w:r>
              <w:rPr>
                <w:snapToGrid w:val="0"/>
                <w:color w:val="auto"/>
                <w:szCs w:val="28"/>
              </w:rPr>
              <w:t>，</w:t>
            </w:r>
            <w:r>
              <w:rPr>
                <w:rFonts w:hint="eastAsia"/>
                <w:snapToGrid w:val="0"/>
                <w:color w:val="auto"/>
                <w:szCs w:val="28"/>
              </w:rPr>
              <w:t>外排口监测点位频次</w:t>
            </w:r>
            <w:r>
              <w:rPr>
                <w:snapToGrid w:val="0"/>
                <w:color w:val="auto"/>
                <w:szCs w:val="28"/>
              </w:rPr>
              <w:t>为一</w:t>
            </w:r>
            <w:r>
              <w:rPr>
                <w:rFonts w:hint="eastAsia"/>
                <w:snapToGrid w:val="0"/>
                <w:color w:val="auto"/>
                <w:szCs w:val="28"/>
              </w:rPr>
              <w:t>年</w:t>
            </w:r>
            <w:r>
              <w:rPr>
                <w:snapToGrid w:val="0"/>
                <w:color w:val="auto"/>
                <w:szCs w:val="28"/>
              </w:rPr>
              <w:t>一次。水污染源监测计划见表4-1</w:t>
            </w:r>
            <w:r>
              <w:rPr>
                <w:rFonts w:hint="eastAsia"/>
                <w:snapToGrid w:val="0"/>
                <w:color w:val="auto"/>
                <w:szCs w:val="28"/>
              </w:rPr>
              <w:t>5</w:t>
            </w:r>
            <w:r>
              <w:rPr>
                <w:snapToGrid w:val="0"/>
                <w:color w:val="auto"/>
                <w:kern w:val="0"/>
                <w:szCs w:val="21"/>
              </w:rPr>
              <w:t>。</w:t>
            </w:r>
          </w:p>
          <w:p>
            <w:pPr>
              <w:pStyle w:val="106"/>
              <w:adjustRightInd w:val="0"/>
              <w:snapToGrid w:val="0"/>
              <w:ind w:firstLine="0" w:firstLineChars="0"/>
              <w:jc w:val="center"/>
              <w:rPr>
                <w:rFonts w:eastAsia="宋体" w:cs="Times New Roman"/>
                <w:snapToGrid w:val="0"/>
                <w:color w:val="auto"/>
                <w:kern w:val="0"/>
                <w:szCs w:val="21"/>
              </w:rPr>
            </w:pPr>
            <w:r>
              <w:rPr>
                <w:rFonts w:eastAsia="宋体" w:cs="Times New Roman"/>
                <w:b/>
                <w:bCs/>
                <w:snapToGrid w:val="0"/>
                <w:color w:val="auto"/>
                <w:kern w:val="0"/>
                <w:szCs w:val="21"/>
              </w:rPr>
              <w:t>表4-1</w:t>
            </w:r>
            <w:r>
              <w:rPr>
                <w:rFonts w:hint="eastAsia" w:eastAsia="宋体" w:cs="Times New Roman"/>
                <w:b/>
                <w:bCs/>
                <w:snapToGrid w:val="0"/>
                <w:color w:val="auto"/>
                <w:kern w:val="0"/>
                <w:szCs w:val="21"/>
              </w:rPr>
              <w:t>5</w:t>
            </w:r>
            <w:r>
              <w:rPr>
                <w:rFonts w:eastAsia="宋体" w:cs="Times New Roman"/>
                <w:b/>
                <w:bCs/>
                <w:snapToGrid w:val="0"/>
                <w:color w:val="auto"/>
                <w:kern w:val="0"/>
                <w:szCs w:val="21"/>
              </w:rPr>
              <w:t xml:space="preserve">  废水污染源环境监测计划</w:t>
            </w:r>
          </w:p>
          <w:tbl>
            <w:tblPr>
              <w:tblStyle w:val="37"/>
              <w:tblpPr w:leftFromText="180" w:rightFromText="180" w:vertAnchor="text" w:tblpXSpec="center" w:tblpY="1"/>
              <w:tblOverlap w:val="never"/>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557"/>
              <w:gridCol w:w="1250"/>
              <w:gridCol w:w="1473"/>
              <w:gridCol w:w="984"/>
              <w:gridCol w:w="514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96" w:type="pct"/>
                  <w:vAlign w:val="center"/>
                </w:tcPr>
                <w:p>
                  <w:pPr>
                    <w:pStyle w:val="106"/>
                    <w:adjustRightInd w:val="0"/>
                    <w:snapToGrid w:val="0"/>
                    <w:ind w:firstLine="0" w:firstLineChars="0"/>
                    <w:jc w:val="center"/>
                    <w:rPr>
                      <w:rFonts w:eastAsia="宋体" w:cs="Times New Roman"/>
                      <w:b/>
                      <w:bCs/>
                      <w:snapToGrid w:val="0"/>
                      <w:color w:val="auto"/>
                      <w:kern w:val="0"/>
                      <w:sz w:val="18"/>
                      <w:szCs w:val="18"/>
                    </w:rPr>
                  </w:pPr>
                  <w:r>
                    <w:rPr>
                      <w:rFonts w:eastAsia="宋体" w:cs="Times New Roman"/>
                      <w:b/>
                      <w:bCs/>
                      <w:snapToGrid w:val="0"/>
                      <w:color w:val="auto"/>
                      <w:kern w:val="0"/>
                      <w:sz w:val="18"/>
                      <w:szCs w:val="18"/>
                    </w:rPr>
                    <w:t>类别</w:t>
                  </w:r>
                </w:p>
              </w:tc>
              <w:tc>
                <w:tcPr>
                  <w:tcW w:w="664" w:type="pct"/>
                  <w:vAlign w:val="center"/>
                </w:tcPr>
                <w:p>
                  <w:pPr>
                    <w:pStyle w:val="106"/>
                    <w:adjustRightInd w:val="0"/>
                    <w:snapToGrid w:val="0"/>
                    <w:ind w:firstLine="0" w:firstLineChars="0"/>
                    <w:jc w:val="center"/>
                    <w:rPr>
                      <w:rFonts w:eastAsia="宋体" w:cs="Times New Roman"/>
                      <w:b/>
                      <w:bCs/>
                      <w:snapToGrid w:val="0"/>
                      <w:color w:val="auto"/>
                      <w:kern w:val="0"/>
                      <w:sz w:val="18"/>
                      <w:szCs w:val="18"/>
                    </w:rPr>
                  </w:pPr>
                  <w:r>
                    <w:rPr>
                      <w:rFonts w:eastAsia="宋体" w:cs="Times New Roman"/>
                      <w:b/>
                      <w:bCs/>
                      <w:snapToGrid w:val="0"/>
                      <w:color w:val="auto"/>
                      <w:kern w:val="0"/>
                      <w:sz w:val="18"/>
                      <w:szCs w:val="18"/>
                    </w:rPr>
                    <w:t>监测位置</w:t>
                  </w:r>
                </w:p>
              </w:tc>
              <w:tc>
                <w:tcPr>
                  <w:tcW w:w="783" w:type="pct"/>
                  <w:vAlign w:val="center"/>
                </w:tcPr>
                <w:p>
                  <w:pPr>
                    <w:pStyle w:val="106"/>
                    <w:adjustRightInd w:val="0"/>
                    <w:snapToGrid w:val="0"/>
                    <w:ind w:firstLine="0" w:firstLineChars="0"/>
                    <w:jc w:val="center"/>
                    <w:rPr>
                      <w:rFonts w:eastAsia="宋体" w:cs="Times New Roman"/>
                      <w:b/>
                      <w:bCs/>
                      <w:snapToGrid w:val="0"/>
                      <w:color w:val="auto"/>
                      <w:kern w:val="0"/>
                      <w:sz w:val="18"/>
                      <w:szCs w:val="18"/>
                    </w:rPr>
                  </w:pPr>
                  <w:r>
                    <w:rPr>
                      <w:rFonts w:eastAsia="宋体" w:cs="Times New Roman"/>
                      <w:b/>
                      <w:bCs/>
                      <w:snapToGrid w:val="0"/>
                      <w:color w:val="auto"/>
                      <w:kern w:val="0"/>
                      <w:sz w:val="18"/>
                      <w:szCs w:val="18"/>
                    </w:rPr>
                    <w:t>监测项目</w:t>
                  </w:r>
                </w:p>
              </w:tc>
              <w:tc>
                <w:tcPr>
                  <w:tcW w:w="523" w:type="pct"/>
                  <w:vAlign w:val="center"/>
                </w:tcPr>
                <w:p>
                  <w:pPr>
                    <w:pStyle w:val="106"/>
                    <w:adjustRightInd w:val="0"/>
                    <w:snapToGrid w:val="0"/>
                    <w:ind w:firstLine="0" w:firstLineChars="0"/>
                    <w:jc w:val="center"/>
                    <w:rPr>
                      <w:rFonts w:eastAsia="宋体" w:cs="Times New Roman"/>
                      <w:b/>
                      <w:bCs/>
                      <w:snapToGrid w:val="0"/>
                      <w:color w:val="auto"/>
                      <w:kern w:val="0"/>
                      <w:sz w:val="18"/>
                      <w:szCs w:val="18"/>
                    </w:rPr>
                  </w:pPr>
                  <w:r>
                    <w:rPr>
                      <w:rFonts w:eastAsia="宋体" w:cs="Times New Roman"/>
                      <w:b/>
                      <w:bCs/>
                      <w:snapToGrid w:val="0"/>
                      <w:color w:val="auto"/>
                      <w:kern w:val="0"/>
                      <w:sz w:val="18"/>
                      <w:szCs w:val="18"/>
                    </w:rPr>
                    <w:t>监测频次</w:t>
                  </w:r>
                </w:p>
              </w:tc>
              <w:tc>
                <w:tcPr>
                  <w:tcW w:w="2733" w:type="pct"/>
                  <w:vAlign w:val="center"/>
                </w:tcPr>
                <w:p>
                  <w:pPr>
                    <w:pStyle w:val="106"/>
                    <w:adjustRightInd w:val="0"/>
                    <w:snapToGrid w:val="0"/>
                    <w:ind w:firstLine="0" w:firstLineChars="0"/>
                    <w:jc w:val="center"/>
                    <w:rPr>
                      <w:rFonts w:eastAsia="宋体" w:cs="Times New Roman"/>
                      <w:b/>
                      <w:bCs/>
                      <w:snapToGrid w:val="0"/>
                      <w:color w:val="auto"/>
                      <w:kern w:val="0"/>
                      <w:sz w:val="18"/>
                      <w:szCs w:val="18"/>
                    </w:rPr>
                  </w:pPr>
                  <w:r>
                    <w:rPr>
                      <w:rFonts w:eastAsia="宋体" w:cs="Times New Roman"/>
                      <w:b/>
                      <w:bCs/>
                      <w:snapToGrid w:val="0"/>
                      <w:color w:val="auto"/>
                      <w:kern w:val="0"/>
                      <w:sz w:val="18"/>
                      <w:szCs w:val="18"/>
                    </w:rPr>
                    <w:t>执行排放标准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96" w:type="pct"/>
                  <w:vAlign w:val="center"/>
                </w:tcPr>
                <w:p>
                  <w:pPr>
                    <w:pStyle w:val="106"/>
                    <w:adjustRightInd w:val="0"/>
                    <w:snapToGrid w:val="0"/>
                    <w:ind w:firstLine="0" w:firstLineChars="0"/>
                    <w:jc w:val="center"/>
                    <w:rPr>
                      <w:rFonts w:eastAsia="宋体" w:cs="Times New Roman"/>
                      <w:snapToGrid w:val="0"/>
                      <w:color w:val="auto"/>
                      <w:kern w:val="0"/>
                      <w:sz w:val="18"/>
                      <w:szCs w:val="18"/>
                    </w:rPr>
                  </w:pPr>
                  <w:r>
                    <w:rPr>
                      <w:rFonts w:hint="eastAsia" w:eastAsia="宋体" w:cs="Times New Roman"/>
                      <w:color w:val="auto"/>
                      <w:sz w:val="18"/>
                      <w:szCs w:val="18"/>
                    </w:rPr>
                    <w:t>全厂废水</w:t>
                  </w:r>
                </w:p>
              </w:tc>
              <w:tc>
                <w:tcPr>
                  <w:tcW w:w="664" w:type="pct"/>
                  <w:vAlign w:val="center"/>
                </w:tcPr>
                <w:p>
                  <w:pPr>
                    <w:pStyle w:val="106"/>
                    <w:adjustRightInd w:val="0"/>
                    <w:snapToGrid w:val="0"/>
                    <w:ind w:firstLine="0" w:firstLineChars="0"/>
                    <w:jc w:val="center"/>
                    <w:rPr>
                      <w:rFonts w:eastAsia="宋体" w:cs="Times New Roman"/>
                      <w:snapToGrid w:val="0"/>
                      <w:color w:val="auto"/>
                      <w:kern w:val="0"/>
                      <w:sz w:val="18"/>
                      <w:szCs w:val="18"/>
                    </w:rPr>
                  </w:pPr>
                  <w:r>
                    <w:rPr>
                      <w:rFonts w:hint="eastAsia" w:eastAsia="宋体" w:cs="Times New Roman"/>
                      <w:color w:val="auto"/>
                      <w:sz w:val="18"/>
                      <w:szCs w:val="18"/>
                    </w:rPr>
                    <w:t>污水排放口</w:t>
                  </w:r>
                </w:p>
              </w:tc>
              <w:tc>
                <w:tcPr>
                  <w:tcW w:w="783" w:type="pct"/>
                  <w:vAlign w:val="center"/>
                </w:tcPr>
                <w:p>
                  <w:pPr>
                    <w:pStyle w:val="14"/>
                    <w:adjustRightInd w:val="0"/>
                    <w:snapToGrid w:val="0"/>
                    <w:spacing w:after="0"/>
                    <w:ind w:firstLine="0" w:firstLineChars="0"/>
                    <w:jc w:val="center"/>
                    <w:rPr>
                      <w:snapToGrid w:val="0"/>
                      <w:color w:val="auto"/>
                      <w:kern w:val="0"/>
                      <w:sz w:val="18"/>
                      <w:szCs w:val="18"/>
                    </w:rPr>
                  </w:pPr>
                  <w:r>
                    <w:rPr>
                      <w:color w:val="auto"/>
                      <w:sz w:val="18"/>
                      <w:szCs w:val="18"/>
                    </w:rPr>
                    <w:t>pH、</w:t>
                  </w:r>
                  <w:r>
                    <w:rPr>
                      <w:rFonts w:hint="eastAsia"/>
                      <w:color w:val="auto"/>
                      <w:sz w:val="18"/>
                      <w:szCs w:val="18"/>
                    </w:rPr>
                    <w:t>C</w:t>
                  </w:r>
                  <w:r>
                    <w:rPr>
                      <w:color w:val="auto"/>
                      <w:sz w:val="18"/>
                      <w:szCs w:val="18"/>
                    </w:rPr>
                    <w:t>OD、</w:t>
                  </w:r>
                  <w:r>
                    <w:rPr>
                      <w:rFonts w:hint="eastAsia"/>
                      <w:color w:val="auto"/>
                      <w:sz w:val="18"/>
                      <w:szCs w:val="18"/>
                    </w:rPr>
                    <w:t>S</w:t>
                  </w:r>
                  <w:r>
                    <w:rPr>
                      <w:color w:val="auto"/>
                      <w:sz w:val="18"/>
                      <w:szCs w:val="18"/>
                    </w:rPr>
                    <w:t>S</w:t>
                  </w:r>
                  <w:r>
                    <w:rPr>
                      <w:rFonts w:hint="eastAsia"/>
                      <w:color w:val="auto"/>
                      <w:sz w:val="18"/>
                      <w:szCs w:val="18"/>
                    </w:rPr>
                    <w:t>、氨氮、T</w:t>
                  </w:r>
                  <w:r>
                    <w:rPr>
                      <w:color w:val="auto"/>
                      <w:sz w:val="18"/>
                      <w:szCs w:val="18"/>
                    </w:rPr>
                    <w:t>P</w:t>
                  </w:r>
                  <w:r>
                    <w:rPr>
                      <w:rFonts w:hint="eastAsia"/>
                      <w:color w:val="auto"/>
                      <w:sz w:val="18"/>
                      <w:szCs w:val="18"/>
                    </w:rPr>
                    <w:t>、</w:t>
                  </w:r>
                  <w:r>
                    <w:rPr>
                      <w:color w:val="auto"/>
                      <w:sz w:val="18"/>
                      <w:szCs w:val="18"/>
                    </w:rPr>
                    <w:t>TN</w:t>
                  </w:r>
                </w:p>
              </w:tc>
              <w:tc>
                <w:tcPr>
                  <w:tcW w:w="523" w:type="pct"/>
                  <w:vAlign w:val="center"/>
                </w:tcPr>
                <w:p>
                  <w:pPr>
                    <w:pStyle w:val="106"/>
                    <w:adjustRightInd w:val="0"/>
                    <w:snapToGrid w:val="0"/>
                    <w:ind w:firstLine="0" w:firstLineChars="0"/>
                    <w:jc w:val="center"/>
                    <w:rPr>
                      <w:rFonts w:eastAsia="宋体" w:cs="Times New Roman"/>
                      <w:snapToGrid w:val="0"/>
                      <w:color w:val="auto"/>
                      <w:kern w:val="0"/>
                      <w:sz w:val="18"/>
                      <w:szCs w:val="18"/>
                    </w:rPr>
                  </w:pPr>
                  <w:r>
                    <w:rPr>
                      <w:rFonts w:eastAsia="宋体" w:cs="Times New Roman"/>
                      <w:color w:val="auto"/>
                      <w:kern w:val="0"/>
                      <w:sz w:val="18"/>
                      <w:szCs w:val="18"/>
                    </w:rPr>
                    <w:t>一</w:t>
                  </w:r>
                  <w:r>
                    <w:rPr>
                      <w:rFonts w:hint="eastAsia" w:eastAsia="宋体" w:cs="Times New Roman"/>
                      <w:color w:val="auto"/>
                      <w:kern w:val="0"/>
                      <w:sz w:val="18"/>
                      <w:szCs w:val="18"/>
                    </w:rPr>
                    <w:t>年</w:t>
                  </w:r>
                  <w:r>
                    <w:rPr>
                      <w:rFonts w:eastAsia="宋体" w:cs="Times New Roman"/>
                      <w:color w:val="auto"/>
                      <w:kern w:val="0"/>
                      <w:sz w:val="18"/>
                      <w:szCs w:val="18"/>
                    </w:rPr>
                    <w:t>一次</w:t>
                  </w:r>
                </w:p>
              </w:tc>
              <w:tc>
                <w:tcPr>
                  <w:tcW w:w="2733" w:type="pct"/>
                  <w:vAlign w:val="center"/>
                </w:tcPr>
                <w:p>
                  <w:pPr>
                    <w:pStyle w:val="106"/>
                    <w:adjustRightInd w:val="0"/>
                    <w:snapToGrid w:val="0"/>
                    <w:ind w:firstLine="0" w:firstLineChars="0"/>
                    <w:jc w:val="center"/>
                    <w:rPr>
                      <w:rFonts w:eastAsia="宋体" w:cs="Times New Roman"/>
                      <w:snapToGrid w:val="0"/>
                      <w:color w:val="auto"/>
                      <w:kern w:val="0"/>
                      <w:sz w:val="18"/>
                      <w:szCs w:val="18"/>
                    </w:rPr>
                  </w:pPr>
                  <w:r>
                    <w:rPr>
                      <w:rFonts w:hint="eastAsia" w:eastAsia="宋体" w:cs="Times New Roman"/>
                      <w:color w:val="auto"/>
                      <w:kern w:val="0"/>
                      <w:sz w:val="18"/>
                      <w:szCs w:val="18"/>
                    </w:rPr>
                    <w:t>《污水综合排放标准》（GB8978-1996）表4中的三级标准，其中氨氮、TP、TN执行《污水排入城镇下水道水质标准》（GB/T 31962-2015）表1中B等级标准</w:t>
                  </w:r>
                </w:p>
              </w:tc>
            </w:tr>
          </w:tbl>
          <w:p>
            <w:pPr>
              <w:adjustRightInd w:val="0"/>
              <w:snapToGrid w:val="0"/>
              <w:spacing w:before="120" w:beforeLines="50" w:line="360" w:lineRule="auto"/>
              <w:ind w:firstLine="420" w:firstLineChars="200"/>
              <w:rPr>
                <w:color w:val="auto"/>
                <w:kern w:val="0"/>
                <w:szCs w:val="21"/>
              </w:rPr>
            </w:pPr>
            <w:r>
              <w:rPr>
                <w:color w:val="auto"/>
                <w:kern w:val="0"/>
                <w:szCs w:val="21"/>
              </w:rPr>
              <w:t>（6）地表水环境影响评价结论</w:t>
            </w:r>
          </w:p>
          <w:p>
            <w:pPr>
              <w:spacing w:line="360" w:lineRule="auto"/>
              <w:ind w:firstLine="420" w:firstLineChars="200"/>
              <w:rPr>
                <w:snapToGrid w:val="0"/>
                <w:color w:val="auto"/>
                <w:kern w:val="0"/>
                <w:szCs w:val="21"/>
              </w:rPr>
            </w:pPr>
            <w:r>
              <w:rPr>
                <w:snapToGrid w:val="0"/>
                <w:color w:val="auto"/>
                <w:kern w:val="0"/>
                <w:szCs w:val="21"/>
              </w:rPr>
              <w:t>本项目位于受纳水体环境质量达标区域，项目营运期产生的</w:t>
            </w:r>
            <w:r>
              <w:rPr>
                <w:rFonts w:hint="eastAsia"/>
                <w:color w:val="auto"/>
                <w:kern w:val="0"/>
                <w:szCs w:val="21"/>
              </w:rPr>
              <w:t>经化粪池处理后的</w:t>
            </w:r>
            <w:r>
              <w:rPr>
                <w:color w:val="auto"/>
                <w:kern w:val="0"/>
                <w:szCs w:val="21"/>
              </w:rPr>
              <w:t>生活污水</w:t>
            </w:r>
            <w:r>
              <w:rPr>
                <w:rFonts w:hint="eastAsia"/>
                <w:color w:val="auto"/>
                <w:kern w:val="0"/>
                <w:szCs w:val="21"/>
              </w:rPr>
              <w:t>与循环冷却排污水</w:t>
            </w:r>
            <w:r>
              <w:rPr>
                <w:color w:val="auto"/>
                <w:kern w:val="0"/>
                <w:szCs w:val="21"/>
              </w:rPr>
              <w:t>由DW001</w:t>
            </w:r>
            <w:r>
              <w:rPr>
                <w:bCs/>
                <w:color w:val="auto"/>
                <w:szCs w:val="21"/>
              </w:rPr>
              <w:t>接管城东污水处理厂，</w:t>
            </w:r>
            <w:r>
              <w:rPr>
                <w:snapToGrid w:val="0"/>
                <w:color w:val="auto"/>
                <w:kern w:val="0"/>
                <w:szCs w:val="21"/>
              </w:rPr>
              <w:t>接管水质满足《污水综合排放标准》（GB8978-1996）表4三级标准、《污水排入城镇下水道水质标准》（GB/T31962-2015）表1中B级标准，</w:t>
            </w:r>
            <w:r>
              <w:rPr>
                <w:color w:val="auto"/>
                <w:kern w:val="0"/>
                <w:szCs w:val="21"/>
              </w:rPr>
              <w:t>城东污水处理厂</w:t>
            </w:r>
            <w:r>
              <w:rPr>
                <w:snapToGrid w:val="0"/>
                <w:color w:val="auto"/>
                <w:kern w:val="0"/>
                <w:szCs w:val="21"/>
              </w:rPr>
              <w:t>处理的尾水排入新</w:t>
            </w:r>
            <w:r>
              <w:rPr>
                <w:bCs/>
                <w:color w:val="auto"/>
              </w:rPr>
              <w:t>浏河</w:t>
            </w:r>
            <w:r>
              <w:rPr>
                <w:snapToGrid w:val="0"/>
                <w:color w:val="auto"/>
                <w:kern w:val="0"/>
                <w:szCs w:val="21"/>
              </w:rPr>
              <w:t>。从水质水量、接管标准及建设进度等方面综合考虑，项目废水</w:t>
            </w:r>
            <w:r>
              <w:rPr>
                <w:bCs/>
                <w:color w:val="auto"/>
                <w:szCs w:val="21"/>
              </w:rPr>
              <w:t>接管城东污水处理厂</w:t>
            </w:r>
            <w:r>
              <w:rPr>
                <w:snapToGrid w:val="0"/>
                <w:color w:val="auto"/>
                <w:kern w:val="0"/>
                <w:szCs w:val="21"/>
              </w:rPr>
              <w:t>。因此，项目对地表水环境的影响可以接受。</w:t>
            </w:r>
          </w:p>
          <w:p>
            <w:pPr>
              <w:spacing w:line="360" w:lineRule="auto"/>
              <w:ind w:firstLine="422" w:firstLineChars="200"/>
              <w:rPr>
                <w:b/>
                <w:bCs/>
                <w:color w:val="auto"/>
                <w:kern w:val="0"/>
                <w:szCs w:val="21"/>
              </w:rPr>
            </w:pPr>
            <w:r>
              <w:rPr>
                <w:b/>
                <w:bCs/>
                <w:color w:val="auto"/>
                <w:kern w:val="0"/>
                <w:szCs w:val="21"/>
              </w:rPr>
              <w:t>3、噪声</w:t>
            </w:r>
          </w:p>
          <w:p>
            <w:pPr>
              <w:spacing w:line="360" w:lineRule="auto"/>
              <w:ind w:firstLine="422" w:firstLineChars="200"/>
              <w:rPr>
                <w:b/>
                <w:bCs/>
                <w:color w:val="auto"/>
                <w:szCs w:val="21"/>
              </w:rPr>
            </w:pPr>
            <w:r>
              <w:rPr>
                <w:rFonts w:hint="eastAsia"/>
                <w:b/>
                <w:bCs/>
                <w:color w:val="auto"/>
                <w:szCs w:val="21"/>
              </w:rPr>
              <w:t>（1）</w:t>
            </w:r>
            <w:r>
              <w:rPr>
                <w:b/>
                <w:bCs/>
                <w:color w:val="auto"/>
                <w:szCs w:val="21"/>
              </w:rPr>
              <w:t>噪声源及降噪情况</w:t>
            </w:r>
          </w:p>
          <w:p>
            <w:pPr>
              <w:spacing w:line="360" w:lineRule="auto"/>
              <w:ind w:firstLine="420" w:firstLineChars="200"/>
              <w:rPr>
                <w:color w:val="auto"/>
                <w:szCs w:val="21"/>
              </w:rPr>
            </w:pPr>
            <w:r>
              <w:rPr>
                <w:color w:val="auto"/>
                <w:szCs w:val="21"/>
              </w:rPr>
              <w:t>本项目高噪声设备主要为</w:t>
            </w:r>
            <w:r>
              <w:rPr>
                <w:rFonts w:hint="eastAsia"/>
                <w:color w:val="auto"/>
                <w:szCs w:val="21"/>
              </w:rPr>
              <w:t>注塑机、空压机等设备</w:t>
            </w:r>
            <w:r>
              <w:rPr>
                <w:color w:val="auto"/>
                <w:szCs w:val="21"/>
              </w:rPr>
              <w:t>等机械噪声，单台噪声级70～85dB(A)。拟采取以下降噪措施：</w:t>
            </w:r>
          </w:p>
          <w:p>
            <w:pPr>
              <w:spacing w:line="360" w:lineRule="auto"/>
              <w:ind w:firstLine="420" w:firstLineChars="200"/>
              <w:rPr>
                <w:color w:val="auto"/>
                <w:szCs w:val="21"/>
              </w:rPr>
            </w:pPr>
            <w:r>
              <w:rPr>
                <w:rFonts w:hint="eastAsia"/>
                <w:color w:val="auto"/>
                <w:szCs w:val="21"/>
              </w:rPr>
              <w:t>1）设备选型时采用性能先进、高效节能、低噪设备，并加强对设备的维护管理，从源头上控制噪声的产生。</w:t>
            </w:r>
          </w:p>
          <w:p>
            <w:pPr>
              <w:spacing w:line="360" w:lineRule="auto"/>
              <w:ind w:firstLine="420" w:firstLineChars="200"/>
              <w:rPr>
                <w:color w:val="auto"/>
                <w:szCs w:val="21"/>
              </w:rPr>
            </w:pPr>
            <w:r>
              <w:rPr>
                <w:rFonts w:hint="eastAsia"/>
                <w:color w:val="auto"/>
                <w:szCs w:val="21"/>
              </w:rPr>
              <w:t>2）对设备进行经常性维护，保持设备处于良好的运转状态，同时加强内部管理，合理作业，避免不必要的突发性噪声。</w:t>
            </w:r>
          </w:p>
          <w:p>
            <w:pPr>
              <w:spacing w:line="360" w:lineRule="auto"/>
              <w:ind w:firstLine="420" w:firstLineChars="200"/>
              <w:rPr>
                <w:color w:val="auto"/>
                <w:szCs w:val="21"/>
              </w:rPr>
            </w:pPr>
            <w:r>
              <w:rPr>
                <w:rFonts w:hint="eastAsia"/>
                <w:color w:val="auto"/>
                <w:szCs w:val="21"/>
              </w:rPr>
              <w:t>3）合理布局，将高噪声设备设置在车间内，并且布置在远离厂界的一侧。通过厂房隔声和距离衰减，减少对周围环境的影响。</w:t>
            </w:r>
          </w:p>
          <w:p>
            <w:pPr>
              <w:spacing w:line="360" w:lineRule="auto"/>
              <w:ind w:firstLine="420" w:firstLineChars="200"/>
              <w:rPr>
                <w:color w:val="auto"/>
                <w:szCs w:val="21"/>
              </w:rPr>
            </w:pPr>
            <w:r>
              <w:rPr>
                <w:rFonts w:hint="eastAsia"/>
                <w:color w:val="auto"/>
                <w:szCs w:val="21"/>
              </w:rPr>
              <w:t>4）本项目共设置空压机2台，均放置在室外。室外空压机安装时应自带减振底座，安装位置具有减振台基础，并配置隔声罩，能够大大降低噪声源噪声。</w:t>
            </w:r>
          </w:p>
          <w:p>
            <w:pPr>
              <w:spacing w:line="360" w:lineRule="auto"/>
              <w:ind w:firstLine="420" w:firstLineChars="200"/>
              <w:rPr>
                <w:color w:val="auto"/>
                <w:szCs w:val="21"/>
              </w:rPr>
            </w:pPr>
            <w:r>
              <w:rPr>
                <w:rFonts w:hint="eastAsia"/>
                <w:color w:val="auto"/>
                <w:szCs w:val="21"/>
              </w:rPr>
              <w:t>5）厂区内设置绿化带，以减少噪声辐射。</w:t>
            </w:r>
          </w:p>
          <w:p>
            <w:pPr>
              <w:spacing w:line="360" w:lineRule="auto"/>
              <w:ind w:firstLine="420" w:firstLineChars="200"/>
              <w:rPr>
                <w:color w:val="auto"/>
                <w:szCs w:val="21"/>
              </w:rPr>
            </w:pPr>
            <w:r>
              <w:rPr>
                <w:color w:val="auto"/>
                <w:szCs w:val="21"/>
              </w:rPr>
              <w:t>本工程拟采取噪声治理措施及设计降噪量见表4-</w:t>
            </w:r>
            <w:r>
              <w:rPr>
                <w:rFonts w:hint="eastAsia"/>
                <w:color w:val="auto"/>
                <w:szCs w:val="21"/>
              </w:rPr>
              <w:t>16</w:t>
            </w:r>
            <w:r>
              <w:rPr>
                <w:color w:val="auto"/>
                <w:szCs w:val="21"/>
              </w:rPr>
              <w:t>。</w:t>
            </w:r>
          </w:p>
          <w:p>
            <w:pPr>
              <w:adjustRightInd w:val="0"/>
              <w:snapToGrid w:val="0"/>
              <w:jc w:val="center"/>
              <w:rPr>
                <w:b/>
                <w:bCs/>
                <w:snapToGrid w:val="0"/>
                <w:color w:val="auto"/>
                <w:kern w:val="0"/>
                <w:szCs w:val="21"/>
              </w:rPr>
            </w:pPr>
            <w:bookmarkStart w:id="12" w:name="_Ref45631345"/>
            <w:r>
              <w:rPr>
                <w:b/>
                <w:bCs/>
                <w:snapToGrid w:val="0"/>
                <w:color w:val="auto"/>
                <w:kern w:val="0"/>
                <w:szCs w:val="21"/>
              </w:rPr>
              <w:t>表</w:t>
            </w:r>
            <w:bookmarkEnd w:id="12"/>
            <w:r>
              <w:rPr>
                <w:b/>
                <w:bCs/>
                <w:snapToGrid w:val="0"/>
                <w:color w:val="auto"/>
                <w:kern w:val="0"/>
                <w:szCs w:val="21"/>
              </w:rPr>
              <w:t>4-</w:t>
            </w:r>
            <w:r>
              <w:rPr>
                <w:rFonts w:hint="eastAsia"/>
                <w:b/>
                <w:bCs/>
                <w:snapToGrid w:val="0"/>
                <w:color w:val="auto"/>
                <w:kern w:val="0"/>
                <w:szCs w:val="21"/>
              </w:rPr>
              <w:t>16</w:t>
            </w:r>
            <w:r>
              <w:rPr>
                <w:b/>
                <w:bCs/>
                <w:snapToGrid w:val="0"/>
                <w:color w:val="auto"/>
                <w:kern w:val="0"/>
                <w:szCs w:val="21"/>
              </w:rPr>
              <w:t xml:space="preserve"> 噪声治理措施及设计降噪量（单位：dB(A)）</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444"/>
              <w:gridCol w:w="802"/>
              <w:gridCol w:w="1288"/>
              <w:gridCol w:w="1924"/>
              <w:gridCol w:w="1348"/>
              <w:gridCol w:w="1729"/>
              <w:gridCol w:w="87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837" w:hRule="atLeast"/>
                <w:tblHeader/>
                <w:jc w:val="center"/>
              </w:trPr>
              <w:tc>
                <w:tcPr>
                  <w:tcW w:w="767" w:type="pct"/>
                  <w:vAlign w:val="center"/>
                </w:tcPr>
                <w:p>
                  <w:pPr>
                    <w:pStyle w:val="361"/>
                    <w:rPr>
                      <w:rFonts w:eastAsia="宋体"/>
                      <w:b/>
                      <w:bCs/>
                      <w:color w:val="auto"/>
                      <w:sz w:val="18"/>
                      <w:szCs w:val="18"/>
                    </w:rPr>
                  </w:pPr>
                  <w:r>
                    <w:rPr>
                      <w:rFonts w:eastAsia="宋体"/>
                      <w:b/>
                      <w:bCs/>
                      <w:color w:val="auto"/>
                      <w:sz w:val="18"/>
                      <w:szCs w:val="18"/>
                    </w:rPr>
                    <w:t>名称</w:t>
                  </w:r>
                </w:p>
              </w:tc>
              <w:tc>
                <w:tcPr>
                  <w:tcW w:w="426" w:type="pct"/>
                  <w:vAlign w:val="center"/>
                </w:tcPr>
                <w:p>
                  <w:pPr>
                    <w:pStyle w:val="361"/>
                    <w:rPr>
                      <w:rFonts w:eastAsia="宋体"/>
                      <w:b/>
                      <w:bCs/>
                      <w:color w:val="auto"/>
                      <w:sz w:val="18"/>
                      <w:szCs w:val="18"/>
                    </w:rPr>
                  </w:pPr>
                  <w:r>
                    <w:rPr>
                      <w:rFonts w:eastAsia="宋体"/>
                      <w:b/>
                      <w:bCs/>
                      <w:color w:val="auto"/>
                      <w:sz w:val="18"/>
                      <w:szCs w:val="18"/>
                    </w:rPr>
                    <w:t>数量/台</w:t>
                  </w:r>
                </w:p>
              </w:tc>
              <w:tc>
                <w:tcPr>
                  <w:tcW w:w="684" w:type="pct"/>
                  <w:vAlign w:val="center"/>
                </w:tcPr>
                <w:p>
                  <w:pPr>
                    <w:pStyle w:val="361"/>
                    <w:rPr>
                      <w:rFonts w:eastAsia="宋体"/>
                      <w:b/>
                      <w:bCs/>
                      <w:color w:val="auto"/>
                      <w:sz w:val="18"/>
                      <w:szCs w:val="18"/>
                    </w:rPr>
                  </w:pPr>
                  <w:r>
                    <w:rPr>
                      <w:rFonts w:eastAsia="宋体"/>
                      <w:b/>
                      <w:bCs/>
                      <w:color w:val="auto"/>
                      <w:sz w:val="18"/>
                      <w:szCs w:val="18"/>
                    </w:rPr>
                    <w:t>噪声源强</w:t>
                  </w:r>
                </w:p>
                <w:p>
                  <w:pPr>
                    <w:pStyle w:val="361"/>
                    <w:rPr>
                      <w:rFonts w:eastAsia="宋体"/>
                      <w:b/>
                      <w:bCs/>
                      <w:color w:val="auto"/>
                      <w:sz w:val="18"/>
                      <w:szCs w:val="18"/>
                    </w:rPr>
                  </w:pPr>
                  <w:r>
                    <w:rPr>
                      <w:rFonts w:eastAsia="宋体"/>
                      <w:b/>
                      <w:bCs/>
                      <w:color w:val="auto"/>
                      <w:sz w:val="18"/>
                      <w:szCs w:val="18"/>
                    </w:rPr>
                    <w:t>dB(A)</w:t>
                  </w:r>
                </w:p>
              </w:tc>
              <w:tc>
                <w:tcPr>
                  <w:tcW w:w="1022" w:type="pct"/>
                  <w:vAlign w:val="center"/>
                </w:tcPr>
                <w:p>
                  <w:pPr>
                    <w:pStyle w:val="361"/>
                    <w:rPr>
                      <w:rFonts w:eastAsia="宋体"/>
                      <w:b/>
                      <w:bCs/>
                      <w:color w:val="auto"/>
                      <w:sz w:val="18"/>
                      <w:szCs w:val="18"/>
                    </w:rPr>
                  </w:pPr>
                  <w:r>
                    <w:rPr>
                      <w:rFonts w:eastAsia="宋体"/>
                      <w:b/>
                      <w:bCs/>
                      <w:color w:val="auto"/>
                      <w:sz w:val="18"/>
                      <w:szCs w:val="18"/>
                    </w:rPr>
                    <w:t>噪声防治措施名称</w:t>
                  </w:r>
                </w:p>
              </w:tc>
              <w:tc>
                <w:tcPr>
                  <w:tcW w:w="716" w:type="pct"/>
                  <w:vAlign w:val="center"/>
                </w:tcPr>
                <w:p>
                  <w:pPr>
                    <w:pStyle w:val="361"/>
                    <w:rPr>
                      <w:rFonts w:eastAsia="宋体"/>
                      <w:b/>
                      <w:bCs/>
                      <w:color w:val="auto"/>
                      <w:sz w:val="18"/>
                      <w:szCs w:val="18"/>
                    </w:rPr>
                  </w:pPr>
                  <w:r>
                    <w:rPr>
                      <w:rFonts w:eastAsia="宋体"/>
                      <w:b/>
                      <w:bCs/>
                      <w:color w:val="auto"/>
                      <w:sz w:val="18"/>
                      <w:szCs w:val="18"/>
                    </w:rPr>
                    <w:t>降噪水平</w:t>
                  </w:r>
                </w:p>
              </w:tc>
              <w:tc>
                <w:tcPr>
                  <w:tcW w:w="918" w:type="pct"/>
                  <w:vAlign w:val="center"/>
                </w:tcPr>
                <w:p>
                  <w:pPr>
                    <w:pStyle w:val="361"/>
                    <w:rPr>
                      <w:rFonts w:eastAsia="宋体"/>
                      <w:b/>
                      <w:bCs/>
                      <w:color w:val="auto"/>
                      <w:sz w:val="18"/>
                      <w:szCs w:val="18"/>
                    </w:rPr>
                  </w:pPr>
                  <w:r>
                    <w:rPr>
                      <w:rFonts w:eastAsia="宋体"/>
                      <w:b/>
                      <w:bCs/>
                      <w:color w:val="auto"/>
                      <w:sz w:val="18"/>
                      <w:szCs w:val="18"/>
                    </w:rPr>
                    <w:t>噪声排放值dB(A)</w:t>
                  </w:r>
                </w:p>
              </w:tc>
              <w:tc>
                <w:tcPr>
                  <w:tcW w:w="463" w:type="pct"/>
                  <w:vAlign w:val="center"/>
                </w:tcPr>
                <w:p>
                  <w:pPr>
                    <w:pStyle w:val="361"/>
                    <w:rPr>
                      <w:rFonts w:eastAsia="宋体"/>
                      <w:b/>
                      <w:bCs/>
                      <w:color w:val="auto"/>
                      <w:sz w:val="18"/>
                      <w:szCs w:val="18"/>
                    </w:rPr>
                  </w:pPr>
                  <w:r>
                    <w:rPr>
                      <w:rFonts w:eastAsia="宋体"/>
                      <w:b/>
                      <w:bCs/>
                      <w:color w:val="auto"/>
                      <w:sz w:val="18"/>
                      <w:szCs w:val="18"/>
                    </w:rPr>
                    <w:t>投资费用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jc w:val="center"/>
                    <w:rPr>
                      <w:color w:val="auto"/>
                      <w:sz w:val="18"/>
                      <w:szCs w:val="18"/>
                    </w:rPr>
                  </w:pPr>
                  <w:r>
                    <w:rPr>
                      <w:color w:val="auto"/>
                      <w:sz w:val="18"/>
                      <w:szCs w:val="18"/>
                    </w:rPr>
                    <w:t>密炼机</w:t>
                  </w:r>
                </w:p>
              </w:tc>
              <w:tc>
                <w:tcPr>
                  <w:tcW w:w="785" w:type="dxa"/>
                  <w:vAlign w:val="center"/>
                </w:tcPr>
                <w:p>
                  <w:pPr>
                    <w:widowControl/>
                    <w:adjustRightInd w:val="0"/>
                    <w:snapToGrid w:val="0"/>
                    <w:jc w:val="center"/>
                    <w:textAlignment w:val="center"/>
                    <w:rPr>
                      <w:color w:val="auto"/>
                      <w:kern w:val="0"/>
                      <w:sz w:val="18"/>
                      <w:szCs w:val="18"/>
                    </w:rPr>
                  </w:pPr>
                  <w:r>
                    <w:rPr>
                      <w:rFonts w:hint="eastAsia"/>
                      <w:color w:val="auto"/>
                      <w:sz w:val="18"/>
                      <w:szCs w:val="18"/>
                    </w:rPr>
                    <w:t>1</w:t>
                  </w:r>
                </w:p>
              </w:tc>
              <w:tc>
                <w:tcPr>
                  <w:tcW w:w="1258" w:type="dxa"/>
                  <w:vAlign w:val="center"/>
                </w:tcPr>
                <w:p>
                  <w:pPr>
                    <w:widowControl/>
                    <w:adjustRightInd w:val="0"/>
                    <w:snapToGrid w:val="0"/>
                    <w:jc w:val="center"/>
                    <w:textAlignment w:val="center"/>
                    <w:rPr>
                      <w:color w:val="auto"/>
                      <w:kern w:val="0"/>
                      <w:sz w:val="18"/>
                      <w:szCs w:val="18"/>
                    </w:rPr>
                  </w:pPr>
                  <w:r>
                    <w:rPr>
                      <w:rFonts w:hint="eastAsia"/>
                      <w:color w:val="auto"/>
                      <w:sz w:val="18"/>
                      <w:szCs w:val="18"/>
                    </w:rPr>
                    <w:t>80</w:t>
                  </w:r>
                </w:p>
              </w:tc>
              <w:tc>
                <w:tcPr>
                  <w:tcW w:w="1022" w:type="pct"/>
                  <w:vMerge w:val="restart"/>
                  <w:vAlign w:val="center"/>
                </w:tcPr>
                <w:p>
                  <w:pPr>
                    <w:pStyle w:val="361"/>
                    <w:rPr>
                      <w:rFonts w:eastAsia="宋体"/>
                      <w:color w:val="auto"/>
                      <w:sz w:val="18"/>
                      <w:szCs w:val="18"/>
                    </w:rPr>
                  </w:pPr>
                  <w:r>
                    <w:rPr>
                      <w:rFonts w:eastAsia="宋体"/>
                      <w:color w:val="auto"/>
                      <w:kern w:val="0"/>
                      <w:sz w:val="18"/>
                      <w:szCs w:val="18"/>
                    </w:rPr>
                    <w:t>减振底座</w:t>
                  </w:r>
                </w:p>
              </w:tc>
              <w:tc>
                <w:tcPr>
                  <w:tcW w:w="716" w:type="pct"/>
                  <w:vMerge w:val="restart"/>
                  <w:vAlign w:val="center"/>
                </w:tcPr>
                <w:p>
                  <w:pPr>
                    <w:pStyle w:val="361"/>
                    <w:rPr>
                      <w:rFonts w:eastAsia="宋体"/>
                      <w:color w:val="auto"/>
                      <w:kern w:val="0"/>
                      <w:sz w:val="18"/>
                      <w:szCs w:val="18"/>
                    </w:rPr>
                  </w:pPr>
                  <w:r>
                    <w:rPr>
                      <w:rFonts w:eastAsia="宋体"/>
                      <w:color w:val="auto"/>
                      <w:sz w:val="18"/>
                      <w:szCs w:val="18"/>
                    </w:rPr>
                    <w:t>10</w:t>
                  </w:r>
                </w:p>
              </w:tc>
              <w:tc>
                <w:tcPr>
                  <w:tcW w:w="918" w:type="pct"/>
                  <w:vAlign w:val="center"/>
                </w:tcPr>
                <w:p>
                  <w:pPr>
                    <w:pStyle w:val="361"/>
                    <w:rPr>
                      <w:rFonts w:eastAsia="宋体"/>
                      <w:color w:val="auto"/>
                      <w:sz w:val="18"/>
                      <w:szCs w:val="18"/>
                    </w:rPr>
                  </w:pPr>
                  <w:r>
                    <w:rPr>
                      <w:rFonts w:eastAsia="宋体"/>
                      <w:color w:val="auto"/>
                      <w:sz w:val="18"/>
                      <w:szCs w:val="18"/>
                    </w:rPr>
                    <w:t>70</w:t>
                  </w:r>
                </w:p>
              </w:tc>
              <w:tc>
                <w:tcPr>
                  <w:tcW w:w="463" w:type="pct"/>
                  <w:vMerge w:val="restart"/>
                  <w:vAlign w:val="center"/>
                </w:tcPr>
                <w:p>
                  <w:pPr>
                    <w:pStyle w:val="361"/>
                    <w:rPr>
                      <w:rFonts w:eastAsia="宋体"/>
                      <w:color w:val="auto"/>
                      <w:sz w:val="18"/>
                      <w:szCs w:val="18"/>
                    </w:rPr>
                  </w:pPr>
                  <w:r>
                    <w:rPr>
                      <w:rFonts w:hint="eastAsia" w:eastAsia="宋体"/>
                      <w:color w:val="auto"/>
                      <w:sz w:val="18"/>
                      <w:szCs w:val="18"/>
                    </w:rPr>
                    <w:t>1</w:t>
                  </w:r>
                  <w:r>
                    <w:rPr>
                      <w:rFonts w:eastAsia="宋体"/>
                      <w:color w:val="auto"/>
                      <w:sz w:val="18"/>
                      <w:szCs w:val="18"/>
                    </w:rPr>
                    <w:t>万元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jc w:val="center"/>
                    <w:rPr>
                      <w:color w:val="auto"/>
                      <w:sz w:val="18"/>
                      <w:szCs w:val="18"/>
                    </w:rPr>
                  </w:pPr>
                  <w:r>
                    <w:rPr>
                      <w:color w:val="auto"/>
                      <w:sz w:val="18"/>
                      <w:szCs w:val="18"/>
                    </w:rPr>
                    <w:t>开炼机</w:t>
                  </w:r>
                </w:p>
              </w:tc>
              <w:tc>
                <w:tcPr>
                  <w:tcW w:w="785" w:type="dxa"/>
                  <w:vAlign w:val="center"/>
                </w:tcPr>
                <w:p>
                  <w:pPr>
                    <w:widowControl/>
                    <w:adjustRightInd w:val="0"/>
                    <w:snapToGrid w:val="0"/>
                    <w:jc w:val="center"/>
                    <w:textAlignment w:val="center"/>
                    <w:rPr>
                      <w:color w:val="auto"/>
                      <w:kern w:val="0"/>
                      <w:sz w:val="18"/>
                      <w:szCs w:val="18"/>
                    </w:rPr>
                  </w:pPr>
                  <w:r>
                    <w:rPr>
                      <w:rFonts w:hint="eastAsia"/>
                      <w:color w:val="auto"/>
                      <w:sz w:val="18"/>
                      <w:szCs w:val="18"/>
                    </w:rPr>
                    <w:t>3</w:t>
                  </w:r>
                </w:p>
              </w:tc>
              <w:tc>
                <w:tcPr>
                  <w:tcW w:w="1258" w:type="dxa"/>
                  <w:vAlign w:val="center"/>
                </w:tcPr>
                <w:p>
                  <w:pPr>
                    <w:widowControl/>
                    <w:adjustRightInd w:val="0"/>
                    <w:snapToGrid w:val="0"/>
                    <w:jc w:val="center"/>
                    <w:textAlignment w:val="center"/>
                    <w:rPr>
                      <w:color w:val="auto"/>
                      <w:kern w:val="0"/>
                      <w:sz w:val="18"/>
                      <w:szCs w:val="18"/>
                    </w:rPr>
                  </w:pPr>
                  <w:r>
                    <w:rPr>
                      <w:rFonts w:hint="eastAsia"/>
                      <w:color w:val="auto"/>
                      <w:sz w:val="18"/>
                      <w:szCs w:val="18"/>
                    </w:rPr>
                    <w:t>80</w:t>
                  </w:r>
                </w:p>
              </w:tc>
              <w:tc>
                <w:tcPr>
                  <w:tcW w:w="1022" w:type="pct"/>
                  <w:vMerge w:val="continue"/>
                  <w:vAlign w:val="center"/>
                </w:tcPr>
                <w:p>
                  <w:pPr>
                    <w:pStyle w:val="361"/>
                    <w:rPr>
                      <w:rFonts w:eastAsia="宋体"/>
                      <w:color w:val="auto"/>
                      <w:kern w:val="0"/>
                      <w:sz w:val="18"/>
                      <w:szCs w:val="18"/>
                    </w:rPr>
                  </w:pPr>
                </w:p>
              </w:tc>
              <w:tc>
                <w:tcPr>
                  <w:tcW w:w="716" w:type="pct"/>
                  <w:vMerge w:val="continue"/>
                  <w:vAlign w:val="center"/>
                </w:tcPr>
                <w:p>
                  <w:pPr>
                    <w:pStyle w:val="361"/>
                    <w:rPr>
                      <w:rFonts w:eastAsia="宋体"/>
                      <w:color w:val="auto"/>
                      <w:sz w:val="18"/>
                      <w:szCs w:val="18"/>
                    </w:rPr>
                  </w:pPr>
                </w:p>
              </w:tc>
              <w:tc>
                <w:tcPr>
                  <w:tcW w:w="918" w:type="pct"/>
                  <w:vAlign w:val="center"/>
                </w:tcPr>
                <w:p>
                  <w:pPr>
                    <w:pStyle w:val="361"/>
                    <w:rPr>
                      <w:rFonts w:eastAsia="宋体"/>
                      <w:color w:val="auto"/>
                      <w:sz w:val="18"/>
                      <w:szCs w:val="18"/>
                    </w:rPr>
                  </w:pPr>
                  <w:r>
                    <w:rPr>
                      <w:rFonts w:eastAsia="宋体"/>
                      <w:color w:val="auto"/>
                      <w:sz w:val="18"/>
                      <w:szCs w:val="18"/>
                    </w:rPr>
                    <w:t>70</w:t>
                  </w:r>
                </w:p>
              </w:tc>
              <w:tc>
                <w:tcPr>
                  <w:tcW w:w="463" w:type="pct"/>
                  <w:vMerge w:val="continue"/>
                  <w:vAlign w:val="center"/>
                </w:tcPr>
                <w:p>
                  <w:pPr>
                    <w:pStyle w:val="361"/>
                    <w:rPr>
                      <w:rFonts w:eastAsia="宋体"/>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jc w:val="center"/>
                    <w:rPr>
                      <w:color w:val="auto"/>
                      <w:sz w:val="18"/>
                      <w:szCs w:val="18"/>
                    </w:rPr>
                  </w:pPr>
                  <w:r>
                    <w:rPr>
                      <w:color w:val="auto"/>
                      <w:sz w:val="18"/>
                      <w:szCs w:val="18"/>
                    </w:rPr>
                    <w:t>预成型机</w:t>
                  </w:r>
                </w:p>
              </w:tc>
              <w:tc>
                <w:tcPr>
                  <w:tcW w:w="785" w:type="dxa"/>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258" w:type="dxa"/>
                  <w:vAlign w:val="center"/>
                </w:tcPr>
                <w:p>
                  <w:pPr>
                    <w:widowControl/>
                    <w:adjustRightInd w:val="0"/>
                    <w:snapToGrid w:val="0"/>
                    <w:jc w:val="center"/>
                    <w:textAlignment w:val="center"/>
                    <w:rPr>
                      <w:color w:val="auto"/>
                      <w:sz w:val="18"/>
                      <w:szCs w:val="18"/>
                    </w:rPr>
                  </w:pPr>
                  <w:r>
                    <w:rPr>
                      <w:rFonts w:hint="eastAsia"/>
                      <w:color w:val="auto"/>
                      <w:sz w:val="18"/>
                      <w:szCs w:val="18"/>
                    </w:rPr>
                    <w:t>80</w:t>
                  </w:r>
                </w:p>
              </w:tc>
              <w:tc>
                <w:tcPr>
                  <w:tcW w:w="1022" w:type="pct"/>
                  <w:vMerge w:val="continue"/>
                  <w:vAlign w:val="center"/>
                </w:tcPr>
                <w:p>
                  <w:pPr>
                    <w:pStyle w:val="361"/>
                    <w:rPr>
                      <w:rFonts w:eastAsia="宋体"/>
                      <w:color w:val="auto"/>
                      <w:kern w:val="0"/>
                      <w:sz w:val="18"/>
                      <w:szCs w:val="18"/>
                    </w:rPr>
                  </w:pPr>
                </w:p>
              </w:tc>
              <w:tc>
                <w:tcPr>
                  <w:tcW w:w="716" w:type="pct"/>
                  <w:vMerge w:val="continue"/>
                  <w:vAlign w:val="center"/>
                </w:tcPr>
                <w:p>
                  <w:pPr>
                    <w:pStyle w:val="361"/>
                    <w:rPr>
                      <w:rFonts w:eastAsia="宋体"/>
                      <w:color w:val="auto"/>
                      <w:sz w:val="18"/>
                      <w:szCs w:val="18"/>
                    </w:rPr>
                  </w:pPr>
                </w:p>
              </w:tc>
              <w:tc>
                <w:tcPr>
                  <w:tcW w:w="918" w:type="pct"/>
                  <w:vAlign w:val="center"/>
                </w:tcPr>
                <w:p>
                  <w:pPr>
                    <w:pStyle w:val="361"/>
                    <w:rPr>
                      <w:rFonts w:eastAsia="宋体"/>
                      <w:color w:val="auto"/>
                      <w:sz w:val="18"/>
                      <w:szCs w:val="18"/>
                    </w:rPr>
                  </w:pPr>
                  <w:r>
                    <w:rPr>
                      <w:rFonts w:hint="eastAsia" w:eastAsia="宋体"/>
                      <w:color w:val="auto"/>
                      <w:sz w:val="18"/>
                      <w:szCs w:val="18"/>
                    </w:rPr>
                    <w:t>70</w:t>
                  </w:r>
                </w:p>
              </w:tc>
              <w:tc>
                <w:tcPr>
                  <w:tcW w:w="463" w:type="pct"/>
                  <w:vMerge w:val="continue"/>
                  <w:vAlign w:val="center"/>
                </w:tcPr>
                <w:p>
                  <w:pPr>
                    <w:pStyle w:val="361"/>
                    <w:rPr>
                      <w:rFonts w:eastAsia="宋体"/>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jc w:val="center"/>
                    <w:rPr>
                      <w:color w:val="auto"/>
                      <w:sz w:val="18"/>
                      <w:szCs w:val="18"/>
                    </w:rPr>
                  </w:pPr>
                  <w:r>
                    <w:rPr>
                      <w:color w:val="auto"/>
                      <w:sz w:val="18"/>
                      <w:szCs w:val="18"/>
                    </w:rPr>
                    <w:t>模压成型机</w:t>
                  </w:r>
                </w:p>
              </w:tc>
              <w:tc>
                <w:tcPr>
                  <w:tcW w:w="785" w:type="dxa"/>
                  <w:vAlign w:val="center"/>
                </w:tcPr>
                <w:p>
                  <w:pPr>
                    <w:widowControl/>
                    <w:adjustRightInd w:val="0"/>
                    <w:snapToGrid w:val="0"/>
                    <w:jc w:val="center"/>
                    <w:textAlignment w:val="center"/>
                    <w:rPr>
                      <w:color w:val="auto"/>
                      <w:sz w:val="18"/>
                      <w:szCs w:val="18"/>
                    </w:rPr>
                  </w:pPr>
                  <w:r>
                    <w:rPr>
                      <w:rFonts w:hint="eastAsia"/>
                      <w:color w:val="auto"/>
                      <w:sz w:val="18"/>
                      <w:szCs w:val="18"/>
                    </w:rPr>
                    <w:t>11</w:t>
                  </w:r>
                </w:p>
              </w:tc>
              <w:tc>
                <w:tcPr>
                  <w:tcW w:w="1258" w:type="dxa"/>
                  <w:vAlign w:val="center"/>
                </w:tcPr>
                <w:p>
                  <w:pPr>
                    <w:widowControl/>
                    <w:adjustRightInd w:val="0"/>
                    <w:snapToGrid w:val="0"/>
                    <w:jc w:val="center"/>
                    <w:textAlignment w:val="center"/>
                    <w:rPr>
                      <w:color w:val="auto"/>
                      <w:sz w:val="18"/>
                      <w:szCs w:val="18"/>
                    </w:rPr>
                  </w:pPr>
                  <w:r>
                    <w:rPr>
                      <w:rFonts w:hint="eastAsia"/>
                      <w:color w:val="auto"/>
                      <w:sz w:val="18"/>
                      <w:szCs w:val="18"/>
                    </w:rPr>
                    <w:t>80</w:t>
                  </w:r>
                </w:p>
              </w:tc>
              <w:tc>
                <w:tcPr>
                  <w:tcW w:w="1022" w:type="pct"/>
                  <w:vMerge w:val="continue"/>
                  <w:vAlign w:val="center"/>
                </w:tcPr>
                <w:p>
                  <w:pPr>
                    <w:pStyle w:val="361"/>
                    <w:rPr>
                      <w:rFonts w:eastAsia="宋体"/>
                      <w:color w:val="auto"/>
                      <w:kern w:val="0"/>
                      <w:sz w:val="18"/>
                      <w:szCs w:val="18"/>
                    </w:rPr>
                  </w:pPr>
                </w:p>
              </w:tc>
              <w:tc>
                <w:tcPr>
                  <w:tcW w:w="716" w:type="pct"/>
                  <w:vMerge w:val="continue"/>
                  <w:vAlign w:val="center"/>
                </w:tcPr>
                <w:p>
                  <w:pPr>
                    <w:pStyle w:val="361"/>
                    <w:rPr>
                      <w:rFonts w:eastAsia="宋体"/>
                      <w:color w:val="auto"/>
                      <w:sz w:val="18"/>
                      <w:szCs w:val="18"/>
                    </w:rPr>
                  </w:pPr>
                </w:p>
              </w:tc>
              <w:tc>
                <w:tcPr>
                  <w:tcW w:w="918" w:type="pct"/>
                  <w:vAlign w:val="center"/>
                </w:tcPr>
                <w:p>
                  <w:pPr>
                    <w:pStyle w:val="361"/>
                    <w:rPr>
                      <w:rFonts w:eastAsia="宋体"/>
                      <w:color w:val="auto"/>
                      <w:sz w:val="18"/>
                      <w:szCs w:val="18"/>
                    </w:rPr>
                  </w:pPr>
                  <w:r>
                    <w:rPr>
                      <w:rFonts w:hint="eastAsia" w:eastAsia="宋体"/>
                      <w:color w:val="auto"/>
                      <w:sz w:val="18"/>
                      <w:szCs w:val="18"/>
                    </w:rPr>
                    <w:t>70</w:t>
                  </w:r>
                </w:p>
              </w:tc>
              <w:tc>
                <w:tcPr>
                  <w:tcW w:w="463" w:type="pct"/>
                  <w:vMerge w:val="continue"/>
                  <w:vAlign w:val="center"/>
                </w:tcPr>
                <w:p>
                  <w:pPr>
                    <w:pStyle w:val="361"/>
                    <w:rPr>
                      <w:rFonts w:eastAsia="宋体"/>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jc w:val="center"/>
                    <w:rPr>
                      <w:color w:val="auto"/>
                      <w:sz w:val="18"/>
                      <w:szCs w:val="18"/>
                    </w:rPr>
                  </w:pPr>
                  <w:r>
                    <w:rPr>
                      <w:color w:val="auto"/>
                      <w:sz w:val="18"/>
                      <w:szCs w:val="18"/>
                    </w:rPr>
                    <w:t>挤出成型机</w:t>
                  </w:r>
                </w:p>
              </w:tc>
              <w:tc>
                <w:tcPr>
                  <w:tcW w:w="785" w:type="dxa"/>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258" w:type="dxa"/>
                  <w:vAlign w:val="center"/>
                </w:tcPr>
                <w:p>
                  <w:pPr>
                    <w:widowControl/>
                    <w:adjustRightInd w:val="0"/>
                    <w:snapToGrid w:val="0"/>
                    <w:jc w:val="center"/>
                    <w:textAlignment w:val="center"/>
                    <w:rPr>
                      <w:color w:val="auto"/>
                      <w:sz w:val="18"/>
                      <w:szCs w:val="18"/>
                    </w:rPr>
                  </w:pPr>
                  <w:r>
                    <w:rPr>
                      <w:rFonts w:hint="eastAsia"/>
                      <w:color w:val="auto"/>
                      <w:sz w:val="18"/>
                      <w:szCs w:val="18"/>
                    </w:rPr>
                    <w:t>80</w:t>
                  </w:r>
                </w:p>
              </w:tc>
              <w:tc>
                <w:tcPr>
                  <w:tcW w:w="1022" w:type="pct"/>
                  <w:vMerge w:val="continue"/>
                  <w:vAlign w:val="center"/>
                </w:tcPr>
                <w:p>
                  <w:pPr>
                    <w:pStyle w:val="361"/>
                    <w:rPr>
                      <w:rFonts w:eastAsia="宋体"/>
                      <w:color w:val="auto"/>
                      <w:kern w:val="0"/>
                      <w:sz w:val="18"/>
                      <w:szCs w:val="18"/>
                    </w:rPr>
                  </w:pPr>
                </w:p>
              </w:tc>
              <w:tc>
                <w:tcPr>
                  <w:tcW w:w="716" w:type="pct"/>
                  <w:vMerge w:val="continue"/>
                  <w:vAlign w:val="center"/>
                </w:tcPr>
                <w:p>
                  <w:pPr>
                    <w:pStyle w:val="361"/>
                    <w:rPr>
                      <w:rFonts w:eastAsia="宋体"/>
                      <w:color w:val="auto"/>
                      <w:sz w:val="18"/>
                      <w:szCs w:val="18"/>
                    </w:rPr>
                  </w:pPr>
                </w:p>
              </w:tc>
              <w:tc>
                <w:tcPr>
                  <w:tcW w:w="918" w:type="pct"/>
                  <w:vAlign w:val="center"/>
                </w:tcPr>
                <w:p>
                  <w:pPr>
                    <w:pStyle w:val="361"/>
                    <w:rPr>
                      <w:rFonts w:eastAsia="宋体"/>
                      <w:color w:val="auto"/>
                      <w:sz w:val="18"/>
                      <w:szCs w:val="18"/>
                    </w:rPr>
                  </w:pPr>
                  <w:r>
                    <w:rPr>
                      <w:rFonts w:hint="eastAsia" w:eastAsia="宋体"/>
                      <w:color w:val="auto"/>
                      <w:sz w:val="18"/>
                      <w:szCs w:val="18"/>
                    </w:rPr>
                    <w:t>70</w:t>
                  </w:r>
                </w:p>
              </w:tc>
              <w:tc>
                <w:tcPr>
                  <w:tcW w:w="463" w:type="pct"/>
                  <w:vMerge w:val="continue"/>
                  <w:vAlign w:val="center"/>
                </w:tcPr>
                <w:p>
                  <w:pPr>
                    <w:pStyle w:val="361"/>
                    <w:rPr>
                      <w:rFonts w:eastAsia="宋体"/>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jc w:val="center"/>
                    <w:rPr>
                      <w:color w:val="auto"/>
                      <w:sz w:val="18"/>
                      <w:szCs w:val="18"/>
                    </w:rPr>
                  </w:pPr>
                  <w:r>
                    <w:rPr>
                      <w:color w:val="auto"/>
                      <w:sz w:val="18"/>
                      <w:szCs w:val="18"/>
                    </w:rPr>
                    <w:t>烘箱</w:t>
                  </w:r>
                </w:p>
              </w:tc>
              <w:tc>
                <w:tcPr>
                  <w:tcW w:w="785" w:type="dxa"/>
                  <w:vAlign w:val="center"/>
                </w:tcPr>
                <w:p>
                  <w:pPr>
                    <w:widowControl/>
                    <w:adjustRightInd w:val="0"/>
                    <w:snapToGrid w:val="0"/>
                    <w:jc w:val="center"/>
                    <w:textAlignment w:val="center"/>
                    <w:rPr>
                      <w:color w:val="auto"/>
                      <w:sz w:val="18"/>
                      <w:szCs w:val="18"/>
                    </w:rPr>
                  </w:pPr>
                  <w:r>
                    <w:rPr>
                      <w:rFonts w:hint="eastAsia"/>
                      <w:color w:val="auto"/>
                      <w:sz w:val="18"/>
                      <w:szCs w:val="18"/>
                    </w:rPr>
                    <w:t>3</w:t>
                  </w:r>
                </w:p>
              </w:tc>
              <w:tc>
                <w:tcPr>
                  <w:tcW w:w="1258" w:type="dxa"/>
                  <w:vAlign w:val="center"/>
                </w:tcPr>
                <w:p>
                  <w:pPr>
                    <w:adjustRightInd w:val="0"/>
                    <w:snapToGrid w:val="0"/>
                    <w:jc w:val="center"/>
                    <w:rPr>
                      <w:color w:val="auto"/>
                      <w:sz w:val="18"/>
                      <w:szCs w:val="18"/>
                    </w:rPr>
                  </w:pPr>
                  <w:r>
                    <w:rPr>
                      <w:rFonts w:hint="eastAsia"/>
                      <w:color w:val="auto"/>
                      <w:sz w:val="18"/>
                      <w:szCs w:val="18"/>
                    </w:rPr>
                    <w:t>75</w:t>
                  </w:r>
                </w:p>
              </w:tc>
              <w:tc>
                <w:tcPr>
                  <w:tcW w:w="1022" w:type="pct"/>
                  <w:vMerge w:val="continue"/>
                  <w:vAlign w:val="center"/>
                </w:tcPr>
                <w:p>
                  <w:pPr>
                    <w:pStyle w:val="361"/>
                    <w:rPr>
                      <w:rFonts w:eastAsia="宋体"/>
                      <w:color w:val="auto"/>
                      <w:kern w:val="0"/>
                      <w:sz w:val="18"/>
                      <w:szCs w:val="18"/>
                    </w:rPr>
                  </w:pPr>
                </w:p>
              </w:tc>
              <w:tc>
                <w:tcPr>
                  <w:tcW w:w="716" w:type="pct"/>
                  <w:vMerge w:val="continue"/>
                  <w:vAlign w:val="center"/>
                </w:tcPr>
                <w:p>
                  <w:pPr>
                    <w:pStyle w:val="361"/>
                    <w:rPr>
                      <w:rFonts w:eastAsia="宋体"/>
                      <w:color w:val="auto"/>
                      <w:sz w:val="18"/>
                      <w:szCs w:val="18"/>
                    </w:rPr>
                  </w:pPr>
                </w:p>
              </w:tc>
              <w:tc>
                <w:tcPr>
                  <w:tcW w:w="918" w:type="pct"/>
                  <w:vAlign w:val="center"/>
                </w:tcPr>
                <w:p>
                  <w:pPr>
                    <w:pStyle w:val="361"/>
                    <w:rPr>
                      <w:rFonts w:eastAsia="宋体"/>
                      <w:color w:val="auto"/>
                      <w:sz w:val="18"/>
                      <w:szCs w:val="18"/>
                    </w:rPr>
                  </w:pPr>
                  <w:r>
                    <w:rPr>
                      <w:rFonts w:hint="eastAsia" w:eastAsia="宋体"/>
                      <w:color w:val="auto"/>
                      <w:sz w:val="18"/>
                      <w:szCs w:val="18"/>
                    </w:rPr>
                    <w:t>65</w:t>
                  </w:r>
                </w:p>
              </w:tc>
              <w:tc>
                <w:tcPr>
                  <w:tcW w:w="463" w:type="pct"/>
                  <w:vMerge w:val="continue"/>
                  <w:vAlign w:val="center"/>
                </w:tcPr>
                <w:p>
                  <w:pPr>
                    <w:pStyle w:val="361"/>
                    <w:rPr>
                      <w:rFonts w:eastAsia="宋体"/>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jc w:val="center"/>
                    <w:rPr>
                      <w:color w:val="auto"/>
                      <w:sz w:val="18"/>
                      <w:szCs w:val="18"/>
                    </w:rPr>
                  </w:pPr>
                  <w:r>
                    <w:rPr>
                      <w:rFonts w:hint="eastAsia"/>
                      <w:color w:val="auto"/>
                      <w:sz w:val="18"/>
                      <w:szCs w:val="18"/>
                    </w:rPr>
                    <w:t>离心修边机</w:t>
                  </w:r>
                </w:p>
              </w:tc>
              <w:tc>
                <w:tcPr>
                  <w:tcW w:w="785" w:type="dxa"/>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258" w:type="dxa"/>
                  <w:vAlign w:val="center"/>
                </w:tcPr>
                <w:p>
                  <w:pPr>
                    <w:widowControl/>
                    <w:adjustRightInd w:val="0"/>
                    <w:snapToGrid w:val="0"/>
                    <w:jc w:val="center"/>
                    <w:textAlignment w:val="center"/>
                    <w:rPr>
                      <w:color w:val="auto"/>
                      <w:sz w:val="18"/>
                      <w:szCs w:val="18"/>
                    </w:rPr>
                  </w:pPr>
                  <w:r>
                    <w:rPr>
                      <w:rFonts w:hint="eastAsia"/>
                      <w:color w:val="auto"/>
                      <w:sz w:val="18"/>
                      <w:szCs w:val="18"/>
                    </w:rPr>
                    <w:t>75</w:t>
                  </w:r>
                </w:p>
              </w:tc>
              <w:tc>
                <w:tcPr>
                  <w:tcW w:w="1022" w:type="pct"/>
                  <w:vMerge w:val="continue"/>
                  <w:vAlign w:val="center"/>
                </w:tcPr>
                <w:p>
                  <w:pPr>
                    <w:pStyle w:val="361"/>
                    <w:rPr>
                      <w:rFonts w:eastAsia="宋体"/>
                      <w:color w:val="auto"/>
                      <w:kern w:val="0"/>
                      <w:sz w:val="18"/>
                      <w:szCs w:val="18"/>
                    </w:rPr>
                  </w:pPr>
                </w:p>
              </w:tc>
              <w:tc>
                <w:tcPr>
                  <w:tcW w:w="716" w:type="pct"/>
                  <w:vMerge w:val="continue"/>
                  <w:vAlign w:val="center"/>
                </w:tcPr>
                <w:p>
                  <w:pPr>
                    <w:pStyle w:val="361"/>
                    <w:rPr>
                      <w:rFonts w:eastAsia="宋体"/>
                      <w:color w:val="auto"/>
                      <w:sz w:val="18"/>
                      <w:szCs w:val="18"/>
                    </w:rPr>
                  </w:pPr>
                </w:p>
              </w:tc>
              <w:tc>
                <w:tcPr>
                  <w:tcW w:w="918" w:type="pct"/>
                  <w:vAlign w:val="center"/>
                </w:tcPr>
                <w:p>
                  <w:pPr>
                    <w:pStyle w:val="361"/>
                    <w:rPr>
                      <w:rFonts w:eastAsia="宋体"/>
                      <w:color w:val="auto"/>
                      <w:sz w:val="18"/>
                      <w:szCs w:val="18"/>
                    </w:rPr>
                  </w:pPr>
                  <w:r>
                    <w:rPr>
                      <w:rFonts w:hint="eastAsia" w:eastAsia="宋体"/>
                      <w:color w:val="auto"/>
                      <w:sz w:val="18"/>
                      <w:szCs w:val="18"/>
                    </w:rPr>
                    <w:t>65</w:t>
                  </w:r>
                </w:p>
              </w:tc>
              <w:tc>
                <w:tcPr>
                  <w:tcW w:w="463" w:type="pct"/>
                  <w:vMerge w:val="continue"/>
                  <w:vAlign w:val="center"/>
                </w:tcPr>
                <w:p>
                  <w:pPr>
                    <w:pStyle w:val="361"/>
                    <w:rPr>
                      <w:rFonts w:eastAsia="宋体"/>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jc w:val="center"/>
                    <w:rPr>
                      <w:color w:val="auto"/>
                      <w:sz w:val="18"/>
                      <w:szCs w:val="18"/>
                    </w:rPr>
                  </w:pPr>
                  <w:r>
                    <w:rPr>
                      <w:rFonts w:hint="eastAsia"/>
                      <w:color w:val="auto"/>
                      <w:sz w:val="18"/>
                      <w:szCs w:val="18"/>
                    </w:rPr>
                    <w:t>切条机</w:t>
                  </w:r>
                </w:p>
              </w:tc>
              <w:tc>
                <w:tcPr>
                  <w:tcW w:w="785" w:type="dxa"/>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258" w:type="dxa"/>
                  <w:vAlign w:val="center"/>
                </w:tcPr>
                <w:p>
                  <w:pPr>
                    <w:widowControl/>
                    <w:adjustRightInd w:val="0"/>
                    <w:snapToGrid w:val="0"/>
                    <w:jc w:val="center"/>
                    <w:textAlignment w:val="center"/>
                    <w:rPr>
                      <w:color w:val="auto"/>
                      <w:sz w:val="18"/>
                      <w:szCs w:val="18"/>
                    </w:rPr>
                  </w:pPr>
                  <w:r>
                    <w:rPr>
                      <w:rFonts w:hint="eastAsia"/>
                      <w:color w:val="auto"/>
                      <w:kern w:val="0"/>
                      <w:sz w:val="18"/>
                      <w:szCs w:val="18"/>
                      <w:lang w:bidi="ar"/>
                    </w:rPr>
                    <w:t>75</w:t>
                  </w:r>
                </w:p>
              </w:tc>
              <w:tc>
                <w:tcPr>
                  <w:tcW w:w="1022" w:type="pct"/>
                  <w:vMerge w:val="continue"/>
                  <w:vAlign w:val="center"/>
                </w:tcPr>
                <w:p>
                  <w:pPr>
                    <w:pStyle w:val="361"/>
                    <w:rPr>
                      <w:rFonts w:eastAsia="宋体"/>
                      <w:color w:val="auto"/>
                      <w:kern w:val="0"/>
                      <w:sz w:val="18"/>
                      <w:szCs w:val="18"/>
                    </w:rPr>
                  </w:pPr>
                </w:p>
              </w:tc>
              <w:tc>
                <w:tcPr>
                  <w:tcW w:w="716" w:type="pct"/>
                  <w:vMerge w:val="continue"/>
                  <w:vAlign w:val="center"/>
                </w:tcPr>
                <w:p>
                  <w:pPr>
                    <w:pStyle w:val="361"/>
                    <w:rPr>
                      <w:rFonts w:eastAsia="宋体"/>
                      <w:color w:val="auto"/>
                      <w:sz w:val="18"/>
                      <w:szCs w:val="18"/>
                    </w:rPr>
                  </w:pPr>
                </w:p>
              </w:tc>
              <w:tc>
                <w:tcPr>
                  <w:tcW w:w="918" w:type="pct"/>
                  <w:vAlign w:val="center"/>
                </w:tcPr>
                <w:p>
                  <w:pPr>
                    <w:pStyle w:val="361"/>
                    <w:rPr>
                      <w:rFonts w:eastAsia="宋体"/>
                      <w:color w:val="auto"/>
                      <w:sz w:val="18"/>
                      <w:szCs w:val="18"/>
                    </w:rPr>
                  </w:pPr>
                  <w:r>
                    <w:rPr>
                      <w:rFonts w:hint="eastAsia" w:eastAsia="宋体"/>
                      <w:color w:val="auto"/>
                      <w:sz w:val="18"/>
                      <w:szCs w:val="18"/>
                    </w:rPr>
                    <w:t>65</w:t>
                  </w:r>
                </w:p>
              </w:tc>
              <w:tc>
                <w:tcPr>
                  <w:tcW w:w="463" w:type="pct"/>
                  <w:vMerge w:val="continue"/>
                  <w:vAlign w:val="center"/>
                </w:tcPr>
                <w:p>
                  <w:pPr>
                    <w:pStyle w:val="361"/>
                    <w:rPr>
                      <w:rFonts w:eastAsia="宋体"/>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jc w:val="center"/>
                    <w:rPr>
                      <w:color w:val="auto"/>
                      <w:sz w:val="18"/>
                      <w:szCs w:val="18"/>
                    </w:rPr>
                  </w:pPr>
                  <w:r>
                    <w:rPr>
                      <w:rFonts w:hint="eastAsia"/>
                      <w:color w:val="auto"/>
                      <w:sz w:val="18"/>
                      <w:szCs w:val="18"/>
                    </w:rPr>
                    <w:t>切胶机</w:t>
                  </w:r>
                </w:p>
              </w:tc>
              <w:tc>
                <w:tcPr>
                  <w:tcW w:w="785" w:type="dxa"/>
                  <w:vAlign w:val="center"/>
                </w:tcPr>
                <w:p>
                  <w:pPr>
                    <w:widowControl/>
                    <w:adjustRightInd w:val="0"/>
                    <w:snapToGrid w:val="0"/>
                    <w:jc w:val="center"/>
                    <w:textAlignment w:val="center"/>
                    <w:rPr>
                      <w:color w:val="auto"/>
                      <w:sz w:val="18"/>
                      <w:szCs w:val="18"/>
                    </w:rPr>
                  </w:pPr>
                  <w:r>
                    <w:rPr>
                      <w:color w:val="auto"/>
                      <w:kern w:val="0"/>
                      <w:sz w:val="18"/>
                      <w:szCs w:val="18"/>
                      <w:lang w:bidi="ar"/>
                    </w:rPr>
                    <w:t>1</w:t>
                  </w:r>
                </w:p>
              </w:tc>
              <w:tc>
                <w:tcPr>
                  <w:tcW w:w="1258" w:type="dxa"/>
                  <w:vAlign w:val="center"/>
                </w:tcPr>
                <w:p>
                  <w:pPr>
                    <w:widowControl/>
                    <w:adjustRightInd w:val="0"/>
                    <w:snapToGrid w:val="0"/>
                    <w:jc w:val="center"/>
                    <w:textAlignment w:val="center"/>
                    <w:rPr>
                      <w:color w:val="auto"/>
                      <w:sz w:val="18"/>
                      <w:szCs w:val="18"/>
                    </w:rPr>
                  </w:pPr>
                  <w:r>
                    <w:rPr>
                      <w:rFonts w:hint="eastAsia"/>
                      <w:color w:val="auto"/>
                      <w:sz w:val="18"/>
                      <w:szCs w:val="18"/>
                    </w:rPr>
                    <w:t>75</w:t>
                  </w:r>
                </w:p>
              </w:tc>
              <w:tc>
                <w:tcPr>
                  <w:tcW w:w="1022" w:type="pct"/>
                  <w:vMerge w:val="continue"/>
                  <w:vAlign w:val="center"/>
                </w:tcPr>
                <w:p>
                  <w:pPr>
                    <w:pStyle w:val="361"/>
                    <w:rPr>
                      <w:rFonts w:eastAsia="宋体"/>
                      <w:color w:val="auto"/>
                      <w:kern w:val="0"/>
                      <w:sz w:val="18"/>
                      <w:szCs w:val="18"/>
                    </w:rPr>
                  </w:pPr>
                </w:p>
              </w:tc>
              <w:tc>
                <w:tcPr>
                  <w:tcW w:w="716" w:type="pct"/>
                  <w:vMerge w:val="continue"/>
                  <w:vAlign w:val="center"/>
                </w:tcPr>
                <w:p>
                  <w:pPr>
                    <w:pStyle w:val="361"/>
                    <w:rPr>
                      <w:rFonts w:eastAsia="宋体"/>
                      <w:color w:val="auto"/>
                      <w:sz w:val="18"/>
                      <w:szCs w:val="18"/>
                    </w:rPr>
                  </w:pPr>
                </w:p>
              </w:tc>
              <w:tc>
                <w:tcPr>
                  <w:tcW w:w="918" w:type="pct"/>
                  <w:vAlign w:val="center"/>
                </w:tcPr>
                <w:p>
                  <w:pPr>
                    <w:pStyle w:val="361"/>
                    <w:rPr>
                      <w:rFonts w:eastAsia="宋体"/>
                      <w:color w:val="auto"/>
                      <w:sz w:val="18"/>
                      <w:szCs w:val="18"/>
                    </w:rPr>
                  </w:pPr>
                  <w:r>
                    <w:rPr>
                      <w:rFonts w:hint="eastAsia" w:eastAsia="宋体"/>
                      <w:color w:val="auto"/>
                      <w:sz w:val="18"/>
                      <w:szCs w:val="18"/>
                    </w:rPr>
                    <w:t>65</w:t>
                  </w:r>
                </w:p>
              </w:tc>
              <w:tc>
                <w:tcPr>
                  <w:tcW w:w="463" w:type="pct"/>
                  <w:vMerge w:val="continue"/>
                  <w:vAlign w:val="center"/>
                </w:tcPr>
                <w:p>
                  <w:pPr>
                    <w:pStyle w:val="361"/>
                    <w:rPr>
                      <w:rFonts w:eastAsia="宋体"/>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jc w:val="center"/>
                    <w:rPr>
                      <w:color w:val="auto"/>
                      <w:sz w:val="18"/>
                      <w:szCs w:val="18"/>
                    </w:rPr>
                  </w:pPr>
                  <w:r>
                    <w:rPr>
                      <w:color w:val="auto"/>
                      <w:sz w:val="18"/>
                      <w:szCs w:val="18"/>
                    </w:rPr>
                    <w:t>注塑机</w:t>
                  </w:r>
                </w:p>
              </w:tc>
              <w:tc>
                <w:tcPr>
                  <w:tcW w:w="785" w:type="dxa"/>
                  <w:vAlign w:val="center"/>
                </w:tcPr>
                <w:p>
                  <w:pPr>
                    <w:widowControl/>
                    <w:adjustRightInd w:val="0"/>
                    <w:snapToGrid w:val="0"/>
                    <w:jc w:val="center"/>
                    <w:textAlignment w:val="center"/>
                    <w:rPr>
                      <w:color w:val="auto"/>
                      <w:sz w:val="18"/>
                      <w:szCs w:val="18"/>
                    </w:rPr>
                  </w:pPr>
                  <w:r>
                    <w:rPr>
                      <w:rFonts w:hint="eastAsia"/>
                      <w:color w:val="auto"/>
                      <w:kern w:val="0"/>
                      <w:sz w:val="18"/>
                      <w:szCs w:val="18"/>
                      <w:lang w:bidi="ar"/>
                    </w:rPr>
                    <w:t>2</w:t>
                  </w:r>
                </w:p>
              </w:tc>
              <w:tc>
                <w:tcPr>
                  <w:tcW w:w="1258" w:type="dxa"/>
                  <w:vAlign w:val="center"/>
                </w:tcPr>
                <w:p>
                  <w:pPr>
                    <w:widowControl/>
                    <w:adjustRightInd w:val="0"/>
                    <w:snapToGrid w:val="0"/>
                    <w:jc w:val="center"/>
                    <w:textAlignment w:val="center"/>
                    <w:rPr>
                      <w:color w:val="auto"/>
                      <w:sz w:val="18"/>
                      <w:szCs w:val="18"/>
                    </w:rPr>
                  </w:pPr>
                  <w:r>
                    <w:rPr>
                      <w:rFonts w:hint="eastAsia"/>
                      <w:color w:val="auto"/>
                      <w:sz w:val="18"/>
                      <w:szCs w:val="18"/>
                    </w:rPr>
                    <w:t>80</w:t>
                  </w:r>
                </w:p>
              </w:tc>
              <w:tc>
                <w:tcPr>
                  <w:tcW w:w="1022" w:type="pct"/>
                  <w:vMerge w:val="continue"/>
                  <w:vAlign w:val="center"/>
                </w:tcPr>
                <w:p>
                  <w:pPr>
                    <w:pStyle w:val="361"/>
                    <w:rPr>
                      <w:rFonts w:eastAsia="宋体"/>
                      <w:color w:val="auto"/>
                      <w:kern w:val="0"/>
                      <w:sz w:val="18"/>
                      <w:szCs w:val="18"/>
                    </w:rPr>
                  </w:pPr>
                </w:p>
              </w:tc>
              <w:tc>
                <w:tcPr>
                  <w:tcW w:w="716" w:type="pct"/>
                  <w:vMerge w:val="continue"/>
                  <w:vAlign w:val="center"/>
                </w:tcPr>
                <w:p>
                  <w:pPr>
                    <w:pStyle w:val="361"/>
                    <w:rPr>
                      <w:rFonts w:eastAsia="宋体"/>
                      <w:color w:val="auto"/>
                      <w:sz w:val="18"/>
                      <w:szCs w:val="18"/>
                    </w:rPr>
                  </w:pPr>
                </w:p>
              </w:tc>
              <w:tc>
                <w:tcPr>
                  <w:tcW w:w="918" w:type="pct"/>
                  <w:vAlign w:val="center"/>
                </w:tcPr>
                <w:p>
                  <w:pPr>
                    <w:pStyle w:val="361"/>
                    <w:rPr>
                      <w:rFonts w:eastAsia="宋体"/>
                      <w:color w:val="auto"/>
                      <w:sz w:val="18"/>
                      <w:szCs w:val="18"/>
                    </w:rPr>
                  </w:pPr>
                  <w:r>
                    <w:rPr>
                      <w:rFonts w:hint="eastAsia" w:eastAsia="宋体"/>
                      <w:color w:val="auto"/>
                      <w:sz w:val="18"/>
                      <w:szCs w:val="18"/>
                    </w:rPr>
                    <w:t>70</w:t>
                  </w:r>
                </w:p>
              </w:tc>
              <w:tc>
                <w:tcPr>
                  <w:tcW w:w="463" w:type="pct"/>
                  <w:vMerge w:val="continue"/>
                  <w:vAlign w:val="center"/>
                </w:tcPr>
                <w:p>
                  <w:pPr>
                    <w:pStyle w:val="361"/>
                    <w:rPr>
                      <w:rFonts w:eastAsia="宋体"/>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jc w:val="center"/>
                    <w:rPr>
                      <w:color w:val="auto"/>
                      <w:sz w:val="18"/>
                      <w:szCs w:val="18"/>
                    </w:rPr>
                  </w:pPr>
                  <w:r>
                    <w:rPr>
                      <w:rFonts w:hint="eastAsia"/>
                      <w:color w:val="auto"/>
                      <w:sz w:val="18"/>
                      <w:szCs w:val="18"/>
                    </w:rPr>
                    <w:t>烘干机</w:t>
                  </w:r>
                </w:p>
              </w:tc>
              <w:tc>
                <w:tcPr>
                  <w:tcW w:w="785" w:type="dxa"/>
                  <w:vAlign w:val="center"/>
                </w:tcPr>
                <w:p>
                  <w:pPr>
                    <w:widowControl/>
                    <w:adjustRightInd w:val="0"/>
                    <w:snapToGrid w:val="0"/>
                    <w:jc w:val="center"/>
                    <w:textAlignment w:val="center"/>
                    <w:rPr>
                      <w:color w:val="auto"/>
                      <w:sz w:val="18"/>
                      <w:szCs w:val="18"/>
                    </w:rPr>
                  </w:pPr>
                  <w:r>
                    <w:rPr>
                      <w:rFonts w:hint="eastAsia"/>
                      <w:color w:val="auto"/>
                      <w:kern w:val="0"/>
                      <w:sz w:val="18"/>
                      <w:szCs w:val="18"/>
                      <w:lang w:bidi="ar"/>
                    </w:rPr>
                    <w:t>1</w:t>
                  </w:r>
                </w:p>
              </w:tc>
              <w:tc>
                <w:tcPr>
                  <w:tcW w:w="1258" w:type="dxa"/>
                  <w:vAlign w:val="center"/>
                </w:tcPr>
                <w:p>
                  <w:pPr>
                    <w:widowControl/>
                    <w:adjustRightInd w:val="0"/>
                    <w:snapToGrid w:val="0"/>
                    <w:jc w:val="center"/>
                    <w:textAlignment w:val="center"/>
                    <w:rPr>
                      <w:color w:val="auto"/>
                      <w:sz w:val="18"/>
                      <w:szCs w:val="18"/>
                    </w:rPr>
                  </w:pPr>
                  <w:r>
                    <w:rPr>
                      <w:rFonts w:hint="eastAsia"/>
                      <w:color w:val="auto"/>
                      <w:sz w:val="18"/>
                      <w:szCs w:val="18"/>
                    </w:rPr>
                    <w:t>80</w:t>
                  </w:r>
                </w:p>
              </w:tc>
              <w:tc>
                <w:tcPr>
                  <w:tcW w:w="1022" w:type="pct"/>
                  <w:vMerge w:val="continue"/>
                  <w:vAlign w:val="center"/>
                </w:tcPr>
                <w:p>
                  <w:pPr>
                    <w:pStyle w:val="361"/>
                    <w:rPr>
                      <w:rFonts w:eastAsia="宋体"/>
                      <w:color w:val="auto"/>
                      <w:kern w:val="0"/>
                      <w:sz w:val="18"/>
                      <w:szCs w:val="18"/>
                    </w:rPr>
                  </w:pPr>
                </w:p>
              </w:tc>
              <w:tc>
                <w:tcPr>
                  <w:tcW w:w="716" w:type="pct"/>
                  <w:vMerge w:val="continue"/>
                  <w:vAlign w:val="center"/>
                </w:tcPr>
                <w:p>
                  <w:pPr>
                    <w:pStyle w:val="361"/>
                    <w:rPr>
                      <w:rFonts w:eastAsia="宋体"/>
                      <w:color w:val="auto"/>
                      <w:sz w:val="18"/>
                      <w:szCs w:val="18"/>
                    </w:rPr>
                  </w:pPr>
                </w:p>
              </w:tc>
              <w:tc>
                <w:tcPr>
                  <w:tcW w:w="918" w:type="pct"/>
                  <w:vAlign w:val="center"/>
                </w:tcPr>
                <w:p>
                  <w:pPr>
                    <w:pStyle w:val="361"/>
                    <w:rPr>
                      <w:rFonts w:eastAsia="宋体"/>
                      <w:color w:val="auto"/>
                      <w:sz w:val="18"/>
                      <w:szCs w:val="18"/>
                    </w:rPr>
                  </w:pPr>
                  <w:r>
                    <w:rPr>
                      <w:rFonts w:hint="eastAsia" w:eastAsia="宋体"/>
                      <w:color w:val="auto"/>
                      <w:sz w:val="18"/>
                      <w:szCs w:val="18"/>
                    </w:rPr>
                    <w:t>70</w:t>
                  </w:r>
                </w:p>
              </w:tc>
              <w:tc>
                <w:tcPr>
                  <w:tcW w:w="463" w:type="pct"/>
                  <w:vMerge w:val="continue"/>
                  <w:vAlign w:val="center"/>
                </w:tcPr>
                <w:p>
                  <w:pPr>
                    <w:pStyle w:val="361"/>
                    <w:rPr>
                      <w:rFonts w:eastAsia="宋体"/>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767" w:type="pct"/>
                  <w:shd w:val="clear" w:color="auto" w:fill="auto"/>
                  <w:vAlign w:val="center"/>
                </w:tcPr>
                <w:p>
                  <w:pPr>
                    <w:pStyle w:val="361"/>
                    <w:rPr>
                      <w:rFonts w:eastAsia="宋体"/>
                      <w:color w:val="auto"/>
                      <w:sz w:val="18"/>
                      <w:szCs w:val="18"/>
                    </w:rPr>
                  </w:pPr>
                  <w:r>
                    <w:rPr>
                      <w:rFonts w:hint="eastAsia" w:eastAsia="宋体"/>
                      <w:color w:val="auto"/>
                      <w:sz w:val="18"/>
                      <w:szCs w:val="18"/>
                    </w:rPr>
                    <w:t>空压机</w:t>
                  </w:r>
                </w:p>
              </w:tc>
              <w:tc>
                <w:tcPr>
                  <w:tcW w:w="426" w:type="pct"/>
                  <w:vAlign w:val="center"/>
                </w:tcPr>
                <w:p>
                  <w:pPr>
                    <w:pStyle w:val="361"/>
                    <w:rPr>
                      <w:rFonts w:eastAsia="宋体"/>
                      <w:color w:val="auto"/>
                      <w:kern w:val="0"/>
                      <w:sz w:val="18"/>
                      <w:szCs w:val="18"/>
                    </w:rPr>
                  </w:pPr>
                  <w:r>
                    <w:rPr>
                      <w:rFonts w:eastAsia="宋体"/>
                      <w:snapToGrid w:val="0"/>
                      <w:color w:val="auto"/>
                      <w:kern w:val="0"/>
                      <w:sz w:val="18"/>
                      <w:szCs w:val="18"/>
                    </w:rPr>
                    <w:t>2</w:t>
                  </w:r>
                </w:p>
              </w:tc>
              <w:tc>
                <w:tcPr>
                  <w:tcW w:w="684" w:type="pct"/>
                  <w:vAlign w:val="center"/>
                </w:tcPr>
                <w:p>
                  <w:pPr>
                    <w:pStyle w:val="361"/>
                    <w:rPr>
                      <w:rFonts w:eastAsia="宋体"/>
                      <w:color w:val="auto"/>
                      <w:kern w:val="0"/>
                      <w:sz w:val="18"/>
                      <w:szCs w:val="18"/>
                    </w:rPr>
                  </w:pPr>
                  <w:r>
                    <w:rPr>
                      <w:rFonts w:eastAsia="宋体"/>
                      <w:color w:val="auto"/>
                      <w:sz w:val="18"/>
                      <w:szCs w:val="18"/>
                    </w:rPr>
                    <w:t>95</w:t>
                  </w:r>
                </w:p>
              </w:tc>
              <w:tc>
                <w:tcPr>
                  <w:tcW w:w="1022" w:type="pct"/>
                  <w:vAlign w:val="center"/>
                </w:tcPr>
                <w:p>
                  <w:pPr>
                    <w:pStyle w:val="361"/>
                    <w:rPr>
                      <w:rFonts w:eastAsia="宋体"/>
                      <w:color w:val="auto"/>
                      <w:kern w:val="0"/>
                      <w:sz w:val="18"/>
                      <w:szCs w:val="18"/>
                    </w:rPr>
                  </w:pPr>
                  <w:r>
                    <w:rPr>
                      <w:rFonts w:eastAsia="宋体"/>
                      <w:color w:val="auto"/>
                      <w:kern w:val="0"/>
                      <w:sz w:val="18"/>
                      <w:szCs w:val="18"/>
                    </w:rPr>
                    <w:t>电机隔声，减振底座、消音器</w:t>
                  </w:r>
                </w:p>
              </w:tc>
              <w:tc>
                <w:tcPr>
                  <w:tcW w:w="716" w:type="pct"/>
                  <w:vAlign w:val="center"/>
                </w:tcPr>
                <w:p>
                  <w:pPr>
                    <w:pStyle w:val="361"/>
                    <w:rPr>
                      <w:rFonts w:eastAsia="宋体"/>
                      <w:color w:val="auto"/>
                      <w:kern w:val="0"/>
                      <w:sz w:val="18"/>
                      <w:szCs w:val="18"/>
                    </w:rPr>
                  </w:pPr>
                  <w:r>
                    <w:rPr>
                      <w:rFonts w:eastAsia="宋体"/>
                      <w:color w:val="auto"/>
                      <w:sz w:val="18"/>
                      <w:szCs w:val="18"/>
                    </w:rPr>
                    <w:t>15</w:t>
                  </w:r>
                </w:p>
              </w:tc>
              <w:tc>
                <w:tcPr>
                  <w:tcW w:w="918" w:type="pct"/>
                  <w:vAlign w:val="center"/>
                </w:tcPr>
                <w:p>
                  <w:pPr>
                    <w:pStyle w:val="361"/>
                    <w:rPr>
                      <w:rFonts w:eastAsia="宋体"/>
                      <w:color w:val="auto"/>
                      <w:kern w:val="0"/>
                      <w:sz w:val="18"/>
                      <w:szCs w:val="18"/>
                    </w:rPr>
                  </w:pPr>
                  <w:r>
                    <w:rPr>
                      <w:rFonts w:eastAsia="宋体"/>
                      <w:color w:val="auto"/>
                      <w:sz w:val="18"/>
                      <w:szCs w:val="18"/>
                    </w:rPr>
                    <w:t>80</w:t>
                  </w:r>
                </w:p>
              </w:tc>
              <w:tc>
                <w:tcPr>
                  <w:tcW w:w="463" w:type="pct"/>
                  <w:vMerge w:val="continue"/>
                  <w:vAlign w:val="center"/>
                </w:tcPr>
                <w:p>
                  <w:pPr>
                    <w:pStyle w:val="361"/>
                    <w:rPr>
                      <w:rFonts w:eastAsia="宋体"/>
                      <w:color w:val="auto"/>
                      <w:kern w:val="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767" w:type="pct"/>
                  <w:shd w:val="clear" w:color="auto" w:fill="auto"/>
                  <w:vAlign w:val="center"/>
                </w:tcPr>
                <w:p>
                  <w:pPr>
                    <w:pStyle w:val="361"/>
                    <w:rPr>
                      <w:rFonts w:eastAsia="宋体"/>
                      <w:color w:val="auto"/>
                      <w:sz w:val="18"/>
                      <w:szCs w:val="18"/>
                    </w:rPr>
                  </w:pPr>
                  <w:r>
                    <w:rPr>
                      <w:rFonts w:eastAsia="宋体"/>
                      <w:color w:val="auto"/>
                      <w:sz w:val="18"/>
                      <w:szCs w:val="18"/>
                    </w:rPr>
                    <w:t>建筑物隔声</w:t>
                  </w:r>
                </w:p>
              </w:tc>
              <w:tc>
                <w:tcPr>
                  <w:tcW w:w="426" w:type="pct"/>
                  <w:vAlign w:val="center"/>
                </w:tcPr>
                <w:p>
                  <w:pPr>
                    <w:pStyle w:val="361"/>
                    <w:rPr>
                      <w:rFonts w:eastAsia="宋体"/>
                      <w:color w:val="auto"/>
                      <w:kern w:val="0"/>
                      <w:sz w:val="18"/>
                      <w:szCs w:val="18"/>
                    </w:rPr>
                  </w:pPr>
                  <w:r>
                    <w:rPr>
                      <w:rFonts w:eastAsia="宋体"/>
                      <w:color w:val="auto"/>
                      <w:kern w:val="0"/>
                      <w:sz w:val="18"/>
                      <w:szCs w:val="18"/>
                    </w:rPr>
                    <w:t>生产车间</w:t>
                  </w:r>
                </w:p>
              </w:tc>
              <w:tc>
                <w:tcPr>
                  <w:tcW w:w="684" w:type="pct"/>
                  <w:vAlign w:val="center"/>
                </w:tcPr>
                <w:p>
                  <w:pPr>
                    <w:pStyle w:val="361"/>
                    <w:rPr>
                      <w:rFonts w:eastAsia="宋体"/>
                      <w:color w:val="auto"/>
                      <w:kern w:val="0"/>
                      <w:sz w:val="18"/>
                      <w:szCs w:val="18"/>
                    </w:rPr>
                  </w:pPr>
                  <w:r>
                    <w:rPr>
                      <w:rFonts w:eastAsia="宋体"/>
                      <w:color w:val="auto"/>
                      <w:kern w:val="0"/>
                      <w:sz w:val="18"/>
                      <w:szCs w:val="18"/>
                    </w:rPr>
                    <w:t>/</w:t>
                  </w:r>
                </w:p>
              </w:tc>
              <w:tc>
                <w:tcPr>
                  <w:tcW w:w="1022" w:type="pct"/>
                  <w:vAlign w:val="center"/>
                </w:tcPr>
                <w:p>
                  <w:pPr>
                    <w:pStyle w:val="361"/>
                    <w:rPr>
                      <w:rFonts w:eastAsia="宋体"/>
                      <w:color w:val="auto"/>
                      <w:kern w:val="0"/>
                      <w:sz w:val="18"/>
                      <w:szCs w:val="18"/>
                    </w:rPr>
                  </w:pPr>
                  <w:r>
                    <w:rPr>
                      <w:rFonts w:eastAsia="宋体"/>
                      <w:color w:val="auto"/>
                      <w:kern w:val="0"/>
                      <w:sz w:val="18"/>
                      <w:szCs w:val="18"/>
                    </w:rPr>
                    <w:t>隔声、吸声</w:t>
                  </w:r>
                </w:p>
              </w:tc>
              <w:tc>
                <w:tcPr>
                  <w:tcW w:w="716" w:type="pct"/>
                  <w:vAlign w:val="center"/>
                </w:tcPr>
                <w:p>
                  <w:pPr>
                    <w:pStyle w:val="361"/>
                    <w:rPr>
                      <w:rFonts w:eastAsia="宋体"/>
                      <w:color w:val="auto"/>
                      <w:sz w:val="18"/>
                      <w:szCs w:val="18"/>
                    </w:rPr>
                  </w:pPr>
                  <w:r>
                    <w:rPr>
                      <w:rFonts w:eastAsia="宋体"/>
                      <w:color w:val="auto"/>
                      <w:sz w:val="18"/>
                      <w:szCs w:val="18"/>
                    </w:rPr>
                    <w:t>TL=2</w:t>
                  </w:r>
                  <w:r>
                    <w:rPr>
                      <w:rFonts w:hint="eastAsia" w:eastAsia="宋体"/>
                      <w:color w:val="auto"/>
                      <w:sz w:val="18"/>
                      <w:szCs w:val="18"/>
                    </w:rPr>
                    <w:t>1</w:t>
                  </w:r>
                </w:p>
              </w:tc>
              <w:tc>
                <w:tcPr>
                  <w:tcW w:w="918" w:type="pct"/>
                  <w:vAlign w:val="center"/>
                </w:tcPr>
                <w:p>
                  <w:pPr>
                    <w:pStyle w:val="361"/>
                    <w:rPr>
                      <w:rFonts w:eastAsia="宋体"/>
                      <w:color w:val="auto"/>
                      <w:kern w:val="0"/>
                      <w:sz w:val="18"/>
                      <w:szCs w:val="18"/>
                    </w:rPr>
                  </w:pPr>
                  <w:r>
                    <w:rPr>
                      <w:rFonts w:eastAsia="宋体"/>
                      <w:color w:val="auto"/>
                      <w:kern w:val="0"/>
                      <w:sz w:val="18"/>
                      <w:szCs w:val="18"/>
                    </w:rPr>
                    <w:t>/</w:t>
                  </w:r>
                </w:p>
              </w:tc>
              <w:tc>
                <w:tcPr>
                  <w:tcW w:w="463" w:type="pct"/>
                  <w:vAlign w:val="center"/>
                </w:tcPr>
                <w:p>
                  <w:pPr>
                    <w:pStyle w:val="361"/>
                    <w:rPr>
                      <w:rFonts w:eastAsia="宋体"/>
                      <w:color w:val="auto"/>
                      <w:kern w:val="0"/>
                      <w:sz w:val="18"/>
                      <w:szCs w:val="18"/>
                    </w:rPr>
                  </w:pPr>
                  <w:r>
                    <w:rPr>
                      <w:rFonts w:eastAsia="宋体"/>
                      <w:color w:val="auto"/>
                      <w:kern w:val="0"/>
                      <w:sz w:val="18"/>
                      <w:szCs w:val="18"/>
                    </w:rPr>
                    <w:t>/</w:t>
                  </w:r>
                </w:p>
              </w:tc>
            </w:tr>
          </w:tbl>
          <w:p>
            <w:pPr>
              <w:widowControl/>
              <w:ind w:firstLine="420" w:firstLineChars="200"/>
              <w:jc w:val="left"/>
              <w:rPr>
                <w:color w:val="auto"/>
                <w:szCs w:val="21"/>
              </w:rPr>
            </w:pPr>
          </w:p>
          <w:p>
            <w:pPr>
              <w:snapToGrid w:val="0"/>
              <w:spacing w:line="360" w:lineRule="auto"/>
              <w:ind w:firstLine="422" w:firstLineChars="200"/>
              <w:rPr>
                <w:b/>
                <w:bCs/>
                <w:color w:val="auto"/>
                <w:szCs w:val="21"/>
              </w:rPr>
            </w:pPr>
            <w:r>
              <w:rPr>
                <w:b/>
                <w:bCs/>
                <w:color w:val="auto"/>
                <w:szCs w:val="21"/>
              </w:rPr>
              <w:t>（2）厂界达标情况分析</w:t>
            </w:r>
          </w:p>
          <w:p>
            <w:pPr>
              <w:snapToGrid w:val="0"/>
              <w:spacing w:line="360" w:lineRule="auto"/>
              <w:ind w:firstLine="420" w:firstLineChars="200"/>
              <w:rPr>
                <w:color w:val="auto"/>
                <w:szCs w:val="21"/>
              </w:rPr>
            </w:pPr>
            <w:r>
              <w:rPr>
                <w:color w:val="auto"/>
                <w:szCs w:val="21"/>
              </w:rPr>
              <w:t>根据《环境影响评价技术导则 声环境》（HJ2.4-2021），选取预测模式，应用过程中将根据具体情况作必要简化。</w:t>
            </w:r>
            <w:r>
              <w:rPr>
                <w:rFonts w:hint="eastAsia"/>
                <w:color w:val="auto"/>
                <w:szCs w:val="21"/>
              </w:rPr>
              <w:t>声环境影响评价中声级的叠加是按能量（声功率或声压平方）相加的（声压级及声功率级的叠加计算均为下式）。</w:t>
            </w:r>
          </w:p>
          <w:p>
            <w:pPr>
              <w:snapToGrid w:val="0"/>
              <w:spacing w:line="360" w:lineRule="auto"/>
              <w:ind w:firstLine="420" w:firstLineChars="200"/>
              <w:jc w:val="center"/>
              <w:rPr>
                <w:color w:val="auto"/>
                <w:szCs w:val="21"/>
              </w:rPr>
            </w:pPr>
            <w:r>
              <w:rPr>
                <w:color w:val="auto"/>
                <w:szCs w:val="21"/>
              </w:rPr>
              <w:drawing>
                <wp:anchor distT="0" distB="0" distL="114300" distR="114300" simplePos="0" relativeHeight="251669504" behindDoc="0" locked="0" layoutInCell="1" allowOverlap="1">
                  <wp:simplePos x="0" y="0"/>
                  <wp:positionH relativeFrom="column">
                    <wp:posOffset>238760</wp:posOffset>
                  </wp:positionH>
                  <wp:positionV relativeFrom="paragraph">
                    <wp:posOffset>606425</wp:posOffset>
                  </wp:positionV>
                  <wp:extent cx="355600" cy="330200"/>
                  <wp:effectExtent l="0" t="0" r="6350" b="12700"/>
                  <wp:wrapNone/>
                  <wp:docPr id="1598852804" name="图片 1" descr="图片包含 游戏机, 家具, 桌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852804" name="图片 1" descr="图片包含 游戏机, 家具, 桌子&#10;&#10;描述已自动生成"/>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55426" cy="330039"/>
                          </a:xfrm>
                          <a:prstGeom prst="rect">
                            <a:avLst/>
                          </a:prstGeom>
                        </pic:spPr>
                      </pic:pic>
                    </a:graphicData>
                  </a:graphic>
                </wp:anchor>
              </w:drawing>
            </w:r>
            <w:r>
              <w:rPr>
                <w:color w:val="auto"/>
                <w:szCs w:val="21"/>
              </w:rPr>
              <w:object>
                <v:shape id="_x0000_i1030" o:spt="75" type="#_x0000_t75" style="height:48.25pt;width:127.15pt;" o:ole="t" filled="f" o:preferrelative="t" stroked="f" coordsize="21600,21600">
                  <v:path/>
                  <v:fill on="f" focussize="0,0"/>
                  <v:stroke on="f" joinstyle="miter"/>
                  <v:imagedata r:id="rId28" o:title=""/>
                  <o:lock v:ext="edit" aspectratio="t"/>
                  <w10:wrap type="none"/>
                  <w10:anchorlock/>
                </v:shape>
                <o:OLEObject Type="Embed" ProgID="Equation.3" ShapeID="_x0000_i1030" DrawAspect="Content" ObjectID="_1468075730" r:id="rId27">
                  <o:LockedField>false</o:LockedField>
                </o:OLEObject>
              </w:object>
            </w:r>
          </w:p>
          <w:p>
            <w:pPr>
              <w:adjustRightInd w:val="0"/>
              <w:snapToGrid w:val="0"/>
              <w:spacing w:line="360" w:lineRule="auto"/>
              <w:ind w:firstLine="840" w:firstLineChars="400"/>
              <w:rPr>
                <w:color w:val="auto"/>
                <w:szCs w:val="21"/>
              </w:rPr>
            </w:pPr>
            <w:r>
              <w:rPr>
                <w:color w:val="auto"/>
                <w:szCs w:val="21"/>
              </w:rPr>
              <w:drawing>
                <wp:anchor distT="0" distB="0" distL="114300" distR="114300" simplePos="0" relativeHeight="251670528" behindDoc="0" locked="0" layoutInCell="1" allowOverlap="1">
                  <wp:simplePos x="0" y="0"/>
                  <wp:positionH relativeFrom="column">
                    <wp:posOffset>278765</wp:posOffset>
                  </wp:positionH>
                  <wp:positionV relativeFrom="paragraph">
                    <wp:posOffset>237490</wp:posOffset>
                  </wp:positionV>
                  <wp:extent cx="335280" cy="233045"/>
                  <wp:effectExtent l="0" t="0" r="7620" b="14605"/>
                  <wp:wrapNone/>
                  <wp:docPr id="2131668703" name="图片 1" descr="图片包含 游戏机, 家具, 桌子, 凳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668703" name="图片 1" descr="图片包含 游戏机, 家具, 桌子, 凳子&#10;&#10;描述已自动生成"/>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35196" cy="233297"/>
                          </a:xfrm>
                          <a:prstGeom prst="rect">
                            <a:avLst/>
                          </a:prstGeom>
                        </pic:spPr>
                      </pic:pic>
                    </a:graphicData>
                  </a:graphic>
                </wp:anchor>
              </w:drawing>
            </w:r>
            <w:r>
              <w:rPr>
                <w:rFonts w:hint="eastAsia"/>
                <w:color w:val="auto"/>
                <w:szCs w:val="21"/>
              </w:rPr>
              <w:t>—各个噪声源叠加后的总声压级，dB；</w:t>
            </w:r>
          </w:p>
          <w:p>
            <w:pPr>
              <w:adjustRightInd w:val="0"/>
              <w:snapToGrid w:val="0"/>
              <w:spacing w:line="360" w:lineRule="auto"/>
              <w:ind w:firstLine="840" w:firstLineChars="400"/>
              <w:rPr>
                <w:color w:val="auto"/>
                <w:szCs w:val="21"/>
              </w:rPr>
            </w:pPr>
            <w:r>
              <w:rPr>
                <w:rFonts w:hint="eastAsia"/>
                <w:color w:val="auto"/>
                <w:szCs w:val="21"/>
              </w:rPr>
              <w:t>—第i个噪声源的声压级，dB；</w:t>
            </w:r>
          </w:p>
          <w:p>
            <w:pPr>
              <w:adjustRightInd w:val="0"/>
              <w:snapToGrid w:val="0"/>
              <w:spacing w:line="360" w:lineRule="auto"/>
              <w:ind w:firstLine="420" w:firstLineChars="200"/>
              <w:rPr>
                <w:color w:val="auto"/>
                <w:szCs w:val="21"/>
              </w:rPr>
            </w:pPr>
            <w:r>
              <w:rPr>
                <w:rFonts w:hint="eastAsia"/>
                <w:color w:val="auto"/>
                <w:szCs w:val="21"/>
              </w:rPr>
              <w:t>N—噪声源总个数。</w:t>
            </w:r>
            <w:r>
              <w:rPr>
                <w:color w:val="auto"/>
                <w:szCs w:val="21"/>
              </w:rPr>
              <w:t xml:space="preserve"> </w:t>
            </w:r>
          </w:p>
          <w:p>
            <w:pPr>
              <w:adjustRightInd w:val="0"/>
              <w:snapToGrid w:val="0"/>
              <w:spacing w:line="360" w:lineRule="auto"/>
              <w:ind w:firstLine="420" w:firstLineChars="200"/>
              <w:rPr>
                <w:color w:val="auto"/>
                <w:szCs w:val="21"/>
              </w:rPr>
            </w:pPr>
            <w:r>
              <w:rPr>
                <w:rFonts w:hint="eastAsia"/>
                <w:color w:val="auto"/>
                <w:szCs w:val="21"/>
              </w:rPr>
              <w:t>如果有N个相同声源叠加，则总声压（功率）级为：</w:t>
            </w:r>
          </w:p>
          <w:p>
            <w:pPr>
              <w:adjustRightInd w:val="0"/>
              <w:snapToGrid w:val="0"/>
              <w:spacing w:line="360" w:lineRule="auto"/>
              <w:ind w:firstLine="420" w:firstLineChars="200"/>
              <w:jc w:val="center"/>
              <w:rPr>
                <w:color w:val="auto"/>
                <w:szCs w:val="21"/>
              </w:rPr>
            </w:pPr>
            <w:r>
              <w:rPr>
                <w:color w:val="auto"/>
                <w:position w:val="-12"/>
                <w:szCs w:val="21"/>
              </w:rPr>
              <w:object>
                <v:shape id="_x0000_i1031" o:spt="75" type="#_x0000_t75" style="height:25.3pt;width:117.2pt;" o:ole="t" filled="f" o:preferrelative="t" stroked="f" coordsize="21600,21600">
                  <v:path/>
                  <v:fill on="f" focussize="0,0"/>
                  <v:stroke on="f" joinstyle="miter"/>
                  <v:imagedata r:id="rId31" o:title=""/>
                  <o:lock v:ext="edit" aspectratio="t"/>
                  <w10:wrap type="none"/>
                  <w10:anchorlock/>
                </v:shape>
                <o:OLEObject Type="Embed" ProgID="Equation.DSMT4" ShapeID="_x0000_i1031" DrawAspect="Content" ObjectID="_1468075731" r:id="rId30">
                  <o:LockedField>false</o:LockedField>
                </o:OLEObject>
              </w:object>
            </w:r>
          </w:p>
          <w:p>
            <w:pPr>
              <w:adjustRightInd w:val="0"/>
              <w:snapToGrid w:val="0"/>
              <w:spacing w:line="360" w:lineRule="auto"/>
              <w:ind w:firstLine="420" w:firstLineChars="200"/>
              <w:rPr>
                <w:color w:val="auto"/>
                <w:szCs w:val="21"/>
              </w:rPr>
            </w:pPr>
            <w:r>
              <w:rPr>
                <w:color w:val="auto"/>
                <w:szCs w:val="21"/>
              </w:rPr>
              <w:t>1）室内声源等效室外声源声功率级计算方法</w:t>
            </w:r>
          </w:p>
          <w:p>
            <w:pPr>
              <w:adjustRightInd w:val="0"/>
              <w:snapToGrid w:val="0"/>
              <w:spacing w:line="360" w:lineRule="auto"/>
              <w:ind w:firstLine="420" w:firstLineChars="200"/>
              <w:jc w:val="center"/>
              <w:rPr>
                <w:color w:val="auto"/>
                <w:szCs w:val="21"/>
              </w:rPr>
            </w:pPr>
            <w:r>
              <w:rPr>
                <w:color w:val="auto"/>
                <w:szCs w:val="21"/>
              </w:rPr>
              <w:drawing>
                <wp:inline distT="0" distB="0" distL="0" distR="0">
                  <wp:extent cx="3140075" cy="1922780"/>
                  <wp:effectExtent l="0" t="0" r="3175" b="1270"/>
                  <wp:docPr id="1092148084"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148084" name="图片 1" descr="图示&#10;&#10;描述已自动生成"/>
                          <pic:cNvPicPr>
                            <a:picLocks noChangeAspect="1"/>
                          </pic:cNvPicPr>
                        </pic:nvPicPr>
                        <pic:blipFill>
                          <a:blip r:embed="rId32"/>
                          <a:stretch>
                            <a:fillRect/>
                          </a:stretch>
                        </pic:blipFill>
                        <pic:spPr>
                          <a:xfrm>
                            <a:off x="0" y="0"/>
                            <a:ext cx="3140075" cy="1922780"/>
                          </a:xfrm>
                          <a:prstGeom prst="rect">
                            <a:avLst/>
                          </a:prstGeom>
                        </pic:spPr>
                      </pic:pic>
                    </a:graphicData>
                  </a:graphic>
                </wp:inline>
              </w:drawing>
            </w:r>
          </w:p>
          <w:p>
            <w:pPr>
              <w:adjustRightInd w:val="0"/>
              <w:snapToGrid w:val="0"/>
              <w:spacing w:line="360" w:lineRule="auto"/>
              <w:ind w:firstLine="420" w:firstLineChars="200"/>
              <w:rPr>
                <w:color w:val="auto"/>
                <w:szCs w:val="21"/>
              </w:rPr>
            </w:pPr>
            <w:r>
              <w:rPr>
                <w:rFonts w:hint="eastAsia" w:ascii="宋体" w:hAnsi="宋体" w:cs="宋体"/>
                <w:color w:val="auto"/>
                <w:szCs w:val="21"/>
              </w:rPr>
              <w:t>①</w:t>
            </w:r>
            <w:r>
              <w:rPr>
                <w:color w:val="auto"/>
                <w:szCs w:val="21"/>
              </w:rPr>
              <w:t>计算某一室内声源靠近围护结构处产生的倍频带声压级或A声级：</w:t>
            </w:r>
          </w:p>
          <w:p>
            <w:pPr>
              <w:adjustRightInd w:val="0"/>
              <w:snapToGrid w:val="0"/>
              <w:spacing w:line="360" w:lineRule="auto"/>
              <w:ind w:firstLine="420" w:firstLineChars="200"/>
              <w:jc w:val="center"/>
              <w:rPr>
                <w:color w:val="auto"/>
                <w:szCs w:val="21"/>
              </w:rPr>
            </w:pPr>
            <w:r>
              <w:rPr>
                <w:color w:val="auto"/>
                <w:szCs w:val="21"/>
              </w:rPr>
              <w:drawing>
                <wp:inline distT="0" distB="0" distL="0" distR="0">
                  <wp:extent cx="2442210" cy="554990"/>
                  <wp:effectExtent l="0" t="0" r="15240" b="16510"/>
                  <wp:docPr id="2124313265" name="图片 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313265" name="图片 1" descr="图片包含 文本&#10;&#10;描述已自动生成"/>
                          <pic:cNvPicPr>
                            <a:picLocks noChangeAspect="1"/>
                          </pic:cNvPicPr>
                        </pic:nvPicPr>
                        <pic:blipFill>
                          <a:blip r:embed="rId33"/>
                          <a:stretch>
                            <a:fillRect/>
                          </a:stretch>
                        </pic:blipFill>
                        <pic:spPr>
                          <a:xfrm>
                            <a:off x="0" y="0"/>
                            <a:ext cx="2474001" cy="562459"/>
                          </a:xfrm>
                          <a:prstGeom prst="rect">
                            <a:avLst/>
                          </a:prstGeom>
                        </pic:spPr>
                      </pic:pic>
                    </a:graphicData>
                  </a:graphic>
                </wp:inline>
              </w:drawing>
            </w:r>
          </w:p>
          <w:p>
            <w:pPr>
              <w:adjustRightInd w:val="0"/>
              <w:snapToGrid w:val="0"/>
              <w:spacing w:line="360" w:lineRule="auto"/>
              <w:ind w:firstLine="420" w:firstLineChars="200"/>
              <w:rPr>
                <w:color w:val="auto"/>
                <w:szCs w:val="21"/>
              </w:rPr>
            </w:pPr>
            <w:r>
              <w:rPr>
                <w:color w:val="auto"/>
                <w:szCs w:val="21"/>
              </w:rPr>
              <w:drawing>
                <wp:anchor distT="0" distB="0" distL="114300" distR="114300" simplePos="0" relativeHeight="251661312" behindDoc="0" locked="0" layoutInCell="1" allowOverlap="1">
                  <wp:simplePos x="0" y="0"/>
                  <wp:positionH relativeFrom="column">
                    <wp:posOffset>347345</wp:posOffset>
                  </wp:positionH>
                  <wp:positionV relativeFrom="paragraph">
                    <wp:posOffset>192405</wp:posOffset>
                  </wp:positionV>
                  <wp:extent cx="295275" cy="352425"/>
                  <wp:effectExtent l="0" t="0" r="9525" b="9525"/>
                  <wp:wrapNone/>
                  <wp:docPr id="1531862887" name="图片 1" descr="图片包含 游戏机, 椅子, 桌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62887" name="图片 1" descr="图片包含 游戏机, 椅子, 桌子&#10;&#10;描述已自动生成"/>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95277" cy="352428"/>
                          </a:xfrm>
                          <a:prstGeom prst="rect">
                            <a:avLst/>
                          </a:prstGeom>
                        </pic:spPr>
                      </pic:pic>
                    </a:graphicData>
                  </a:graphic>
                </wp:anchor>
              </w:drawing>
            </w:r>
            <w:r>
              <w:rPr>
                <w:color w:val="auto"/>
                <w:szCs w:val="21"/>
              </w:rPr>
              <w:drawing>
                <wp:anchor distT="0" distB="0" distL="114300" distR="114300" simplePos="0" relativeHeight="251660288" behindDoc="0" locked="0" layoutInCell="1" allowOverlap="1">
                  <wp:simplePos x="0" y="0"/>
                  <wp:positionH relativeFrom="column">
                    <wp:posOffset>654050</wp:posOffset>
                  </wp:positionH>
                  <wp:positionV relativeFrom="paragraph">
                    <wp:posOffset>5080</wp:posOffset>
                  </wp:positionV>
                  <wp:extent cx="323850" cy="284480"/>
                  <wp:effectExtent l="0" t="0" r="0" b="1270"/>
                  <wp:wrapNone/>
                  <wp:docPr id="743463501" name="图片 1" descr="图片包含 游戏机, 桌子, 男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463501" name="图片 1" descr="图片包含 游戏机, 桌子, 男人&#10;&#10;描述已自动生成"/>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24000" cy="284400"/>
                          </a:xfrm>
                          <a:prstGeom prst="rect">
                            <a:avLst/>
                          </a:prstGeom>
                        </pic:spPr>
                      </pic:pic>
                    </a:graphicData>
                  </a:graphic>
                </wp:anchor>
              </w:drawing>
            </w:r>
            <w:r>
              <w:rPr>
                <w:color w:val="auto"/>
                <w:szCs w:val="21"/>
              </w:rPr>
              <w:t xml:space="preserve"> 式中</w:t>
            </w:r>
            <w:r>
              <w:rPr>
                <w:rFonts w:hint="eastAsia"/>
                <w:color w:val="auto"/>
                <w:szCs w:val="21"/>
              </w:rPr>
              <w:t xml:space="preserve"> </w:t>
            </w:r>
            <w:r>
              <w:rPr>
                <w:color w:val="auto"/>
                <w:szCs w:val="21"/>
              </w:rPr>
              <w:t xml:space="preserve">    —靠近开口处(或窗户) 室内某倍频带的声压级或A声级，dB；</w:t>
            </w:r>
          </w:p>
          <w:p>
            <w:pPr>
              <w:adjustRightInd w:val="0"/>
              <w:snapToGrid w:val="0"/>
              <w:spacing w:line="360" w:lineRule="auto"/>
              <w:ind w:firstLine="1050" w:firstLineChars="500"/>
              <w:rPr>
                <w:color w:val="auto"/>
                <w:szCs w:val="21"/>
              </w:rPr>
            </w:pPr>
            <w:r>
              <w:rPr>
                <w:color w:val="auto"/>
                <w:szCs w:val="21"/>
              </w:rPr>
              <w:t>—— 点声源声功率级(A 计权或倍频带) ，dB；</w:t>
            </w:r>
          </w:p>
          <w:p>
            <w:pPr>
              <w:adjustRightInd w:val="0"/>
              <w:snapToGrid w:val="0"/>
              <w:spacing w:line="360" w:lineRule="auto"/>
              <w:ind w:firstLine="630" w:firstLineChars="300"/>
              <w:rPr>
                <w:color w:val="auto"/>
                <w:szCs w:val="21"/>
              </w:rPr>
            </w:pPr>
            <w:r>
              <w:rPr>
                <w:color w:val="auto"/>
                <w:szCs w:val="21"/>
              </w:rPr>
              <w:t>Q ——指向性因数；通常对无指向性声源，当声源放在房间中心时，Q=1；当放在一面墙的中心时，Q=2；当放在两面墙夹角处时，Q=4；当放在三面墙夹角处时，Q=8；</w:t>
            </w:r>
            <w:r>
              <w:rPr>
                <w:rFonts w:hint="eastAsia"/>
                <w:color w:val="auto"/>
                <w:szCs w:val="21"/>
              </w:rPr>
              <w:t>本项目按照Q</w:t>
            </w:r>
            <w:r>
              <w:rPr>
                <w:color w:val="auto"/>
                <w:szCs w:val="21"/>
              </w:rPr>
              <w:t>=2</w:t>
            </w:r>
            <w:r>
              <w:rPr>
                <w:rFonts w:hint="eastAsia"/>
                <w:color w:val="auto"/>
                <w:szCs w:val="21"/>
              </w:rPr>
              <w:t>；</w:t>
            </w:r>
          </w:p>
          <w:p>
            <w:pPr>
              <w:adjustRightInd w:val="0"/>
              <w:snapToGrid w:val="0"/>
              <w:spacing w:line="360" w:lineRule="auto"/>
              <w:ind w:firstLine="420" w:firstLineChars="200"/>
              <w:rPr>
                <w:color w:val="auto"/>
                <w:szCs w:val="21"/>
              </w:rPr>
            </w:pPr>
            <w:r>
              <w:rPr>
                <w:color w:val="auto"/>
                <w:szCs w:val="21"/>
              </w:rPr>
              <w:t>R——房间常数；R = Sa/ (1-a) ，S 为房间内表面面积，m</w:t>
            </w:r>
            <w:r>
              <w:rPr>
                <w:color w:val="auto"/>
                <w:szCs w:val="21"/>
                <w:vertAlign w:val="superscript"/>
              </w:rPr>
              <w:t>2</w:t>
            </w:r>
            <w:r>
              <w:rPr>
                <w:color w:val="auto"/>
                <w:szCs w:val="21"/>
              </w:rPr>
              <w:t>；α为平均吸声系数；平均吸声系数</w:t>
            </w:r>
            <w:r>
              <w:rPr>
                <w:rFonts w:hint="eastAsia"/>
                <w:color w:val="auto"/>
                <w:szCs w:val="21"/>
              </w:rPr>
              <w:t>按照0.02考虑（洪宗辉《环境噪声控制工程》（高等教育出版社）中混凝土的吸声系数）；</w:t>
            </w:r>
          </w:p>
          <w:p>
            <w:pPr>
              <w:adjustRightInd w:val="0"/>
              <w:snapToGrid w:val="0"/>
              <w:spacing w:line="360" w:lineRule="auto"/>
              <w:ind w:firstLine="420" w:firstLineChars="200"/>
              <w:rPr>
                <w:color w:val="auto"/>
                <w:szCs w:val="21"/>
              </w:rPr>
            </w:pPr>
            <w:r>
              <w:rPr>
                <w:color w:val="auto"/>
                <w:szCs w:val="21"/>
              </w:rPr>
              <w:t>r ——声源到靠近围护结构某点处的距离，m。</w:t>
            </w:r>
          </w:p>
          <w:p>
            <w:pPr>
              <w:adjustRightInd w:val="0"/>
              <w:snapToGrid w:val="0"/>
              <w:spacing w:line="360" w:lineRule="auto"/>
              <w:ind w:firstLine="420" w:firstLineChars="200"/>
              <w:rPr>
                <w:color w:val="auto"/>
                <w:szCs w:val="21"/>
              </w:rPr>
            </w:pPr>
            <w:r>
              <w:rPr>
                <w:rFonts w:hint="eastAsia" w:ascii="宋体" w:hAnsi="宋体" w:cs="宋体"/>
                <w:color w:val="auto"/>
                <w:szCs w:val="21"/>
              </w:rPr>
              <w:t>②</w:t>
            </w:r>
            <w:r>
              <w:rPr>
                <w:color w:val="auto"/>
                <w:szCs w:val="21"/>
              </w:rPr>
              <w:t>计算出所有室内声源在围护结构处产生的 i 倍频带叠加声压级：</w:t>
            </w:r>
          </w:p>
          <w:p>
            <w:pPr>
              <w:adjustRightInd w:val="0"/>
              <w:snapToGrid w:val="0"/>
              <w:spacing w:line="360" w:lineRule="auto"/>
              <w:ind w:firstLine="420" w:firstLineChars="200"/>
              <w:jc w:val="center"/>
              <w:rPr>
                <w:color w:val="auto"/>
                <w:szCs w:val="21"/>
              </w:rPr>
            </w:pPr>
            <w:r>
              <w:rPr>
                <w:color w:val="auto"/>
                <w:szCs w:val="21"/>
              </w:rPr>
              <w:drawing>
                <wp:anchor distT="0" distB="0" distL="114300" distR="114300" simplePos="0" relativeHeight="251662336" behindDoc="0" locked="0" layoutInCell="1" allowOverlap="1">
                  <wp:simplePos x="0" y="0"/>
                  <wp:positionH relativeFrom="column">
                    <wp:posOffset>712470</wp:posOffset>
                  </wp:positionH>
                  <wp:positionV relativeFrom="paragraph">
                    <wp:posOffset>661670</wp:posOffset>
                  </wp:positionV>
                  <wp:extent cx="540385" cy="252730"/>
                  <wp:effectExtent l="0" t="0" r="12065" b="13970"/>
                  <wp:wrapNone/>
                  <wp:docPr id="1174078506" name="图片 1"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078506" name="图片 1" descr="文本&#10;&#10;中度可信度描述已自动生成"/>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40482" cy="252605"/>
                          </a:xfrm>
                          <a:prstGeom prst="rect">
                            <a:avLst/>
                          </a:prstGeom>
                        </pic:spPr>
                      </pic:pic>
                    </a:graphicData>
                  </a:graphic>
                </wp:anchor>
              </w:drawing>
            </w:r>
            <w:r>
              <w:rPr>
                <w:color w:val="auto"/>
                <w:szCs w:val="21"/>
              </w:rPr>
              <w:drawing>
                <wp:inline distT="0" distB="0" distL="0" distR="0">
                  <wp:extent cx="2221865" cy="621665"/>
                  <wp:effectExtent l="0" t="0" r="6985" b="6985"/>
                  <wp:docPr id="1619011605" name="图片 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11605" name="图片 1" descr="图片包含 文本&#10;&#10;描述已自动生成"/>
                          <pic:cNvPicPr>
                            <a:picLocks noChangeAspect="1"/>
                          </pic:cNvPicPr>
                        </pic:nvPicPr>
                        <pic:blipFill>
                          <a:blip r:embed="rId37"/>
                          <a:stretch>
                            <a:fillRect/>
                          </a:stretch>
                        </pic:blipFill>
                        <pic:spPr>
                          <a:xfrm>
                            <a:off x="0" y="0"/>
                            <a:ext cx="2248373" cy="629097"/>
                          </a:xfrm>
                          <a:prstGeom prst="rect">
                            <a:avLst/>
                          </a:prstGeom>
                        </pic:spPr>
                      </pic:pic>
                    </a:graphicData>
                  </a:graphic>
                </wp:inline>
              </w:drawing>
            </w:r>
          </w:p>
          <w:p>
            <w:pPr>
              <w:adjustRightInd w:val="0"/>
              <w:snapToGrid w:val="0"/>
              <w:spacing w:line="360" w:lineRule="auto"/>
              <w:ind w:firstLine="420" w:firstLineChars="200"/>
              <w:rPr>
                <w:color w:val="auto"/>
                <w:szCs w:val="21"/>
              </w:rPr>
            </w:pPr>
            <w:r>
              <w:rPr>
                <w:color w:val="auto"/>
                <w:szCs w:val="21"/>
              </w:rPr>
              <w:drawing>
                <wp:anchor distT="0" distB="0" distL="114300" distR="114300" simplePos="0" relativeHeight="251663360" behindDoc="0" locked="0" layoutInCell="1" allowOverlap="1">
                  <wp:simplePos x="0" y="0"/>
                  <wp:positionH relativeFrom="column">
                    <wp:posOffset>168910</wp:posOffset>
                  </wp:positionH>
                  <wp:positionV relativeFrom="paragraph">
                    <wp:posOffset>493395</wp:posOffset>
                  </wp:positionV>
                  <wp:extent cx="414655" cy="304165"/>
                  <wp:effectExtent l="0" t="0" r="4445" b="635"/>
                  <wp:wrapNone/>
                  <wp:docPr id="2002423715" name="图片 1" descr="文本, 徽标&#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423715" name="图片 1" descr="文本, 徽标&#10;&#10;中度可信度描述已自动生成"/>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14967" cy="304309"/>
                          </a:xfrm>
                          <a:prstGeom prst="rect">
                            <a:avLst/>
                          </a:prstGeom>
                        </pic:spPr>
                      </pic:pic>
                    </a:graphicData>
                  </a:graphic>
                </wp:anchor>
              </w:drawing>
            </w:r>
            <w:r>
              <w:rPr>
                <w:color w:val="auto"/>
                <w:szCs w:val="21"/>
              </w:rPr>
              <w:t>式中：</w:t>
            </w:r>
            <w:r>
              <w:rPr>
                <w:rFonts w:hint="eastAsia"/>
                <w:color w:val="auto"/>
                <w:szCs w:val="21"/>
              </w:rPr>
              <w:t xml:space="preserve"> </w:t>
            </w:r>
            <w:r>
              <w:rPr>
                <w:color w:val="auto"/>
                <w:szCs w:val="21"/>
              </w:rPr>
              <w:t xml:space="preserve">     ——</w:t>
            </w:r>
            <w:r>
              <w:rPr>
                <w:rFonts w:hint="eastAsia"/>
                <w:color w:val="auto"/>
                <w:szCs w:val="21"/>
              </w:rPr>
              <w:t>靠近围护结构处室内</w:t>
            </w:r>
            <w:r>
              <w:rPr>
                <w:i/>
                <w:iCs/>
                <w:color w:val="auto"/>
                <w:szCs w:val="21"/>
              </w:rPr>
              <w:t>N</w:t>
            </w:r>
            <w:r>
              <w:rPr>
                <w:rFonts w:hint="eastAsia"/>
                <w:color w:val="auto"/>
                <w:szCs w:val="21"/>
              </w:rPr>
              <w:t>个声源</w:t>
            </w:r>
            <w:r>
              <w:rPr>
                <w:i/>
                <w:iCs/>
                <w:color w:val="auto"/>
                <w:szCs w:val="21"/>
              </w:rPr>
              <w:t>i</w:t>
            </w:r>
            <w:r>
              <w:rPr>
                <w:rFonts w:hint="eastAsia"/>
                <w:color w:val="auto"/>
                <w:szCs w:val="21"/>
              </w:rPr>
              <w:t>倍频带的叠加声压级</w:t>
            </w:r>
            <w:r>
              <w:rPr>
                <w:color w:val="auto"/>
                <w:szCs w:val="21"/>
              </w:rPr>
              <w:t>， dB；</w:t>
            </w:r>
          </w:p>
          <w:p>
            <w:pPr>
              <w:adjustRightInd w:val="0"/>
              <w:snapToGrid w:val="0"/>
              <w:spacing w:line="360" w:lineRule="auto"/>
              <w:ind w:firstLine="420" w:firstLineChars="200"/>
              <w:rPr>
                <w:color w:val="auto"/>
                <w:szCs w:val="21"/>
              </w:rPr>
            </w:pPr>
            <w:r>
              <w:rPr>
                <w:color w:val="auto"/>
                <w:szCs w:val="21"/>
              </w:rPr>
              <w:t xml:space="preserve">    ——</w:t>
            </w:r>
            <w:r>
              <w:rPr>
                <w:rFonts w:hint="eastAsia"/>
                <w:color w:val="auto"/>
                <w:szCs w:val="21"/>
              </w:rPr>
              <w:t>室内</w:t>
            </w:r>
            <w:r>
              <w:rPr>
                <w:i/>
                <w:iCs/>
                <w:color w:val="auto"/>
                <w:szCs w:val="21"/>
              </w:rPr>
              <w:t>j</w:t>
            </w:r>
            <w:r>
              <w:rPr>
                <w:rFonts w:hint="eastAsia"/>
                <w:color w:val="auto"/>
                <w:szCs w:val="21"/>
              </w:rPr>
              <w:t>声源</w:t>
            </w:r>
            <w:r>
              <w:rPr>
                <w:i/>
                <w:iCs/>
                <w:color w:val="auto"/>
                <w:szCs w:val="21"/>
              </w:rPr>
              <w:t>i</w:t>
            </w:r>
            <w:r>
              <w:rPr>
                <w:rFonts w:hint="eastAsia"/>
                <w:color w:val="auto"/>
                <w:szCs w:val="21"/>
              </w:rPr>
              <w:t>倍频带的声压级</w:t>
            </w:r>
            <w:r>
              <w:rPr>
                <w:color w:val="auto"/>
                <w:szCs w:val="21"/>
              </w:rPr>
              <w:t>，dB；</w:t>
            </w:r>
          </w:p>
          <w:p>
            <w:pPr>
              <w:adjustRightInd w:val="0"/>
              <w:snapToGrid w:val="0"/>
              <w:spacing w:line="360" w:lineRule="auto"/>
              <w:ind w:firstLine="420" w:firstLineChars="200"/>
              <w:rPr>
                <w:color w:val="auto"/>
                <w:szCs w:val="21"/>
              </w:rPr>
            </w:pPr>
            <w:r>
              <w:rPr>
                <w:color w:val="auto"/>
                <w:szCs w:val="21"/>
              </w:rPr>
              <w:t>N ——室内声源总数。</w:t>
            </w:r>
          </w:p>
          <w:p>
            <w:pPr>
              <w:adjustRightInd w:val="0"/>
              <w:snapToGrid w:val="0"/>
              <w:spacing w:line="360" w:lineRule="auto"/>
              <w:ind w:firstLine="420" w:firstLineChars="200"/>
              <w:rPr>
                <w:color w:val="auto"/>
                <w:szCs w:val="21"/>
              </w:rPr>
            </w:pPr>
            <w:r>
              <w:rPr>
                <w:rFonts w:hint="eastAsia" w:ascii="宋体" w:hAnsi="宋体" w:cs="宋体"/>
                <w:color w:val="auto"/>
                <w:szCs w:val="21"/>
              </w:rPr>
              <w:t>③</w:t>
            </w:r>
            <w:r>
              <w:rPr>
                <w:color w:val="auto"/>
                <w:szCs w:val="21"/>
              </w:rPr>
              <w:t>在室内近似为扩散声场时，计算出靠近室外围护结构处的声压级：</w:t>
            </w:r>
          </w:p>
          <w:p>
            <w:pPr>
              <w:adjustRightInd w:val="0"/>
              <w:snapToGrid w:val="0"/>
              <w:spacing w:line="360" w:lineRule="auto"/>
              <w:ind w:firstLine="420" w:firstLineChars="200"/>
              <w:jc w:val="center"/>
              <w:rPr>
                <w:color w:val="auto"/>
                <w:szCs w:val="21"/>
              </w:rPr>
            </w:pPr>
            <w:r>
              <w:rPr>
                <w:color w:val="auto"/>
                <w:szCs w:val="21"/>
              </w:rPr>
              <w:drawing>
                <wp:anchor distT="0" distB="0" distL="114300" distR="114300" simplePos="0" relativeHeight="251664384" behindDoc="0" locked="0" layoutInCell="1" allowOverlap="1">
                  <wp:simplePos x="0" y="0"/>
                  <wp:positionH relativeFrom="margin">
                    <wp:posOffset>702310</wp:posOffset>
                  </wp:positionH>
                  <wp:positionV relativeFrom="paragraph">
                    <wp:posOffset>367665</wp:posOffset>
                  </wp:positionV>
                  <wp:extent cx="578485" cy="254635"/>
                  <wp:effectExtent l="0" t="0" r="12065" b="12065"/>
                  <wp:wrapNone/>
                  <wp:docPr id="1234262596"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262596" name="图片 1" descr="文本&#10;&#10;描述已自动生成"/>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8190" cy="254446"/>
                          </a:xfrm>
                          <a:prstGeom prst="rect">
                            <a:avLst/>
                          </a:prstGeom>
                        </pic:spPr>
                      </pic:pic>
                    </a:graphicData>
                  </a:graphic>
                </wp:anchor>
              </w:drawing>
            </w:r>
            <w:r>
              <w:rPr>
                <w:color w:val="auto"/>
                <w:szCs w:val="21"/>
              </w:rPr>
              <w:drawing>
                <wp:inline distT="0" distB="0" distL="0" distR="0">
                  <wp:extent cx="2287270" cy="334010"/>
                  <wp:effectExtent l="0" t="0" r="17780" b="8890"/>
                  <wp:docPr id="789209761" name="图片 1" descr="文本&#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209761" name="图片 1" descr="文本&#10;&#10;低可信度描述已自动生成"/>
                          <pic:cNvPicPr>
                            <a:picLocks noChangeAspect="1"/>
                          </pic:cNvPicPr>
                        </pic:nvPicPr>
                        <pic:blipFill>
                          <a:blip r:embed="rId40"/>
                          <a:stretch>
                            <a:fillRect/>
                          </a:stretch>
                        </pic:blipFill>
                        <pic:spPr>
                          <a:xfrm>
                            <a:off x="0" y="0"/>
                            <a:ext cx="2321945" cy="339511"/>
                          </a:xfrm>
                          <a:prstGeom prst="rect">
                            <a:avLst/>
                          </a:prstGeom>
                        </pic:spPr>
                      </pic:pic>
                    </a:graphicData>
                  </a:graphic>
                </wp:inline>
              </w:drawing>
            </w:r>
          </w:p>
          <w:p>
            <w:pPr>
              <w:adjustRightInd w:val="0"/>
              <w:snapToGrid w:val="0"/>
              <w:spacing w:line="360" w:lineRule="auto"/>
              <w:ind w:firstLine="420" w:firstLineChars="200"/>
              <w:rPr>
                <w:color w:val="auto"/>
                <w:szCs w:val="21"/>
              </w:rPr>
            </w:pPr>
            <w:r>
              <w:rPr>
                <w:color w:val="auto"/>
                <w:szCs w:val="21"/>
              </w:rPr>
              <w:t>式中：</w:t>
            </w:r>
            <w:r>
              <w:rPr>
                <w:rFonts w:hint="eastAsia"/>
                <w:color w:val="auto"/>
                <w:szCs w:val="21"/>
              </w:rPr>
              <w:t xml:space="preserve"> </w:t>
            </w:r>
            <w:r>
              <w:rPr>
                <w:color w:val="auto"/>
                <w:szCs w:val="21"/>
              </w:rPr>
              <w:t xml:space="preserve">      ——</w:t>
            </w:r>
            <w:r>
              <w:rPr>
                <w:rFonts w:hint="eastAsia"/>
                <w:color w:val="auto"/>
                <w:szCs w:val="21"/>
              </w:rPr>
              <w:t>靠近围护结构处室外</w:t>
            </w:r>
            <w:r>
              <w:rPr>
                <w:i/>
                <w:iCs/>
                <w:color w:val="auto"/>
                <w:szCs w:val="21"/>
              </w:rPr>
              <w:t>N</w:t>
            </w:r>
            <w:r>
              <w:rPr>
                <w:rFonts w:hint="eastAsia"/>
                <w:color w:val="auto"/>
                <w:szCs w:val="21"/>
              </w:rPr>
              <w:t>个声源</w:t>
            </w:r>
            <w:r>
              <w:rPr>
                <w:i/>
                <w:iCs/>
                <w:color w:val="auto"/>
                <w:szCs w:val="21"/>
              </w:rPr>
              <w:t>i</w:t>
            </w:r>
            <w:r>
              <w:rPr>
                <w:rFonts w:hint="eastAsia"/>
                <w:color w:val="auto"/>
                <w:szCs w:val="21"/>
              </w:rPr>
              <w:t>倍频带的叠加声压级</w:t>
            </w:r>
            <w:r>
              <w:rPr>
                <w:color w:val="auto"/>
                <w:szCs w:val="21"/>
              </w:rPr>
              <w:t>， dB；</w:t>
            </w:r>
          </w:p>
          <w:p>
            <w:pPr>
              <w:adjustRightInd w:val="0"/>
              <w:snapToGrid w:val="0"/>
              <w:spacing w:line="360" w:lineRule="auto"/>
              <w:ind w:firstLine="420" w:firstLineChars="200"/>
              <w:rPr>
                <w:color w:val="auto"/>
                <w:szCs w:val="21"/>
              </w:rPr>
            </w:pPr>
            <w:r>
              <w:rPr>
                <w:color w:val="auto"/>
                <w:szCs w:val="21"/>
              </w:rPr>
              <w:drawing>
                <wp:anchor distT="0" distB="0" distL="114300" distR="114300" simplePos="0" relativeHeight="251665408" behindDoc="0" locked="0" layoutInCell="1" allowOverlap="1">
                  <wp:simplePos x="0" y="0"/>
                  <wp:positionH relativeFrom="margin">
                    <wp:posOffset>43180</wp:posOffset>
                  </wp:positionH>
                  <wp:positionV relativeFrom="paragraph">
                    <wp:posOffset>-46990</wp:posOffset>
                  </wp:positionV>
                  <wp:extent cx="584835" cy="270510"/>
                  <wp:effectExtent l="0" t="0" r="5715" b="15240"/>
                  <wp:wrapNone/>
                  <wp:docPr id="1668881330" name="图片 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881330" name="图片 1" descr="图片包含 文本&#10;&#10;描述已自动生成"/>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89436" cy="272689"/>
                          </a:xfrm>
                          <a:prstGeom prst="rect">
                            <a:avLst/>
                          </a:prstGeom>
                        </pic:spPr>
                      </pic:pic>
                    </a:graphicData>
                  </a:graphic>
                </wp:anchor>
              </w:drawing>
            </w:r>
            <w:r>
              <w:rPr>
                <w:color w:val="auto"/>
                <w:szCs w:val="21"/>
              </w:rPr>
              <w:t xml:space="preserve">    ——</w:t>
            </w:r>
            <w:r>
              <w:rPr>
                <w:rFonts w:hint="eastAsia"/>
                <w:color w:val="auto"/>
                <w:szCs w:val="21"/>
              </w:rPr>
              <w:t>靠近围护结构处室内</w:t>
            </w:r>
            <w:r>
              <w:rPr>
                <w:i/>
                <w:iCs/>
                <w:color w:val="auto"/>
                <w:szCs w:val="21"/>
              </w:rPr>
              <w:t>N</w:t>
            </w:r>
            <w:r>
              <w:rPr>
                <w:rFonts w:hint="eastAsia"/>
                <w:color w:val="auto"/>
                <w:szCs w:val="21"/>
              </w:rPr>
              <w:t>个声源</w:t>
            </w:r>
            <w:r>
              <w:rPr>
                <w:i/>
                <w:iCs/>
                <w:color w:val="auto"/>
                <w:szCs w:val="21"/>
              </w:rPr>
              <w:t>i</w:t>
            </w:r>
            <w:r>
              <w:rPr>
                <w:rFonts w:hint="eastAsia"/>
                <w:color w:val="auto"/>
                <w:szCs w:val="21"/>
              </w:rPr>
              <w:t>倍频带的叠加声压级</w:t>
            </w:r>
            <w:r>
              <w:rPr>
                <w:color w:val="auto"/>
                <w:szCs w:val="21"/>
              </w:rPr>
              <w:t>，dB；</w:t>
            </w:r>
          </w:p>
          <w:p>
            <w:pPr>
              <w:adjustRightInd w:val="0"/>
              <w:snapToGrid w:val="0"/>
              <w:spacing w:line="360" w:lineRule="auto"/>
              <w:ind w:firstLine="980" w:firstLineChars="467"/>
              <w:rPr>
                <w:color w:val="auto"/>
                <w:szCs w:val="21"/>
              </w:rPr>
            </w:pPr>
            <w:r>
              <w:rPr>
                <w:color w:val="auto"/>
                <w:szCs w:val="21"/>
              </w:rPr>
              <w:drawing>
                <wp:anchor distT="0" distB="0" distL="114300" distR="114300" simplePos="0" relativeHeight="251666432" behindDoc="0" locked="0" layoutInCell="1" allowOverlap="1">
                  <wp:simplePos x="0" y="0"/>
                  <wp:positionH relativeFrom="column">
                    <wp:posOffset>184785</wp:posOffset>
                  </wp:positionH>
                  <wp:positionV relativeFrom="paragraph">
                    <wp:posOffset>5715</wp:posOffset>
                  </wp:positionV>
                  <wp:extent cx="316865" cy="252095"/>
                  <wp:effectExtent l="0" t="0" r="6985" b="14605"/>
                  <wp:wrapNone/>
                  <wp:docPr id="620606577" name="图片 1" descr="图片包含 钟表, 桌子, 标志,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606577" name="图片 1" descr="图片包含 钟表, 桌子, 标志, 游戏机&#10;&#10;描述已自动生成"/>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17122" cy="252256"/>
                          </a:xfrm>
                          <a:prstGeom prst="rect">
                            <a:avLst/>
                          </a:prstGeom>
                        </pic:spPr>
                      </pic:pic>
                    </a:graphicData>
                  </a:graphic>
                </wp:anchor>
              </w:drawing>
            </w:r>
            <w:r>
              <w:rPr>
                <w:color w:val="auto"/>
                <w:szCs w:val="21"/>
              </w:rPr>
              <w:t>——</w:t>
            </w:r>
            <w:r>
              <w:rPr>
                <w:rFonts w:hint="eastAsia"/>
                <w:color w:val="auto"/>
                <w:szCs w:val="21"/>
              </w:rPr>
              <w:t>围护结构</w:t>
            </w:r>
            <w:r>
              <w:rPr>
                <w:i/>
                <w:iCs/>
                <w:color w:val="auto"/>
                <w:szCs w:val="21"/>
              </w:rPr>
              <w:t>i</w:t>
            </w:r>
            <w:r>
              <w:rPr>
                <w:rFonts w:hint="eastAsia"/>
                <w:color w:val="auto"/>
                <w:szCs w:val="21"/>
              </w:rPr>
              <w:t>倍频带的隔声量</w:t>
            </w:r>
            <w:r>
              <w:rPr>
                <w:color w:val="auto"/>
                <w:szCs w:val="21"/>
              </w:rPr>
              <w:t>，dB</w:t>
            </w:r>
            <w:r>
              <w:rPr>
                <w:rFonts w:hint="eastAsia"/>
                <w:color w:val="auto"/>
                <w:szCs w:val="21"/>
              </w:rPr>
              <w:t>，根据前面分析按照25</w:t>
            </w:r>
            <w:r>
              <w:rPr>
                <w:color w:val="auto"/>
                <w:szCs w:val="21"/>
              </w:rPr>
              <w:t xml:space="preserve"> dB</w:t>
            </w:r>
            <w:r>
              <w:rPr>
                <w:rFonts w:hint="eastAsia"/>
                <w:color w:val="auto"/>
                <w:szCs w:val="21"/>
              </w:rPr>
              <w:t>计</w:t>
            </w:r>
            <w:r>
              <w:rPr>
                <w:color w:val="auto"/>
                <w:szCs w:val="21"/>
              </w:rPr>
              <w:t>。</w:t>
            </w:r>
          </w:p>
          <w:p>
            <w:pPr>
              <w:adjustRightInd w:val="0"/>
              <w:snapToGrid w:val="0"/>
              <w:spacing w:line="360" w:lineRule="auto"/>
              <w:ind w:firstLine="420" w:firstLineChars="200"/>
              <w:rPr>
                <w:color w:val="auto"/>
                <w:szCs w:val="21"/>
              </w:rPr>
            </w:pPr>
            <w:r>
              <w:rPr>
                <w:rFonts w:hint="eastAsia" w:ascii="宋体" w:hAnsi="宋体" w:cs="宋体"/>
                <w:color w:val="auto"/>
                <w:szCs w:val="21"/>
              </w:rPr>
              <w:t>④</w:t>
            </w:r>
            <w:r>
              <w:rPr>
                <w:color w:val="auto"/>
                <w:szCs w:val="21"/>
              </w:rPr>
              <w:t>将室外声源的声压级和透过面积换算成等效的室外声源，计算出中心位置位于透声面积(S)处的等效声源的倍频带声功率级。</w:t>
            </w:r>
          </w:p>
          <w:p>
            <w:pPr>
              <w:adjustRightInd w:val="0"/>
              <w:snapToGrid w:val="0"/>
              <w:spacing w:line="360" w:lineRule="auto"/>
              <w:ind w:firstLine="420" w:firstLineChars="200"/>
              <w:jc w:val="center"/>
              <w:rPr>
                <w:color w:val="auto"/>
                <w:szCs w:val="21"/>
              </w:rPr>
            </w:pPr>
            <w:r>
              <w:rPr>
                <w:color w:val="auto"/>
                <w:szCs w:val="21"/>
              </w:rPr>
              <w:drawing>
                <wp:anchor distT="0" distB="0" distL="114300" distR="114300" simplePos="0" relativeHeight="251667456" behindDoc="0" locked="0" layoutInCell="1" allowOverlap="1">
                  <wp:simplePos x="0" y="0"/>
                  <wp:positionH relativeFrom="column">
                    <wp:posOffset>760095</wp:posOffset>
                  </wp:positionH>
                  <wp:positionV relativeFrom="paragraph">
                    <wp:posOffset>305435</wp:posOffset>
                  </wp:positionV>
                  <wp:extent cx="326390" cy="326390"/>
                  <wp:effectExtent l="0" t="0" r="16510" b="16510"/>
                  <wp:wrapNone/>
                  <wp:docPr id="1507931404" name="图片 1" descr="图片包含 游戏机, 桌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31404" name="图片 1" descr="图片包含 游戏机, 桌子&#10;&#10;描述已自动生成"/>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9755" cy="329755"/>
                          </a:xfrm>
                          <a:prstGeom prst="rect">
                            <a:avLst/>
                          </a:prstGeom>
                        </pic:spPr>
                      </pic:pic>
                    </a:graphicData>
                  </a:graphic>
                </wp:anchor>
              </w:drawing>
            </w:r>
            <w:r>
              <w:rPr>
                <w:color w:val="auto"/>
                <w:szCs w:val="21"/>
              </w:rPr>
              <w:drawing>
                <wp:inline distT="0" distB="0" distL="0" distR="0">
                  <wp:extent cx="1858010" cy="307340"/>
                  <wp:effectExtent l="0" t="0" r="8890" b="16510"/>
                  <wp:docPr id="565301069" name="图片 1" descr="卡通人物&#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301069" name="图片 1" descr="卡通人物&#10;&#10;低可信度描述已自动生成"/>
                          <pic:cNvPicPr>
                            <a:picLocks noChangeAspect="1"/>
                          </pic:cNvPicPr>
                        </pic:nvPicPr>
                        <pic:blipFill>
                          <a:blip r:embed="rId44"/>
                          <a:stretch>
                            <a:fillRect/>
                          </a:stretch>
                        </pic:blipFill>
                        <pic:spPr>
                          <a:xfrm>
                            <a:off x="0" y="0"/>
                            <a:ext cx="1961017" cy="324613"/>
                          </a:xfrm>
                          <a:prstGeom prst="rect">
                            <a:avLst/>
                          </a:prstGeom>
                        </pic:spPr>
                      </pic:pic>
                    </a:graphicData>
                  </a:graphic>
                </wp:inline>
              </w:drawing>
            </w:r>
          </w:p>
          <w:p>
            <w:pPr>
              <w:adjustRightInd w:val="0"/>
              <w:snapToGrid w:val="0"/>
              <w:spacing w:line="360" w:lineRule="auto"/>
              <w:ind w:firstLine="420" w:firstLineChars="200"/>
              <w:rPr>
                <w:color w:val="auto"/>
                <w:szCs w:val="21"/>
              </w:rPr>
            </w:pPr>
            <w:r>
              <w:rPr>
                <w:color w:val="auto"/>
                <w:szCs w:val="21"/>
              </w:rPr>
              <w:drawing>
                <wp:anchor distT="0" distB="0" distL="114300" distR="114300" simplePos="0" relativeHeight="251668480" behindDoc="0" locked="0" layoutInCell="1" allowOverlap="1">
                  <wp:simplePos x="0" y="0"/>
                  <wp:positionH relativeFrom="column">
                    <wp:posOffset>141605</wp:posOffset>
                  </wp:positionH>
                  <wp:positionV relativeFrom="paragraph">
                    <wp:posOffset>489585</wp:posOffset>
                  </wp:positionV>
                  <wp:extent cx="609600" cy="328295"/>
                  <wp:effectExtent l="0" t="0" r="0" b="14605"/>
                  <wp:wrapNone/>
                  <wp:docPr id="1604103267" name="图片 1"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103267" name="图片 1" descr="卡通人物&#10;&#10;中度可信度描述已自动生成"/>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4375" cy="331063"/>
                          </a:xfrm>
                          <a:prstGeom prst="rect">
                            <a:avLst/>
                          </a:prstGeom>
                        </pic:spPr>
                      </pic:pic>
                    </a:graphicData>
                  </a:graphic>
                </wp:anchor>
              </w:drawing>
            </w:r>
            <w:r>
              <w:rPr>
                <w:color w:val="auto"/>
                <w:szCs w:val="21"/>
              </w:rPr>
              <w:t>式中：    ——中心位置位于透声面积(S)处的等效声源的倍频带声功率级，dB；</w:t>
            </w:r>
          </w:p>
          <w:p>
            <w:pPr>
              <w:adjustRightInd w:val="0"/>
              <w:snapToGrid w:val="0"/>
              <w:spacing w:line="360" w:lineRule="auto"/>
              <w:ind w:firstLine="1050" w:firstLineChars="500"/>
              <w:rPr>
                <w:color w:val="auto"/>
                <w:szCs w:val="21"/>
              </w:rPr>
            </w:pPr>
            <w:r>
              <w:rPr>
                <w:color w:val="auto"/>
                <w:szCs w:val="21"/>
              </w:rPr>
              <w:t>——靠近围护结构处室外声源的声压级，dB；</w:t>
            </w:r>
          </w:p>
          <w:p>
            <w:pPr>
              <w:adjustRightInd w:val="0"/>
              <w:snapToGrid w:val="0"/>
              <w:spacing w:line="360" w:lineRule="auto"/>
              <w:ind w:firstLine="420" w:firstLineChars="200"/>
              <w:rPr>
                <w:color w:val="auto"/>
                <w:szCs w:val="21"/>
              </w:rPr>
            </w:pPr>
            <w:r>
              <w:rPr>
                <w:color w:val="auto"/>
                <w:szCs w:val="21"/>
              </w:rPr>
              <w:t>S——透声面积，m</w:t>
            </w:r>
            <w:r>
              <w:rPr>
                <w:color w:val="auto"/>
                <w:szCs w:val="21"/>
                <w:vertAlign w:val="superscript"/>
              </w:rPr>
              <w:t>2</w:t>
            </w:r>
            <w:r>
              <w:rPr>
                <w:rFonts w:hint="eastAsia"/>
                <w:color w:val="auto"/>
                <w:szCs w:val="21"/>
              </w:rPr>
              <w:t>，为简化计算，透声面积按照墙体面积计</w:t>
            </w:r>
            <w:r>
              <w:rPr>
                <w:color w:val="auto"/>
                <w:szCs w:val="21"/>
              </w:rPr>
              <w:t>。</w:t>
            </w:r>
          </w:p>
          <w:p>
            <w:pPr>
              <w:adjustRightInd w:val="0"/>
              <w:snapToGrid w:val="0"/>
              <w:spacing w:line="360" w:lineRule="auto"/>
              <w:ind w:firstLine="420" w:firstLineChars="200"/>
              <w:rPr>
                <w:color w:val="auto"/>
                <w:szCs w:val="21"/>
              </w:rPr>
            </w:pPr>
            <w:r>
              <w:rPr>
                <w:rFonts w:hint="eastAsia" w:ascii="宋体" w:hAnsi="宋体"/>
                <w:color w:val="auto"/>
                <w:szCs w:val="21"/>
              </w:rPr>
              <w:t>⑤</w:t>
            </w:r>
            <w:r>
              <w:rPr>
                <w:rFonts w:hint="eastAsia"/>
                <w:color w:val="auto"/>
                <w:szCs w:val="21"/>
              </w:rPr>
              <w:t>然后按室外声源预测方法计算预测点处的</w:t>
            </w:r>
            <w:r>
              <w:rPr>
                <w:color w:val="auto"/>
                <w:szCs w:val="21"/>
              </w:rPr>
              <w:t>A</w:t>
            </w:r>
            <w:r>
              <w:rPr>
                <w:rFonts w:hint="eastAsia"/>
                <w:color w:val="auto"/>
                <w:szCs w:val="21"/>
              </w:rPr>
              <w:t>声级。本项目声源处于半自由声场，则：</w:t>
            </w:r>
          </w:p>
          <w:p>
            <w:pPr>
              <w:adjustRightInd w:val="0"/>
              <w:snapToGrid w:val="0"/>
              <w:spacing w:line="360" w:lineRule="auto"/>
              <w:ind w:firstLine="420" w:firstLineChars="200"/>
              <w:jc w:val="center"/>
              <w:rPr>
                <w:color w:val="auto"/>
                <w:szCs w:val="21"/>
              </w:rPr>
            </w:pPr>
            <w:r>
              <w:rPr>
                <w:color w:val="auto"/>
                <w:szCs w:val="21"/>
              </w:rPr>
              <w:drawing>
                <wp:inline distT="0" distB="0" distL="0" distR="0">
                  <wp:extent cx="1931670" cy="356235"/>
                  <wp:effectExtent l="0" t="0" r="11430" b="5715"/>
                  <wp:docPr id="272501793" name="图片 1" descr="钟表的特写&#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501793" name="图片 1" descr="钟表的特写&#10;&#10;低可信度描述已自动生成"/>
                          <pic:cNvPicPr>
                            <a:picLocks noChangeAspect="1"/>
                          </pic:cNvPicPr>
                        </pic:nvPicPr>
                        <pic:blipFill>
                          <a:blip r:embed="rId46"/>
                          <a:stretch>
                            <a:fillRect/>
                          </a:stretch>
                        </pic:blipFill>
                        <pic:spPr>
                          <a:xfrm>
                            <a:off x="0" y="0"/>
                            <a:ext cx="1990847" cy="367315"/>
                          </a:xfrm>
                          <a:prstGeom prst="rect">
                            <a:avLst/>
                          </a:prstGeom>
                        </pic:spPr>
                      </pic:pic>
                    </a:graphicData>
                  </a:graphic>
                </wp:inline>
              </w:drawing>
            </w:r>
            <w:r>
              <w:rPr>
                <w:rFonts w:hint="eastAsia"/>
                <w:color w:val="auto"/>
                <w:szCs w:val="21"/>
              </w:rPr>
              <w:t></w:t>
            </w:r>
            <w:r>
              <w:rPr>
                <w:color w:val="auto"/>
                <w:szCs w:val="21"/>
              </w:rPr>
              <w:t xml:space="preserve"> </w:t>
            </w:r>
            <w:r>
              <w:rPr>
                <w:rFonts w:hint="eastAsia"/>
                <w:color w:val="auto"/>
                <w:szCs w:val="21"/>
              </w:rPr>
              <w:t></w:t>
            </w:r>
            <w:r>
              <w:rPr>
                <w:color w:val="auto"/>
                <w:szCs w:val="21"/>
              </w:rPr>
              <w:t xml:space="preserve"> </w:t>
            </w:r>
            <w:r>
              <w:rPr>
                <w:rFonts w:hint="eastAsia"/>
                <w:color w:val="auto"/>
                <w:szCs w:val="21"/>
              </w:rPr>
              <w:t></w:t>
            </w:r>
            <w:r>
              <w:rPr>
                <w:color w:val="auto"/>
                <w:szCs w:val="21"/>
              </w:rPr>
              <w:t xml:space="preserve"> </w:t>
            </w:r>
            <w:r>
              <w:rPr>
                <w:rFonts w:hint="eastAsia"/>
                <w:color w:val="auto"/>
                <w:szCs w:val="21"/>
              </w:rPr>
              <w:t></w:t>
            </w:r>
          </w:p>
          <w:p>
            <w:pPr>
              <w:adjustRightInd w:val="0"/>
              <w:snapToGrid w:val="0"/>
              <w:spacing w:line="360" w:lineRule="auto"/>
              <w:ind w:firstLine="420" w:firstLineChars="200"/>
              <w:rPr>
                <w:color w:val="auto"/>
                <w:szCs w:val="21"/>
              </w:rPr>
            </w:pPr>
            <w:r>
              <w:rPr>
                <w:rFonts w:hint="eastAsia"/>
                <w:color w:val="auto"/>
                <w:szCs w:val="21"/>
              </w:rPr>
              <w:t>式中：</w:t>
            </w:r>
            <w:r>
              <w:rPr>
                <w:i/>
                <w:iCs/>
                <w:color w:val="auto"/>
                <w:szCs w:val="21"/>
              </w:rPr>
              <w:t>L</w:t>
            </w:r>
            <w:r>
              <w:rPr>
                <w:i/>
                <w:iCs/>
                <w:color w:val="auto"/>
                <w:szCs w:val="21"/>
                <w:vertAlign w:val="subscript"/>
              </w:rPr>
              <w:t>p</w:t>
            </w:r>
            <w:r>
              <w:rPr>
                <w:color w:val="auto"/>
                <w:szCs w:val="21"/>
              </w:rPr>
              <w:t>(</w:t>
            </w:r>
            <w:r>
              <w:rPr>
                <w:i/>
                <w:iCs/>
                <w:color w:val="auto"/>
                <w:szCs w:val="21"/>
              </w:rPr>
              <w:t>r</w:t>
            </w:r>
            <w:r>
              <w:rPr>
                <w:color w:val="auto"/>
                <w:szCs w:val="21"/>
              </w:rPr>
              <w:t>) ——</w:t>
            </w:r>
            <w:r>
              <w:rPr>
                <w:rFonts w:hint="eastAsia"/>
                <w:color w:val="auto"/>
                <w:szCs w:val="21"/>
              </w:rPr>
              <w:t>预测点处声压级，</w:t>
            </w:r>
            <w:r>
              <w:rPr>
                <w:color w:val="auto"/>
                <w:szCs w:val="21"/>
              </w:rPr>
              <w:t>dB</w:t>
            </w:r>
            <w:r>
              <w:rPr>
                <w:rFonts w:hint="eastAsia"/>
                <w:color w:val="auto"/>
                <w:szCs w:val="21"/>
              </w:rPr>
              <w:t>；</w:t>
            </w:r>
            <w:r>
              <w:rPr>
                <w:color w:val="auto"/>
                <w:szCs w:val="21"/>
              </w:rPr>
              <w:t xml:space="preserve"> </w:t>
            </w:r>
          </w:p>
          <w:p>
            <w:pPr>
              <w:adjustRightInd w:val="0"/>
              <w:snapToGrid w:val="0"/>
              <w:spacing w:line="360" w:lineRule="auto"/>
              <w:ind w:firstLine="420" w:firstLineChars="200"/>
              <w:rPr>
                <w:color w:val="auto"/>
                <w:szCs w:val="21"/>
              </w:rPr>
            </w:pPr>
            <w:r>
              <w:rPr>
                <w:i/>
                <w:iCs/>
                <w:color w:val="auto"/>
                <w:szCs w:val="21"/>
              </w:rPr>
              <w:t>L</w:t>
            </w:r>
            <w:r>
              <w:rPr>
                <w:i/>
                <w:iCs/>
                <w:color w:val="auto"/>
                <w:szCs w:val="21"/>
                <w:vertAlign w:val="subscript"/>
              </w:rPr>
              <w:t>w</w:t>
            </w:r>
            <w:r>
              <w:rPr>
                <w:i/>
                <w:iCs/>
                <w:color w:val="auto"/>
                <w:szCs w:val="21"/>
              </w:rPr>
              <w:t xml:space="preserve"> </w:t>
            </w:r>
            <w:r>
              <w:rPr>
                <w:color w:val="auto"/>
                <w:szCs w:val="21"/>
              </w:rPr>
              <w:t>——</w:t>
            </w:r>
            <w:r>
              <w:rPr>
                <w:rFonts w:hint="eastAsia"/>
                <w:color w:val="auto"/>
                <w:szCs w:val="21"/>
              </w:rPr>
              <w:t>由点声源产生的倍频带声功率级，</w:t>
            </w:r>
            <w:r>
              <w:rPr>
                <w:color w:val="auto"/>
                <w:szCs w:val="21"/>
              </w:rPr>
              <w:t>dB</w:t>
            </w:r>
            <w:r>
              <w:rPr>
                <w:rFonts w:hint="eastAsia"/>
                <w:color w:val="auto"/>
                <w:szCs w:val="21"/>
              </w:rPr>
              <w:t>；</w:t>
            </w:r>
            <w:r>
              <w:rPr>
                <w:color w:val="auto"/>
                <w:szCs w:val="21"/>
              </w:rPr>
              <w:t xml:space="preserve"> </w:t>
            </w:r>
          </w:p>
          <w:p>
            <w:pPr>
              <w:adjustRightInd w:val="0"/>
              <w:snapToGrid w:val="0"/>
              <w:spacing w:line="360" w:lineRule="auto"/>
              <w:ind w:firstLine="420" w:firstLineChars="200"/>
              <w:rPr>
                <w:color w:val="auto"/>
                <w:szCs w:val="21"/>
              </w:rPr>
            </w:pPr>
            <w:r>
              <w:rPr>
                <w:i/>
                <w:iCs/>
                <w:color w:val="auto"/>
                <w:szCs w:val="21"/>
              </w:rPr>
              <w:t>r</w:t>
            </w:r>
            <w:r>
              <w:rPr>
                <w:color w:val="auto"/>
                <w:szCs w:val="21"/>
              </w:rPr>
              <w:t>——</w:t>
            </w:r>
            <w:r>
              <w:rPr>
                <w:rFonts w:hint="eastAsia"/>
                <w:color w:val="auto"/>
                <w:szCs w:val="21"/>
              </w:rPr>
              <w:t>预测点距声源的距离。</w:t>
            </w:r>
          </w:p>
          <w:p>
            <w:pPr>
              <w:adjustRightInd w:val="0"/>
              <w:snapToGrid w:val="0"/>
              <w:spacing w:line="360" w:lineRule="auto"/>
              <w:ind w:firstLine="420" w:firstLineChars="200"/>
              <w:rPr>
                <w:color w:val="auto"/>
                <w:szCs w:val="21"/>
              </w:rPr>
            </w:pPr>
            <w:r>
              <w:rPr>
                <w:rFonts w:hint="eastAsia" w:ascii="宋体" w:hAnsi="宋体"/>
                <w:color w:val="auto"/>
                <w:szCs w:val="21"/>
              </w:rPr>
              <w:t>⑥</w:t>
            </w:r>
            <w:r>
              <w:rPr>
                <w:rFonts w:hint="eastAsia"/>
                <w:color w:val="auto"/>
                <w:szCs w:val="21"/>
              </w:rPr>
              <w:t>预测点的贡献值和背景值按能量叠加方法计算得到的声级。噪声预测值（</w:t>
            </w:r>
            <w:r>
              <w:rPr>
                <w:i/>
                <w:iCs/>
                <w:color w:val="auto"/>
                <w:szCs w:val="21"/>
              </w:rPr>
              <w:t>L</w:t>
            </w:r>
            <w:r>
              <w:rPr>
                <w:color w:val="auto"/>
                <w:szCs w:val="21"/>
              </w:rPr>
              <w:t>eq</w:t>
            </w:r>
            <w:r>
              <w:rPr>
                <w:i/>
                <w:iCs/>
                <w:color w:val="auto"/>
                <w:szCs w:val="21"/>
              </w:rPr>
              <w:t xml:space="preserve"> </w:t>
            </w:r>
            <w:r>
              <w:rPr>
                <w:rFonts w:hint="eastAsia"/>
                <w:color w:val="auto"/>
                <w:szCs w:val="21"/>
              </w:rPr>
              <w:t>）计算公式为：</w:t>
            </w:r>
          </w:p>
          <w:p>
            <w:pPr>
              <w:adjustRightInd w:val="0"/>
              <w:snapToGrid w:val="0"/>
              <w:spacing w:line="360" w:lineRule="auto"/>
              <w:ind w:firstLine="420" w:firstLineChars="200"/>
              <w:jc w:val="center"/>
              <w:rPr>
                <w:color w:val="auto"/>
                <w:szCs w:val="21"/>
              </w:rPr>
            </w:pPr>
            <w:r>
              <w:rPr>
                <w:color w:val="auto"/>
                <w:szCs w:val="21"/>
              </w:rPr>
              <w:drawing>
                <wp:inline distT="0" distB="0" distL="0" distR="0">
                  <wp:extent cx="2499995" cy="524510"/>
                  <wp:effectExtent l="0" t="0" r="14605" b="8890"/>
                  <wp:docPr id="1283003261" name="图片 1"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003261" name="图片 1" descr="文本&#10;&#10;中度可信度描述已自动生成"/>
                          <pic:cNvPicPr>
                            <a:picLocks noChangeAspect="1"/>
                          </pic:cNvPicPr>
                        </pic:nvPicPr>
                        <pic:blipFill>
                          <a:blip r:embed="rId47"/>
                          <a:stretch>
                            <a:fillRect/>
                          </a:stretch>
                        </pic:blipFill>
                        <pic:spPr>
                          <a:xfrm>
                            <a:off x="0" y="0"/>
                            <a:ext cx="2513938" cy="527515"/>
                          </a:xfrm>
                          <a:prstGeom prst="rect">
                            <a:avLst/>
                          </a:prstGeom>
                        </pic:spPr>
                      </pic:pic>
                    </a:graphicData>
                  </a:graphic>
                </wp:inline>
              </w:drawing>
            </w:r>
          </w:p>
          <w:p>
            <w:pPr>
              <w:adjustRightInd w:val="0"/>
              <w:snapToGrid w:val="0"/>
              <w:spacing w:line="360" w:lineRule="auto"/>
              <w:ind w:firstLine="420" w:firstLineChars="200"/>
              <w:rPr>
                <w:color w:val="auto"/>
                <w:szCs w:val="21"/>
              </w:rPr>
            </w:pPr>
            <w:r>
              <w:rPr>
                <w:rFonts w:hint="eastAsia"/>
                <w:color w:val="auto"/>
                <w:szCs w:val="21"/>
              </w:rPr>
              <w:t>式中：</w:t>
            </w:r>
            <w:r>
              <w:rPr>
                <w:color w:val="auto"/>
                <w:szCs w:val="21"/>
              </w:rPr>
              <w:t xml:space="preserve"> </w:t>
            </w:r>
            <w:r>
              <w:rPr>
                <w:i/>
                <w:iCs/>
                <w:color w:val="auto"/>
                <w:szCs w:val="21"/>
              </w:rPr>
              <w:t>L</w:t>
            </w:r>
            <w:r>
              <w:rPr>
                <w:color w:val="auto"/>
                <w:szCs w:val="21"/>
              </w:rPr>
              <w:t>eq</w:t>
            </w:r>
            <w:r>
              <w:rPr>
                <w:i/>
                <w:iCs/>
                <w:color w:val="auto"/>
                <w:szCs w:val="21"/>
              </w:rPr>
              <w:t xml:space="preserve"> </w:t>
            </w:r>
            <w:r>
              <w:rPr>
                <w:color w:val="auto"/>
                <w:szCs w:val="21"/>
              </w:rPr>
              <w:t>——</w:t>
            </w:r>
            <w:r>
              <w:rPr>
                <w:rFonts w:hint="eastAsia"/>
                <w:color w:val="auto"/>
                <w:szCs w:val="21"/>
              </w:rPr>
              <w:t>预测点的噪声预测值，</w:t>
            </w:r>
            <w:r>
              <w:rPr>
                <w:color w:val="auto"/>
                <w:szCs w:val="21"/>
              </w:rPr>
              <w:t>dB</w:t>
            </w:r>
            <w:r>
              <w:rPr>
                <w:rFonts w:hint="eastAsia"/>
                <w:color w:val="auto"/>
                <w:szCs w:val="21"/>
              </w:rPr>
              <w:t>；</w:t>
            </w:r>
          </w:p>
          <w:p>
            <w:pPr>
              <w:adjustRightInd w:val="0"/>
              <w:snapToGrid w:val="0"/>
              <w:spacing w:line="360" w:lineRule="auto"/>
              <w:ind w:firstLine="420" w:firstLineChars="200"/>
              <w:rPr>
                <w:color w:val="auto"/>
                <w:szCs w:val="21"/>
              </w:rPr>
            </w:pPr>
            <w:r>
              <w:rPr>
                <w:i/>
                <w:iCs/>
                <w:color w:val="auto"/>
                <w:szCs w:val="21"/>
              </w:rPr>
              <w:t>L</w:t>
            </w:r>
            <w:r>
              <w:rPr>
                <w:color w:val="auto"/>
                <w:szCs w:val="21"/>
              </w:rPr>
              <w:t>eqg</w:t>
            </w:r>
            <w:r>
              <w:rPr>
                <w:i/>
                <w:iCs/>
                <w:color w:val="auto"/>
                <w:szCs w:val="21"/>
              </w:rPr>
              <w:t xml:space="preserve"> </w:t>
            </w:r>
            <w:r>
              <w:rPr>
                <w:color w:val="auto"/>
                <w:szCs w:val="21"/>
              </w:rPr>
              <w:t>——</w:t>
            </w:r>
            <w:r>
              <w:rPr>
                <w:rFonts w:hint="eastAsia"/>
                <w:color w:val="auto"/>
                <w:szCs w:val="21"/>
              </w:rPr>
              <w:t>建设项目声源在预测点产生的噪声贡献值，</w:t>
            </w:r>
            <w:r>
              <w:rPr>
                <w:color w:val="auto"/>
                <w:szCs w:val="21"/>
              </w:rPr>
              <w:t>dB</w:t>
            </w:r>
            <w:r>
              <w:rPr>
                <w:rFonts w:hint="eastAsia"/>
                <w:color w:val="auto"/>
                <w:szCs w:val="21"/>
              </w:rPr>
              <w:t>；</w:t>
            </w:r>
          </w:p>
          <w:p>
            <w:pPr>
              <w:adjustRightInd w:val="0"/>
              <w:snapToGrid w:val="0"/>
              <w:spacing w:line="360" w:lineRule="auto"/>
              <w:ind w:firstLine="420" w:firstLineChars="200"/>
              <w:rPr>
                <w:color w:val="auto"/>
                <w:szCs w:val="21"/>
              </w:rPr>
            </w:pPr>
            <w:r>
              <w:rPr>
                <w:i/>
                <w:iCs/>
                <w:color w:val="auto"/>
                <w:szCs w:val="21"/>
              </w:rPr>
              <w:t>L</w:t>
            </w:r>
            <w:r>
              <w:rPr>
                <w:color w:val="auto"/>
                <w:szCs w:val="21"/>
              </w:rPr>
              <w:t>eqb</w:t>
            </w:r>
            <w:r>
              <w:rPr>
                <w:i/>
                <w:iCs/>
                <w:color w:val="auto"/>
                <w:szCs w:val="21"/>
              </w:rPr>
              <w:t xml:space="preserve"> </w:t>
            </w:r>
            <w:r>
              <w:rPr>
                <w:color w:val="auto"/>
                <w:szCs w:val="21"/>
              </w:rPr>
              <w:t>——</w:t>
            </w:r>
            <w:r>
              <w:rPr>
                <w:rFonts w:hint="eastAsia"/>
                <w:color w:val="auto"/>
                <w:szCs w:val="21"/>
              </w:rPr>
              <w:t>预测点的背景噪声值，</w:t>
            </w:r>
            <w:r>
              <w:rPr>
                <w:color w:val="auto"/>
                <w:szCs w:val="21"/>
              </w:rPr>
              <w:t>dB</w:t>
            </w:r>
            <w:r>
              <w:rPr>
                <w:rFonts w:hint="eastAsia"/>
                <w:color w:val="auto"/>
                <w:szCs w:val="21"/>
              </w:rPr>
              <w:t>。</w:t>
            </w:r>
          </w:p>
          <w:p>
            <w:pPr>
              <w:spacing w:line="360" w:lineRule="auto"/>
              <w:ind w:firstLine="420" w:firstLineChars="200"/>
              <w:rPr>
                <w:b/>
                <w:color w:val="auto"/>
                <w:szCs w:val="21"/>
              </w:rPr>
            </w:pPr>
            <w:r>
              <w:rPr>
                <w:color w:val="auto"/>
                <w:szCs w:val="21"/>
              </w:rPr>
              <w:t>建设项目高噪声设备情况见表4-</w:t>
            </w:r>
            <w:r>
              <w:rPr>
                <w:rFonts w:hint="eastAsia"/>
                <w:color w:val="auto"/>
                <w:szCs w:val="21"/>
              </w:rPr>
              <w:t>17、表4-18</w:t>
            </w:r>
            <w:r>
              <w:rPr>
                <w:color w:val="auto"/>
                <w:szCs w:val="21"/>
              </w:rPr>
              <w:t>。</w:t>
            </w:r>
          </w:p>
        </w:tc>
      </w:tr>
    </w:tbl>
    <w:p>
      <w:pPr>
        <w:spacing w:line="360" w:lineRule="auto"/>
        <w:outlineLvl w:val="0"/>
        <w:rPr>
          <w:rFonts w:eastAsia="黑体"/>
          <w:snapToGrid w:val="0"/>
          <w:color w:val="auto"/>
          <w:sz w:val="30"/>
          <w:szCs w:val="30"/>
        </w:rPr>
        <w:sectPr>
          <w:footerReference r:id="rId6" w:type="default"/>
          <w:pgSz w:w="11906" w:h="16838"/>
          <w:pgMar w:top="1440" w:right="1080" w:bottom="1440" w:left="1080" w:header="851" w:footer="851" w:gutter="0"/>
          <w:cols w:space="720" w:num="1"/>
          <w:docGrid w:linePitch="312" w:charSpace="0"/>
        </w:sectPr>
      </w:pPr>
    </w:p>
    <w:tbl>
      <w:tblPr>
        <w:tblStyle w:val="37"/>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28"/>
        <w:gridCol w:w="1374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21" w:type="dxa"/>
            <w:vAlign w:val="center"/>
          </w:tcPr>
          <w:p>
            <w:pPr>
              <w:adjustRightInd w:val="0"/>
              <w:snapToGrid w:val="0"/>
              <w:jc w:val="center"/>
              <w:rPr>
                <w:bCs/>
                <w:color w:val="auto"/>
                <w:szCs w:val="21"/>
              </w:rPr>
            </w:pPr>
            <w:r>
              <w:rPr>
                <w:color w:val="auto"/>
              </w:rPr>
              <w:br w:type="page"/>
            </w:r>
            <w:r>
              <w:rPr>
                <w:bCs/>
                <w:color w:val="auto"/>
                <w:szCs w:val="21"/>
              </w:rPr>
              <w:t>运营</w:t>
            </w:r>
          </w:p>
          <w:p>
            <w:pPr>
              <w:adjustRightInd w:val="0"/>
              <w:snapToGrid w:val="0"/>
              <w:jc w:val="center"/>
              <w:rPr>
                <w:bCs/>
                <w:color w:val="auto"/>
                <w:szCs w:val="21"/>
              </w:rPr>
            </w:pPr>
            <w:r>
              <w:rPr>
                <w:bCs/>
                <w:color w:val="auto"/>
                <w:szCs w:val="21"/>
              </w:rPr>
              <w:t>期环</w:t>
            </w:r>
          </w:p>
          <w:p>
            <w:pPr>
              <w:adjustRightInd w:val="0"/>
              <w:snapToGrid w:val="0"/>
              <w:jc w:val="center"/>
              <w:rPr>
                <w:bCs/>
                <w:color w:val="auto"/>
                <w:szCs w:val="21"/>
              </w:rPr>
            </w:pPr>
            <w:r>
              <w:rPr>
                <w:bCs/>
                <w:color w:val="auto"/>
                <w:szCs w:val="21"/>
              </w:rPr>
              <w:t>境影</w:t>
            </w:r>
          </w:p>
          <w:p>
            <w:pPr>
              <w:adjustRightInd w:val="0"/>
              <w:snapToGrid w:val="0"/>
              <w:jc w:val="center"/>
              <w:rPr>
                <w:bCs/>
                <w:color w:val="auto"/>
                <w:szCs w:val="21"/>
              </w:rPr>
            </w:pPr>
            <w:r>
              <w:rPr>
                <w:bCs/>
                <w:color w:val="auto"/>
                <w:szCs w:val="21"/>
              </w:rPr>
              <w:t>响和</w:t>
            </w:r>
          </w:p>
          <w:p>
            <w:pPr>
              <w:adjustRightInd w:val="0"/>
              <w:snapToGrid w:val="0"/>
              <w:jc w:val="center"/>
              <w:rPr>
                <w:bCs/>
                <w:color w:val="auto"/>
                <w:szCs w:val="21"/>
              </w:rPr>
            </w:pPr>
            <w:r>
              <w:rPr>
                <w:bCs/>
                <w:color w:val="auto"/>
                <w:szCs w:val="21"/>
              </w:rPr>
              <w:t>保护</w:t>
            </w:r>
          </w:p>
          <w:p>
            <w:pPr>
              <w:pStyle w:val="35"/>
              <w:spacing w:before="0" w:beforeAutospacing="0" w:after="0" w:afterAutospacing="0" w:line="360" w:lineRule="auto"/>
              <w:jc w:val="center"/>
              <w:outlineLvl w:val="0"/>
              <w:rPr>
                <w:rFonts w:ascii="Times New Roman" w:hAnsi="Times New Roman" w:eastAsia="黑体"/>
                <w:snapToGrid w:val="0"/>
                <w:color w:val="auto"/>
                <w:sz w:val="30"/>
                <w:szCs w:val="30"/>
              </w:rPr>
            </w:pPr>
            <w:r>
              <w:rPr>
                <w:rFonts w:ascii="Times New Roman" w:hAnsi="Times New Roman"/>
                <w:bCs/>
                <w:color w:val="auto"/>
                <w:sz w:val="21"/>
                <w:szCs w:val="21"/>
              </w:rPr>
              <w:t>施</w:t>
            </w:r>
          </w:p>
        </w:tc>
        <w:tc>
          <w:tcPr>
            <w:tcW w:w="13527" w:type="dxa"/>
            <w:shd w:val="clear" w:color="auto" w:fill="auto"/>
            <w:vAlign w:val="center"/>
          </w:tcPr>
          <w:p>
            <w:pPr>
              <w:adjustRightInd w:val="0"/>
              <w:snapToGrid w:val="0"/>
              <w:jc w:val="center"/>
              <w:rPr>
                <w:b/>
                <w:color w:val="auto"/>
                <w:szCs w:val="21"/>
              </w:rPr>
            </w:pPr>
          </w:p>
          <w:p>
            <w:pPr>
              <w:jc w:val="center"/>
              <w:rPr>
                <w:b/>
                <w:bCs/>
                <w:color w:val="auto"/>
              </w:rPr>
            </w:pPr>
            <w:r>
              <w:rPr>
                <w:rFonts w:hint="eastAsia" w:cs="宋体"/>
                <w:b/>
                <w:bCs/>
                <w:color w:val="auto"/>
                <w:lang w:bidi="ar"/>
              </w:rPr>
              <w:t>表4-17  噪声污染源源强核算结果及相关参数一览表</w:t>
            </w:r>
          </w:p>
          <w:tbl>
            <w:tblPr>
              <w:tblStyle w:val="37"/>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fixed"/>
              <w:tblCellMar>
                <w:top w:w="0" w:type="dxa"/>
                <w:left w:w="0" w:type="dxa"/>
                <w:bottom w:w="0" w:type="dxa"/>
                <w:right w:w="0" w:type="dxa"/>
              </w:tblCellMar>
            </w:tblPr>
            <w:tblGrid>
              <w:gridCol w:w="862"/>
              <w:gridCol w:w="1105"/>
              <w:gridCol w:w="1513"/>
              <w:gridCol w:w="1295"/>
              <w:gridCol w:w="1295"/>
              <w:gridCol w:w="1676"/>
              <w:gridCol w:w="1543"/>
              <w:gridCol w:w="1338"/>
              <w:gridCol w:w="797"/>
              <w:gridCol w:w="1154"/>
              <w:gridCol w:w="952"/>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restart"/>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工序</w:t>
                  </w:r>
                  <w:r>
                    <w:rPr>
                      <w:b/>
                      <w:color w:val="auto"/>
                      <w:kern w:val="0"/>
                      <w:sz w:val="18"/>
                      <w:szCs w:val="18"/>
                      <w:lang w:bidi="ar"/>
                    </w:rPr>
                    <w:t>/</w:t>
                  </w:r>
                  <w:r>
                    <w:rPr>
                      <w:rFonts w:hint="eastAsia"/>
                      <w:b/>
                      <w:color w:val="auto"/>
                      <w:kern w:val="0"/>
                      <w:sz w:val="18"/>
                      <w:szCs w:val="18"/>
                      <w:lang w:bidi="ar"/>
                    </w:rPr>
                    <w:t>生产线</w:t>
                  </w:r>
                </w:p>
              </w:tc>
              <w:tc>
                <w:tcPr>
                  <w:tcW w:w="408" w:type="pct"/>
                  <w:vMerge w:val="restart"/>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装置</w:t>
                  </w:r>
                </w:p>
              </w:tc>
              <w:tc>
                <w:tcPr>
                  <w:tcW w:w="559" w:type="pct"/>
                  <w:vMerge w:val="restart"/>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噪声源</w:t>
                  </w:r>
                </w:p>
              </w:tc>
              <w:tc>
                <w:tcPr>
                  <w:tcW w:w="478" w:type="pct"/>
                  <w:vMerge w:val="restart"/>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声源类型</w:t>
                  </w:r>
                </w:p>
                <w:p>
                  <w:pPr>
                    <w:jc w:val="center"/>
                    <w:rPr>
                      <w:b/>
                      <w:color w:val="auto"/>
                      <w:kern w:val="0"/>
                      <w:sz w:val="18"/>
                      <w:szCs w:val="18"/>
                    </w:rPr>
                  </w:pPr>
                  <w:r>
                    <w:rPr>
                      <w:rFonts w:hint="eastAsia"/>
                      <w:b/>
                      <w:color w:val="auto"/>
                      <w:kern w:val="0"/>
                      <w:sz w:val="18"/>
                      <w:szCs w:val="18"/>
                      <w:lang w:bidi="ar"/>
                    </w:rPr>
                    <w:t>（频发、偶发）</w:t>
                  </w:r>
                </w:p>
              </w:tc>
              <w:tc>
                <w:tcPr>
                  <w:tcW w:w="1097" w:type="pct"/>
                  <w:gridSpan w:val="2"/>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噪声源强</w:t>
                  </w:r>
                </w:p>
              </w:tc>
              <w:tc>
                <w:tcPr>
                  <w:tcW w:w="1064" w:type="pct"/>
                  <w:gridSpan w:val="2"/>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降噪措施</w:t>
                  </w:r>
                </w:p>
              </w:tc>
              <w:tc>
                <w:tcPr>
                  <w:tcW w:w="720" w:type="pct"/>
                  <w:gridSpan w:val="2"/>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噪声排放值</w:t>
                  </w:r>
                </w:p>
              </w:tc>
              <w:tc>
                <w:tcPr>
                  <w:tcW w:w="352" w:type="pct"/>
                  <w:vMerge w:val="restart"/>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持续时间</w:t>
                  </w:r>
                  <w:r>
                    <w:rPr>
                      <w:b/>
                      <w:color w:val="auto"/>
                      <w:kern w:val="0"/>
                      <w:sz w:val="18"/>
                      <w:szCs w:val="18"/>
                      <w:lang w:bidi="ar"/>
                    </w:rPr>
                    <w:t>/h</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continue"/>
                  <w:noWrap/>
                  <w:tcMar>
                    <w:top w:w="15" w:type="dxa"/>
                    <w:left w:w="15" w:type="dxa"/>
                    <w:right w:w="15" w:type="dxa"/>
                  </w:tcMar>
                  <w:vAlign w:val="center"/>
                </w:tcPr>
                <w:p>
                  <w:pPr>
                    <w:jc w:val="center"/>
                    <w:rPr>
                      <w:color w:val="auto"/>
                      <w:sz w:val="18"/>
                      <w:szCs w:val="18"/>
                    </w:rPr>
                  </w:pPr>
                </w:p>
              </w:tc>
              <w:tc>
                <w:tcPr>
                  <w:tcW w:w="408" w:type="pct"/>
                  <w:vMerge w:val="continue"/>
                  <w:noWrap/>
                  <w:tcMar>
                    <w:top w:w="15" w:type="dxa"/>
                    <w:left w:w="15" w:type="dxa"/>
                    <w:right w:w="15" w:type="dxa"/>
                  </w:tcMar>
                  <w:vAlign w:val="center"/>
                </w:tcPr>
                <w:p>
                  <w:pPr>
                    <w:jc w:val="center"/>
                    <w:rPr>
                      <w:color w:val="auto"/>
                      <w:sz w:val="18"/>
                      <w:szCs w:val="18"/>
                    </w:rPr>
                  </w:pPr>
                </w:p>
              </w:tc>
              <w:tc>
                <w:tcPr>
                  <w:tcW w:w="559" w:type="pct"/>
                  <w:vMerge w:val="continue"/>
                  <w:noWrap/>
                  <w:tcMar>
                    <w:top w:w="15" w:type="dxa"/>
                    <w:left w:w="15" w:type="dxa"/>
                    <w:right w:w="15" w:type="dxa"/>
                  </w:tcMar>
                  <w:vAlign w:val="center"/>
                </w:tcPr>
                <w:p>
                  <w:pPr>
                    <w:jc w:val="center"/>
                    <w:rPr>
                      <w:color w:val="auto"/>
                      <w:sz w:val="18"/>
                      <w:szCs w:val="18"/>
                    </w:rPr>
                  </w:pPr>
                </w:p>
              </w:tc>
              <w:tc>
                <w:tcPr>
                  <w:tcW w:w="478" w:type="pct"/>
                  <w:vMerge w:val="continue"/>
                  <w:noWrap/>
                  <w:tcMar>
                    <w:top w:w="15" w:type="dxa"/>
                    <w:left w:w="15" w:type="dxa"/>
                    <w:right w:w="15" w:type="dxa"/>
                  </w:tcMar>
                  <w:vAlign w:val="center"/>
                </w:tcPr>
                <w:p>
                  <w:pPr>
                    <w:jc w:val="center"/>
                    <w:rPr>
                      <w:color w:val="auto"/>
                      <w:sz w:val="18"/>
                      <w:szCs w:val="18"/>
                    </w:rPr>
                  </w:pPr>
                </w:p>
              </w:tc>
              <w:tc>
                <w:tcPr>
                  <w:tcW w:w="478" w:type="pct"/>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核算方法</w:t>
                  </w:r>
                </w:p>
              </w:tc>
              <w:tc>
                <w:tcPr>
                  <w:tcW w:w="618" w:type="pct"/>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噪声值</w:t>
                  </w:r>
                  <w:r>
                    <w:rPr>
                      <w:b/>
                      <w:color w:val="auto"/>
                      <w:kern w:val="0"/>
                      <w:sz w:val="18"/>
                      <w:szCs w:val="18"/>
                      <w:lang w:bidi="ar"/>
                    </w:rPr>
                    <w:t>/dB(A)</w:t>
                  </w:r>
                </w:p>
              </w:tc>
              <w:tc>
                <w:tcPr>
                  <w:tcW w:w="570" w:type="pct"/>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工艺</w:t>
                  </w:r>
                </w:p>
              </w:tc>
              <w:tc>
                <w:tcPr>
                  <w:tcW w:w="494" w:type="pct"/>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降噪效果</w:t>
                  </w:r>
                  <w:r>
                    <w:rPr>
                      <w:b/>
                      <w:color w:val="auto"/>
                      <w:kern w:val="0"/>
                      <w:sz w:val="18"/>
                      <w:szCs w:val="18"/>
                      <w:lang w:bidi="ar"/>
                    </w:rPr>
                    <w:t>/dB(A)</w:t>
                  </w:r>
                </w:p>
              </w:tc>
              <w:tc>
                <w:tcPr>
                  <w:tcW w:w="294" w:type="pct"/>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核算方法</w:t>
                  </w:r>
                </w:p>
              </w:tc>
              <w:tc>
                <w:tcPr>
                  <w:tcW w:w="425" w:type="pct"/>
                  <w:noWrap/>
                  <w:tcMar>
                    <w:top w:w="15" w:type="dxa"/>
                    <w:left w:w="15" w:type="dxa"/>
                    <w:right w:w="15" w:type="dxa"/>
                  </w:tcMar>
                  <w:vAlign w:val="center"/>
                </w:tcPr>
                <w:p>
                  <w:pPr>
                    <w:jc w:val="center"/>
                    <w:rPr>
                      <w:b/>
                      <w:color w:val="auto"/>
                      <w:kern w:val="0"/>
                      <w:sz w:val="18"/>
                      <w:szCs w:val="18"/>
                    </w:rPr>
                  </w:pPr>
                  <w:r>
                    <w:rPr>
                      <w:rFonts w:hint="eastAsia"/>
                      <w:b/>
                      <w:color w:val="auto"/>
                      <w:kern w:val="0"/>
                      <w:sz w:val="18"/>
                      <w:szCs w:val="18"/>
                      <w:lang w:bidi="ar"/>
                    </w:rPr>
                    <w:t>噪声值</w:t>
                  </w:r>
                  <w:r>
                    <w:rPr>
                      <w:b/>
                      <w:color w:val="auto"/>
                      <w:kern w:val="0"/>
                      <w:sz w:val="18"/>
                      <w:szCs w:val="18"/>
                      <w:lang w:bidi="ar"/>
                    </w:rPr>
                    <w:t>/dB(A)</w:t>
                  </w:r>
                </w:p>
              </w:tc>
              <w:tc>
                <w:tcPr>
                  <w:tcW w:w="352" w:type="pct"/>
                  <w:vMerge w:val="continue"/>
                  <w:noWrap/>
                  <w:tcMar>
                    <w:top w:w="15" w:type="dxa"/>
                    <w:left w:w="15" w:type="dxa"/>
                    <w:right w:w="15" w:type="dxa"/>
                  </w:tcMar>
                  <w:vAlign w:val="center"/>
                </w:tcPr>
                <w:p>
                  <w:pPr>
                    <w:jc w:val="center"/>
                    <w:rPr>
                      <w:color w:val="auto"/>
                      <w:sz w:val="18"/>
                      <w:szCs w:val="18"/>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155" w:hRule="atLeast"/>
                <w:jc w:val="center"/>
              </w:trPr>
              <w:tc>
                <w:tcPr>
                  <w:tcW w:w="318" w:type="pct"/>
                  <w:vMerge w:val="restart"/>
                  <w:noWrap/>
                  <w:tcMar>
                    <w:top w:w="15" w:type="dxa"/>
                    <w:left w:w="15" w:type="dxa"/>
                    <w:right w:w="15" w:type="dxa"/>
                  </w:tcMar>
                  <w:vAlign w:val="center"/>
                </w:tcPr>
                <w:p>
                  <w:pPr>
                    <w:jc w:val="center"/>
                    <w:rPr>
                      <w:bCs/>
                      <w:color w:val="auto"/>
                      <w:sz w:val="18"/>
                      <w:szCs w:val="18"/>
                    </w:rPr>
                  </w:pPr>
                  <w:r>
                    <w:rPr>
                      <w:rFonts w:hint="eastAsia"/>
                      <w:bCs/>
                      <w:color w:val="auto"/>
                      <w:sz w:val="18"/>
                      <w:szCs w:val="18"/>
                    </w:rPr>
                    <w:t>橡胶件生产线</w:t>
                  </w:r>
                </w:p>
              </w:tc>
              <w:tc>
                <w:tcPr>
                  <w:tcW w:w="408" w:type="pct"/>
                  <w:noWrap/>
                  <w:tcMar>
                    <w:top w:w="15" w:type="dxa"/>
                    <w:left w:w="15" w:type="dxa"/>
                    <w:right w:w="15" w:type="dxa"/>
                  </w:tcMar>
                  <w:vAlign w:val="center"/>
                </w:tcPr>
                <w:p>
                  <w:pPr>
                    <w:jc w:val="center"/>
                    <w:rPr>
                      <w:bCs/>
                      <w:color w:val="auto"/>
                      <w:sz w:val="18"/>
                      <w:szCs w:val="18"/>
                    </w:rPr>
                  </w:pPr>
                  <w:r>
                    <w:rPr>
                      <w:color w:val="auto"/>
                      <w:sz w:val="18"/>
                      <w:szCs w:val="18"/>
                    </w:rPr>
                    <w:t>密炼机</w:t>
                  </w:r>
                </w:p>
              </w:tc>
              <w:tc>
                <w:tcPr>
                  <w:tcW w:w="559" w:type="pct"/>
                  <w:noWrap/>
                  <w:tcMar>
                    <w:top w:w="15" w:type="dxa"/>
                    <w:left w:w="15" w:type="dxa"/>
                    <w:right w:w="15" w:type="dxa"/>
                  </w:tcMar>
                  <w:vAlign w:val="center"/>
                </w:tcPr>
                <w:p>
                  <w:pPr>
                    <w:jc w:val="center"/>
                    <w:rPr>
                      <w:color w:val="auto"/>
                      <w:sz w:val="18"/>
                      <w:szCs w:val="18"/>
                    </w:rPr>
                  </w:pPr>
                  <w:r>
                    <w:rPr>
                      <w:color w:val="auto"/>
                      <w:sz w:val="18"/>
                      <w:szCs w:val="18"/>
                    </w:rPr>
                    <w:t>密炼机</w:t>
                  </w:r>
                </w:p>
              </w:tc>
              <w:tc>
                <w:tcPr>
                  <w:tcW w:w="478" w:type="pct"/>
                  <w:vMerge w:val="restart"/>
                  <w:noWrap/>
                  <w:tcMar>
                    <w:top w:w="15" w:type="dxa"/>
                    <w:left w:w="15" w:type="dxa"/>
                    <w:right w:w="15" w:type="dxa"/>
                  </w:tcMar>
                  <w:vAlign w:val="center"/>
                </w:tcPr>
                <w:p>
                  <w:pPr>
                    <w:jc w:val="center"/>
                    <w:rPr>
                      <w:bCs/>
                      <w:color w:val="auto"/>
                      <w:kern w:val="0"/>
                      <w:sz w:val="18"/>
                      <w:szCs w:val="18"/>
                    </w:rPr>
                  </w:pPr>
                  <w:r>
                    <w:rPr>
                      <w:rFonts w:hint="eastAsia"/>
                      <w:bCs/>
                      <w:color w:val="auto"/>
                      <w:kern w:val="0"/>
                      <w:sz w:val="18"/>
                      <w:szCs w:val="18"/>
                    </w:rPr>
                    <w:t>频发</w:t>
                  </w:r>
                </w:p>
              </w:tc>
              <w:tc>
                <w:tcPr>
                  <w:tcW w:w="478" w:type="pct"/>
                  <w:vMerge w:val="restart"/>
                  <w:noWrap/>
                  <w:tcMar>
                    <w:top w:w="15" w:type="dxa"/>
                    <w:left w:w="15" w:type="dxa"/>
                    <w:right w:w="15" w:type="dxa"/>
                  </w:tcMar>
                  <w:vAlign w:val="center"/>
                </w:tcPr>
                <w:p>
                  <w:pPr>
                    <w:jc w:val="center"/>
                    <w:rPr>
                      <w:bCs/>
                      <w:color w:val="auto"/>
                      <w:kern w:val="0"/>
                      <w:sz w:val="18"/>
                      <w:szCs w:val="18"/>
                    </w:rPr>
                  </w:pPr>
                  <w:r>
                    <w:rPr>
                      <w:rFonts w:hint="eastAsia"/>
                      <w:bCs/>
                      <w:color w:val="auto"/>
                      <w:kern w:val="0"/>
                      <w:sz w:val="18"/>
                      <w:szCs w:val="18"/>
                    </w:rPr>
                    <w:t>类比</w:t>
                  </w:r>
                </w:p>
              </w:tc>
              <w:tc>
                <w:tcPr>
                  <w:tcW w:w="618" w:type="pct"/>
                  <w:noWrap/>
                  <w:tcMar>
                    <w:top w:w="15" w:type="dxa"/>
                    <w:left w:w="15" w:type="dxa"/>
                    <w:right w:w="15" w:type="dxa"/>
                  </w:tcMar>
                  <w:vAlign w:val="center"/>
                </w:tcPr>
                <w:p>
                  <w:pPr>
                    <w:widowControl/>
                    <w:adjustRightInd w:val="0"/>
                    <w:snapToGrid w:val="0"/>
                    <w:jc w:val="center"/>
                    <w:textAlignment w:val="center"/>
                    <w:rPr>
                      <w:rFonts w:ascii="宋体" w:hAnsi="宋体"/>
                      <w:bCs/>
                      <w:color w:val="auto"/>
                      <w:kern w:val="0"/>
                      <w:sz w:val="18"/>
                      <w:szCs w:val="18"/>
                    </w:rPr>
                  </w:pPr>
                  <w:r>
                    <w:rPr>
                      <w:rFonts w:hint="eastAsia"/>
                      <w:color w:val="auto"/>
                      <w:sz w:val="18"/>
                      <w:szCs w:val="18"/>
                    </w:rPr>
                    <w:t>80</w:t>
                  </w:r>
                </w:p>
              </w:tc>
              <w:tc>
                <w:tcPr>
                  <w:tcW w:w="570" w:type="pct"/>
                  <w:noWrap/>
                  <w:tcMar>
                    <w:top w:w="15" w:type="dxa"/>
                    <w:left w:w="15" w:type="dxa"/>
                    <w:right w:w="15" w:type="dxa"/>
                  </w:tcMar>
                  <w:vAlign w:val="center"/>
                </w:tcPr>
                <w:p>
                  <w:pPr>
                    <w:snapToGrid w:val="0"/>
                    <w:spacing w:line="240" w:lineRule="atLeast"/>
                    <w:jc w:val="center"/>
                    <w:rPr>
                      <w:bCs/>
                      <w:color w:val="auto"/>
                      <w:sz w:val="18"/>
                      <w:szCs w:val="18"/>
                    </w:rPr>
                  </w:pPr>
                  <w:r>
                    <w:rPr>
                      <w:color w:val="auto"/>
                      <w:kern w:val="0"/>
                      <w:sz w:val="18"/>
                      <w:szCs w:val="18"/>
                    </w:rPr>
                    <w:t>减振底座</w:t>
                  </w:r>
                </w:p>
              </w:tc>
              <w:tc>
                <w:tcPr>
                  <w:tcW w:w="494" w:type="pct"/>
                  <w:noWrap/>
                  <w:tcMar>
                    <w:top w:w="15" w:type="dxa"/>
                    <w:left w:w="15" w:type="dxa"/>
                    <w:right w:w="15" w:type="dxa"/>
                  </w:tcMar>
                  <w:vAlign w:val="center"/>
                </w:tcPr>
                <w:p>
                  <w:pPr>
                    <w:snapToGrid w:val="0"/>
                    <w:spacing w:line="240" w:lineRule="atLeast"/>
                    <w:jc w:val="center"/>
                    <w:rPr>
                      <w:bCs/>
                      <w:color w:val="auto"/>
                      <w:kern w:val="0"/>
                      <w:sz w:val="18"/>
                      <w:szCs w:val="18"/>
                    </w:rPr>
                  </w:pPr>
                  <w:r>
                    <w:rPr>
                      <w:bCs/>
                      <w:color w:val="auto"/>
                      <w:kern w:val="0"/>
                      <w:sz w:val="18"/>
                      <w:szCs w:val="18"/>
                    </w:rPr>
                    <w:t>10</w:t>
                  </w:r>
                </w:p>
              </w:tc>
              <w:tc>
                <w:tcPr>
                  <w:tcW w:w="294" w:type="pct"/>
                  <w:vMerge w:val="restart"/>
                  <w:noWrap/>
                  <w:tcMar>
                    <w:top w:w="15" w:type="dxa"/>
                    <w:left w:w="15" w:type="dxa"/>
                    <w:right w:w="15" w:type="dxa"/>
                  </w:tcMar>
                  <w:vAlign w:val="center"/>
                </w:tcPr>
                <w:p>
                  <w:pPr>
                    <w:jc w:val="center"/>
                    <w:rPr>
                      <w:bCs/>
                      <w:color w:val="auto"/>
                      <w:kern w:val="0"/>
                      <w:sz w:val="18"/>
                      <w:szCs w:val="18"/>
                    </w:rPr>
                  </w:pPr>
                  <w:r>
                    <w:rPr>
                      <w:rFonts w:hint="eastAsia"/>
                      <w:bCs/>
                      <w:color w:val="auto"/>
                      <w:kern w:val="0"/>
                      <w:sz w:val="18"/>
                      <w:szCs w:val="18"/>
                    </w:rPr>
                    <w:t>等效室外声源声功率级法</w:t>
                  </w:r>
                </w:p>
              </w:tc>
              <w:tc>
                <w:tcPr>
                  <w:tcW w:w="425" w:type="pct"/>
                  <w:noWrap/>
                  <w:tcMar>
                    <w:top w:w="15" w:type="dxa"/>
                    <w:left w:w="15" w:type="dxa"/>
                    <w:right w:w="15" w:type="dxa"/>
                  </w:tcMar>
                  <w:vAlign w:val="center"/>
                </w:tcPr>
                <w:p>
                  <w:pPr>
                    <w:pStyle w:val="361"/>
                    <w:rPr>
                      <w:color w:val="auto"/>
                      <w:kern w:val="0"/>
                      <w:sz w:val="18"/>
                      <w:szCs w:val="18"/>
                      <w:lang w:bidi="ar"/>
                    </w:rPr>
                  </w:pPr>
                  <w:r>
                    <w:rPr>
                      <w:rFonts w:eastAsia="宋体"/>
                      <w:color w:val="auto"/>
                      <w:sz w:val="18"/>
                      <w:szCs w:val="18"/>
                    </w:rPr>
                    <w:t>70</w:t>
                  </w:r>
                </w:p>
              </w:tc>
              <w:tc>
                <w:tcPr>
                  <w:tcW w:w="352" w:type="pct"/>
                  <w:noWrap/>
                  <w:tcMar>
                    <w:top w:w="15" w:type="dxa"/>
                    <w:left w:w="15" w:type="dxa"/>
                    <w:right w:w="15" w:type="dxa"/>
                  </w:tcMar>
                  <w:vAlign w:val="center"/>
                </w:tcPr>
                <w:p>
                  <w:pPr>
                    <w:snapToGrid w:val="0"/>
                    <w:spacing w:line="240" w:lineRule="atLeast"/>
                    <w:jc w:val="center"/>
                    <w:rPr>
                      <w:rFonts w:ascii="宋体" w:hAnsi="宋体"/>
                      <w:bCs/>
                      <w:color w:val="auto"/>
                      <w:kern w:val="0"/>
                      <w:sz w:val="18"/>
                      <w:szCs w:val="18"/>
                    </w:rPr>
                  </w:pPr>
                  <w:r>
                    <w:rPr>
                      <w:color w:val="auto"/>
                      <w:sz w:val="18"/>
                      <w:szCs w:val="18"/>
                    </w:rPr>
                    <w:t>0:00~24:00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continue"/>
                  <w:noWrap/>
                  <w:tcMar>
                    <w:top w:w="15" w:type="dxa"/>
                    <w:left w:w="15" w:type="dxa"/>
                    <w:right w:w="15" w:type="dxa"/>
                  </w:tcMar>
                  <w:vAlign w:val="center"/>
                </w:tcPr>
                <w:p>
                  <w:pPr>
                    <w:jc w:val="center"/>
                    <w:rPr>
                      <w:color w:val="auto"/>
                      <w:sz w:val="18"/>
                      <w:szCs w:val="18"/>
                    </w:rPr>
                  </w:pPr>
                </w:p>
              </w:tc>
              <w:tc>
                <w:tcPr>
                  <w:tcW w:w="408" w:type="pct"/>
                  <w:noWrap/>
                  <w:tcMar>
                    <w:top w:w="15" w:type="dxa"/>
                    <w:left w:w="15" w:type="dxa"/>
                    <w:right w:w="15" w:type="dxa"/>
                  </w:tcMar>
                  <w:vAlign w:val="center"/>
                </w:tcPr>
                <w:p>
                  <w:pPr>
                    <w:jc w:val="center"/>
                    <w:rPr>
                      <w:color w:val="auto"/>
                      <w:sz w:val="18"/>
                      <w:szCs w:val="18"/>
                    </w:rPr>
                  </w:pPr>
                  <w:r>
                    <w:rPr>
                      <w:color w:val="auto"/>
                      <w:sz w:val="18"/>
                      <w:szCs w:val="18"/>
                    </w:rPr>
                    <w:t>开炼机</w:t>
                  </w:r>
                </w:p>
              </w:tc>
              <w:tc>
                <w:tcPr>
                  <w:tcW w:w="559" w:type="pct"/>
                  <w:noWrap/>
                  <w:tcMar>
                    <w:top w:w="15" w:type="dxa"/>
                    <w:left w:w="15" w:type="dxa"/>
                    <w:right w:w="15" w:type="dxa"/>
                  </w:tcMar>
                  <w:vAlign w:val="center"/>
                </w:tcPr>
                <w:p>
                  <w:pPr>
                    <w:jc w:val="center"/>
                    <w:rPr>
                      <w:color w:val="auto"/>
                      <w:sz w:val="18"/>
                      <w:szCs w:val="18"/>
                    </w:rPr>
                  </w:pPr>
                  <w:r>
                    <w:rPr>
                      <w:color w:val="auto"/>
                      <w:sz w:val="18"/>
                      <w:szCs w:val="18"/>
                    </w:rPr>
                    <w:t>开炼机</w:t>
                  </w:r>
                </w:p>
              </w:tc>
              <w:tc>
                <w:tcPr>
                  <w:tcW w:w="478" w:type="pct"/>
                  <w:vMerge w:val="continue"/>
                  <w:noWrap/>
                  <w:tcMar>
                    <w:top w:w="15" w:type="dxa"/>
                    <w:left w:w="15" w:type="dxa"/>
                    <w:right w:w="15" w:type="dxa"/>
                  </w:tcMar>
                  <w:vAlign w:val="center"/>
                </w:tcPr>
                <w:p>
                  <w:pPr>
                    <w:jc w:val="center"/>
                    <w:rPr>
                      <w:color w:val="auto"/>
                      <w:sz w:val="18"/>
                      <w:szCs w:val="18"/>
                    </w:rPr>
                  </w:pPr>
                </w:p>
              </w:tc>
              <w:tc>
                <w:tcPr>
                  <w:tcW w:w="478" w:type="pct"/>
                  <w:vMerge w:val="continue"/>
                  <w:noWrap/>
                  <w:tcMar>
                    <w:top w:w="15" w:type="dxa"/>
                    <w:left w:w="15" w:type="dxa"/>
                    <w:right w:w="15" w:type="dxa"/>
                  </w:tcMar>
                  <w:vAlign w:val="center"/>
                </w:tcPr>
                <w:p>
                  <w:pPr>
                    <w:jc w:val="center"/>
                    <w:rPr>
                      <w:color w:val="auto"/>
                      <w:sz w:val="18"/>
                      <w:szCs w:val="18"/>
                    </w:rPr>
                  </w:pPr>
                </w:p>
              </w:tc>
              <w:tc>
                <w:tcPr>
                  <w:tcW w:w="618" w:type="pct"/>
                  <w:noWrap/>
                  <w:tcMar>
                    <w:top w:w="15" w:type="dxa"/>
                    <w:left w:w="15" w:type="dxa"/>
                    <w:right w:w="15" w:type="dxa"/>
                  </w:tcMar>
                  <w:vAlign w:val="center"/>
                </w:tcPr>
                <w:p>
                  <w:pPr>
                    <w:widowControl/>
                    <w:adjustRightInd w:val="0"/>
                    <w:snapToGrid w:val="0"/>
                    <w:jc w:val="center"/>
                    <w:textAlignment w:val="center"/>
                    <w:rPr>
                      <w:rFonts w:ascii="宋体" w:hAnsi="宋体"/>
                      <w:bCs/>
                      <w:color w:val="auto"/>
                      <w:kern w:val="0"/>
                      <w:sz w:val="18"/>
                      <w:szCs w:val="18"/>
                    </w:rPr>
                  </w:pPr>
                  <w:r>
                    <w:rPr>
                      <w:rFonts w:hint="eastAsia"/>
                      <w:color w:val="auto"/>
                      <w:sz w:val="18"/>
                      <w:szCs w:val="18"/>
                    </w:rPr>
                    <w:t>80</w:t>
                  </w:r>
                </w:p>
              </w:tc>
              <w:tc>
                <w:tcPr>
                  <w:tcW w:w="570" w:type="pct"/>
                  <w:noWrap/>
                  <w:tcMar>
                    <w:top w:w="15" w:type="dxa"/>
                    <w:left w:w="15" w:type="dxa"/>
                    <w:right w:w="15" w:type="dxa"/>
                  </w:tcMar>
                  <w:vAlign w:val="center"/>
                </w:tcPr>
                <w:p>
                  <w:pPr>
                    <w:snapToGrid w:val="0"/>
                    <w:spacing w:line="240" w:lineRule="atLeast"/>
                    <w:jc w:val="center"/>
                    <w:rPr>
                      <w:bCs/>
                      <w:color w:val="auto"/>
                      <w:sz w:val="18"/>
                      <w:szCs w:val="18"/>
                    </w:rPr>
                  </w:pPr>
                  <w:r>
                    <w:rPr>
                      <w:color w:val="auto"/>
                      <w:kern w:val="0"/>
                      <w:sz w:val="18"/>
                      <w:szCs w:val="18"/>
                    </w:rPr>
                    <w:t>减振底座</w:t>
                  </w:r>
                </w:p>
              </w:tc>
              <w:tc>
                <w:tcPr>
                  <w:tcW w:w="494" w:type="pct"/>
                  <w:noWrap/>
                  <w:tcMar>
                    <w:top w:w="15" w:type="dxa"/>
                    <w:left w:w="15" w:type="dxa"/>
                    <w:right w:w="15" w:type="dxa"/>
                  </w:tcMar>
                  <w:vAlign w:val="center"/>
                </w:tcPr>
                <w:p>
                  <w:pPr>
                    <w:snapToGrid w:val="0"/>
                    <w:spacing w:line="240" w:lineRule="atLeast"/>
                    <w:jc w:val="center"/>
                    <w:rPr>
                      <w:bCs/>
                      <w:color w:val="auto"/>
                      <w:kern w:val="0"/>
                      <w:sz w:val="18"/>
                      <w:szCs w:val="18"/>
                    </w:rPr>
                  </w:pPr>
                  <w:r>
                    <w:rPr>
                      <w:bCs/>
                      <w:color w:val="auto"/>
                      <w:kern w:val="0"/>
                      <w:sz w:val="18"/>
                      <w:szCs w:val="18"/>
                    </w:rPr>
                    <w:t>10</w:t>
                  </w:r>
                </w:p>
              </w:tc>
              <w:tc>
                <w:tcPr>
                  <w:tcW w:w="294" w:type="pct"/>
                  <w:vMerge w:val="continue"/>
                  <w:noWrap/>
                  <w:tcMar>
                    <w:top w:w="15" w:type="dxa"/>
                    <w:left w:w="15" w:type="dxa"/>
                    <w:right w:w="15" w:type="dxa"/>
                  </w:tcMar>
                  <w:vAlign w:val="center"/>
                </w:tcPr>
                <w:p>
                  <w:pPr>
                    <w:jc w:val="center"/>
                    <w:rPr>
                      <w:color w:val="auto"/>
                      <w:sz w:val="18"/>
                      <w:szCs w:val="18"/>
                    </w:rPr>
                  </w:pPr>
                </w:p>
              </w:tc>
              <w:tc>
                <w:tcPr>
                  <w:tcW w:w="425" w:type="pct"/>
                  <w:noWrap/>
                  <w:tcMar>
                    <w:top w:w="15" w:type="dxa"/>
                    <w:left w:w="15" w:type="dxa"/>
                    <w:right w:w="15" w:type="dxa"/>
                  </w:tcMar>
                  <w:vAlign w:val="center"/>
                </w:tcPr>
                <w:p>
                  <w:pPr>
                    <w:pStyle w:val="361"/>
                    <w:rPr>
                      <w:color w:val="auto"/>
                      <w:kern w:val="0"/>
                      <w:sz w:val="18"/>
                      <w:szCs w:val="18"/>
                      <w:lang w:bidi="ar"/>
                    </w:rPr>
                  </w:pPr>
                  <w:r>
                    <w:rPr>
                      <w:rFonts w:eastAsia="宋体"/>
                      <w:color w:val="auto"/>
                      <w:sz w:val="18"/>
                      <w:szCs w:val="18"/>
                    </w:rPr>
                    <w:t>70</w:t>
                  </w:r>
                </w:p>
              </w:tc>
              <w:tc>
                <w:tcPr>
                  <w:tcW w:w="352" w:type="pct"/>
                  <w:noWrap/>
                  <w:tcMar>
                    <w:top w:w="15" w:type="dxa"/>
                    <w:left w:w="15" w:type="dxa"/>
                    <w:right w:w="15" w:type="dxa"/>
                  </w:tcMar>
                  <w:vAlign w:val="center"/>
                </w:tcPr>
                <w:p>
                  <w:pPr>
                    <w:snapToGrid w:val="0"/>
                    <w:spacing w:line="240" w:lineRule="atLeast"/>
                    <w:jc w:val="center"/>
                    <w:rPr>
                      <w:bCs/>
                      <w:color w:val="auto"/>
                      <w:sz w:val="18"/>
                      <w:szCs w:val="18"/>
                    </w:rPr>
                  </w:pPr>
                  <w:r>
                    <w:rPr>
                      <w:color w:val="auto"/>
                      <w:sz w:val="18"/>
                      <w:szCs w:val="18"/>
                    </w:rPr>
                    <w:t>0:00~24:00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continue"/>
                  <w:noWrap/>
                  <w:tcMar>
                    <w:top w:w="15" w:type="dxa"/>
                    <w:left w:w="15" w:type="dxa"/>
                    <w:right w:w="15" w:type="dxa"/>
                  </w:tcMar>
                  <w:vAlign w:val="center"/>
                </w:tcPr>
                <w:p>
                  <w:pPr>
                    <w:jc w:val="center"/>
                    <w:rPr>
                      <w:color w:val="auto"/>
                      <w:sz w:val="18"/>
                      <w:szCs w:val="18"/>
                    </w:rPr>
                  </w:pPr>
                </w:p>
              </w:tc>
              <w:tc>
                <w:tcPr>
                  <w:tcW w:w="408" w:type="pct"/>
                  <w:noWrap/>
                  <w:tcMar>
                    <w:top w:w="15" w:type="dxa"/>
                    <w:left w:w="15" w:type="dxa"/>
                    <w:right w:w="15" w:type="dxa"/>
                  </w:tcMar>
                  <w:vAlign w:val="center"/>
                </w:tcPr>
                <w:p>
                  <w:pPr>
                    <w:jc w:val="center"/>
                    <w:rPr>
                      <w:color w:val="auto"/>
                      <w:sz w:val="18"/>
                      <w:szCs w:val="18"/>
                    </w:rPr>
                  </w:pPr>
                  <w:r>
                    <w:rPr>
                      <w:color w:val="auto"/>
                      <w:sz w:val="18"/>
                      <w:szCs w:val="18"/>
                    </w:rPr>
                    <w:t>预成型机</w:t>
                  </w:r>
                </w:p>
              </w:tc>
              <w:tc>
                <w:tcPr>
                  <w:tcW w:w="559" w:type="pct"/>
                  <w:noWrap/>
                  <w:tcMar>
                    <w:top w:w="15" w:type="dxa"/>
                    <w:left w:w="15" w:type="dxa"/>
                    <w:right w:w="15" w:type="dxa"/>
                  </w:tcMar>
                  <w:vAlign w:val="center"/>
                </w:tcPr>
                <w:p>
                  <w:pPr>
                    <w:jc w:val="center"/>
                    <w:rPr>
                      <w:color w:val="auto"/>
                      <w:sz w:val="18"/>
                      <w:szCs w:val="18"/>
                    </w:rPr>
                  </w:pPr>
                  <w:r>
                    <w:rPr>
                      <w:color w:val="auto"/>
                      <w:sz w:val="18"/>
                      <w:szCs w:val="18"/>
                    </w:rPr>
                    <w:t>预成型机</w:t>
                  </w:r>
                </w:p>
              </w:tc>
              <w:tc>
                <w:tcPr>
                  <w:tcW w:w="478" w:type="pct"/>
                  <w:vMerge w:val="continue"/>
                  <w:noWrap/>
                  <w:tcMar>
                    <w:top w:w="15" w:type="dxa"/>
                    <w:left w:w="15" w:type="dxa"/>
                    <w:right w:w="15" w:type="dxa"/>
                  </w:tcMar>
                  <w:vAlign w:val="center"/>
                </w:tcPr>
                <w:p>
                  <w:pPr>
                    <w:jc w:val="center"/>
                    <w:rPr>
                      <w:color w:val="auto"/>
                      <w:sz w:val="18"/>
                      <w:szCs w:val="18"/>
                    </w:rPr>
                  </w:pPr>
                </w:p>
              </w:tc>
              <w:tc>
                <w:tcPr>
                  <w:tcW w:w="478" w:type="pct"/>
                  <w:vMerge w:val="continue"/>
                  <w:noWrap/>
                  <w:tcMar>
                    <w:top w:w="15" w:type="dxa"/>
                    <w:left w:w="15" w:type="dxa"/>
                    <w:right w:w="15" w:type="dxa"/>
                  </w:tcMar>
                  <w:vAlign w:val="center"/>
                </w:tcPr>
                <w:p>
                  <w:pPr>
                    <w:jc w:val="center"/>
                    <w:rPr>
                      <w:color w:val="auto"/>
                      <w:sz w:val="18"/>
                      <w:szCs w:val="18"/>
                    </w:rPr>
                  </w:pPr>
                </w:p>
              </w:tc>
              <w:tc>
                <w:tcPr>
                  <w:tcW w:w="618" w:type="pct"/>
                  <w:noWrap/>
                  <w:tcMar>
                    <w:top w:w="15" w:type="dxa"/>
                    <w:left w:w="15" w:type="dxa"/>
                    <w:right w:w="15" w:type="dxa"/>
                  </w:tcMar>
                  <w:vAlign w:val="center"/>
                </w:tcPr>
                <w:p>
                  <w:pPr>
                    <w:widowControl/>
                    <w:adjustRightInd w:val="0"/>
                    <w:snapToGrid w:val="0"/>
                    <w:jc w:val="center"/>
                    <w:textAlignment w:val="center"/>
                    <w:rPr>
                      <w:color w:val="auto"/>
                      <w:kern w:val="0"/>
                      <w:sz w:val="18"/>
                      <w:szCs w:val="18"/>
                      <w:lang w:bidi="ar"/>
                    </w:rPr>
                  </w:pPr>
                  <w:r>
                    <w:rPr>
                      <w:rFonts w:hint="eastAsia"/>
                      <w:color w:val="auto"/>
                      <w:sz w:val="18"/>
                      <w:szCs w:val="18"/>
                    </w:rPr>
                    <w:t>80</w:t>
                  </w:r>
                </w:p>
              </w:tc>
              <w:tc>
                <w:tcPr>
                  <w:tcW w:w="570" w:type="pct"/>
                  <w:noWrap/>
                  <w:tcMar>
                    <w:top w:w="15" w:type="dxa"/>
                    <w:left w:w="15" w:type="dxa"/>
                    <w:right w:w="15" w:type="dxa"/>
                  </w:tcMar>
                  <w:vAlign w:val="center"/>
                </w:tcPr>
                <w:p>
                  <w:pPr>
                    <w:snapToGrid w:val="0"/>
                    <w:spacing w:line="240" w:lineRule="atLeast"/>
                    <w:jc w:val="center"/>
                    <w:rPr>
                      <w:bCs/>
                      <w:color w:val="auto"/>
                      <w:sz w:val="18"/>
                      <w:szCs w:val="18"/>
                    </w:rPr>
                  </w:pPr>
                  <w:r>
                    <w:rPr>
                      <w:color w:val="auto"/>
                      <w:kern w:val="0"/>
                      <w:sz w:val="18"/>
                      <w:szCs w:val="18"/>
                    </w:rPr>
                    <w:t>减振底座</w:t>
                  </w:r>
                </w:p>
              </w:tc>
              <w:tc>
                <w:tcPr>
                  <w:tcW w:w="494" w:type="pct"/>
                  <w:noWrap/>
                  <w:tcMar>
                    <w:top w:w="15" w:type="dxa"/>
                    <w:left w:w="15" w:type="dxa"/>
                    <w:right w:w="15" w:type="dxa"/>
                  </w:tcMar>
                  <w:vAlign w:val="center"/>
                </w:tcPr>
                <w:p>
                  <w:pPr>
                    <w:snapToGrid w:val="0"/>
                    <w:spacing w:line="240" w:lineRule="atLeast"/>
                    <w:jc w:val="center"/>
                    <w:rPr>
                      <w:bCs/>
                      <w:color w:val="auto"/>
                      <w:kern w:val="0"/>
                      <w:sz w:val="18"/>
                      <w:szCs w:val="18"/>
                    </w:rPr>
                  </w:pPr>
                  <w:r>
                    <w:rPr>
                      <w:bCs/>
                      <w:color w:val="auto"/>
                      <w:kern w:val="0"/>
                      <w:sz w:val="18"/>
                      <w:szCs w:val="18"/>
                    </w:rPr>
                    <w:t>10</w:t>
                  </w:r>
                </w:p>
              </w:tc>
              <w:tc>
                <w:tcPr>
                  <w:tcW w:w="294" w:type="pct"/>
                  <w:vMerge w:val="continue"/>
                  <w:noWrap/>
                  <w:tcMar>
                    <w:top w:w="15" w:type="dxa"/>
                    <w:left w:w="15" w:type="dxa"/>
                    <w:right w:w="15" w:type="dxa"/>
                  </w:tcMar>
                  <w:vAlign w:val="center"/>
                </w:tcPr>
                <w:p>
                  <w:pPr>
                    <w:jc w:val="center"/>
                    <w:rPr>
                      <w:color w:val="auto"/>
                      <w:sz w:val="18"/>
                      <w:szCs w:val="18"/>
                    </w:rPr>
                  </w:pPr>
                </w:p>
              </w:tc>
              <w:tc>
                <w:tcPr>
                  <w:tcW w:w="425" w:type="pct"/>
                  <w:noWrap/>
                  <w:tcMar>
                    <w:top w:w="15" w:type="dxa"/>
                    <w:left w:w="15" w:type="dxa"/>
                    <w:right w:w="15" w:type="dxa"/>
                  </w:tcMar>
                  <w:vAlign w:val="center"/>
                </w:tcPr>
                <w:p>
                  <w:pPr>
                    <w:pStyle w:val="361"/>
                    <w:rPr>
                      <w:color w:val="auto"/>
                      <w:kern w:val="0"/>
                      <w:sz w:val="18"/>
                      <w:szCs w:val="18"/>
                      <w:lang w:bidi="ar"/>
                    </w:rPr>
                  </w:pPr>
                  <w:r>
                    <w:rPr>
                      <w:rFonts w:hint="eastAsia" w:eastAsia="宋体"/>
                      <w:color w:val="auto"/>
                      <w:sz w:val="18"/>
                      <w:szCs w:val="18"/>
                    </w:rPr>
                    <w:t>70</w:t>
                  </w:r>
                </w:p>
              </w:tc>
              <w:tc>
                <w:tcPr>
                  <w:tcW w:w="352" w:type="pct"/>
                  <w:noWrap/>
                  <w:tcMar>
                    <w:top w:w="15" w:type="dxa"/>
                    <w:left w:w="15" w:type="dxa"/>
                    <w:right w:w="15" w:type="dxa"/>
                  </w:tcMar>
                  <w:vAlign w:val="center"/>
                </w:tcPr>
                <w:p>
                  <w:pPr>
                    <w:snapToGrid w:val="0"/>
                    <w:spacing w:line="240" w:lineRule="atLeast"/>
                    <w:jc w:val="center"/>
                    <w:rPr>
                      <w:bCs/>
                      <w:color w:val="auto"/>
                      <w:sz w:val="18"/>
                      <w:szCs w:val="18"/>
                    </w:rPr>
                  </w:pPr>
                  <w:r>
                    <w:rPr>
                      <w:color w:val="auto"/>
                      <w:sz w:val="18"/>
                      <w:szCs w:val="18"/>
                    </w:rPr>
                    <w:t>0:00~24:00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continue"/>
                  <w:noWrap/>
                  <w:tcMar>
                    <w:top w:w="15" w:type="dxa"/>
                    <w:left w:w="15" w:type="dxa"/>
                    <w:right w:w="15" w:type="dxa"/>
                  </w:tcMar>
                  <w:vAlign w:val="center"/>
                </w:tcPr>
                <w:p>
                  <w:pPr>
                    <w:jc w:val="center"/>
                    <w:rPr>
                      <w:color w:val="auto"/>
                      <w:sz w:val="18"/>
                      <w:szCs w:val="18"/>
                    </w:rPr>
                  </w:pPr>
                </w:p>
              </w:tc>
              <w:tc>
                <w:tcPr>
                  <w:tcW w:w="408" w:type="pct"/>
                  <w:noWrap/>
                  <w:tcMar>
                    <w:top w:w="15" w:type="dxa"/>
                    <w:left w:w="15" w:type="dxa"/>
                    <w:right w:w="15" w:type="dxa"/>
                  </w:tcMar>
                  <w:vAlign w:val="center"/>
                </w:tcPr>
                <w:p>
                  <w:pPr>
                    <w:jc w:val="center"/>
                    <w:rPr>
                      <w:color w:val="auto"/>
                      <w:sz w:val="18"/>
                      <w:szCs w:val="18"/>
                    </w:rPr>
                  </w:pPr>
                  <w:r>
                    <w:rPr>
                      <w:color w:val="auto"/>
                      <w:sz w:val="18"/>
                      <w:szCs w:val="18"/>
                    </w:rPr>
                    <w:t>模压成型机</w:t>
                  </w:r>
                </w:p>
              </w:tc>
              <w:tc>
                <w:tcPr>
                  <w:tcW w:w="559" w:type="pct"/>
                  <w:noWrap/>
                  <w:tcMar>
                    <w:top w:w="15" w:type="dxa"/>
                    <w:left w:w="15" w:type="dxa"/>
                    <w:right w:w="15" w:type="dxa"/>
                  </w:tcMar>
                  <w:vAlign w:val="center"/>
                </w:tcPr>
                <w:p>
                  <w:pPr>
                    <w:jc w:val="center"/>
                    <w:rPr>
                      <w:color w:val="auto"/>
                      <w:sz w:val="18"/>
                      <w:szCs w:val="18"/>
                    </w:rPr>
                  </w:pPr>
                  <w:r>
                    <w:rPr>
                      <w:color w:val="auto"/>
                      <w:sz w:val="18"/>
                      <w:szCs w:val="18"/>
                    </w:rPr>
                    <w:t>模压成型机</w:t>
                  </w:r>
                </w:p>
              </w:tc>
              <w:tc>
                <w:tcPr>
                  <w:tcW w:w="478" w:type="pct"/>
                  <w:vMerge w:val="continue"/>
                  <w:noWrap/>
                  <w:tcMar>
                    <w:top w:w="15" w:type="dxa"/>
                    <w:left w:w="15" w:type="dxa"/>
                    <w:right w:w="15" w:type="dxa"/>
                  </w:tcMar>
                  <w:vAlign w:val="center"/>
                </w:tcPr>
                <w:p>
                  <w:pPr>
                    <w:jc w:val="center"/>
                    <w:rPr>
                      <w:color w:val="auto"/>
                      <w:sz w:val="18"/>
                      <w:szCs w:val="18"/>
                    </w:rPr>
                  </w:pPr>
                </w:p>
              </w:tc>
              <w:tc>
                <w:tcPr>
                  <w:tcW w:w="478" w:type="pct"/>
                  <w:vMerge w:val="continue"/>
                  <w:noWrap/>
                  <w:tcMar>
                    <w:top w:w="15" w:type="dxa"/>
                    <w:left w:w="15" w:type="dxa"/>
                    <w:right w:w="15" w:type="dxa"/>
                  </w:tcMar>
                  <w:vAlign w:val="center"/>
                </w:tcPr>
                <w:p>
                  <w:pPr>
                    <w:jc w:val="center"/>
                    <w:rPr>
                      <w:color w:val="auto"/>
                      <w:sz w:val="18"/>
                      <w:szCs w:val="18"/>
                    </w:rPr>
                  </w:pPr>
                </w:p>
              </w:tc>
              <w:tc>
                <w:tcPr>
                  <w:tcW w:w="618" w:type="pct"/>
                  <w:noWrap/>
                  <w:tcMar>
                    <w:top w:w="15" w:type="dxa"/>
                    <w:left w:w="15" w:type="dxa"/>
                    <w:right w:w="15" w:type="dxa"/>
                  </w:tcMar>
                  <w:vAlign w:val="center"/>
                </w:tcPr>
                <w:p>
                  <w:pPr>
                    <w:widowControl/>
                    <w:adjustRightInd w:val="0"/>
                    <w:snapToGrid w:val="0"/>
                    <w:jc w:val="center"/>
                    <w:textAlignment w:val="center"/>
                    <w:rPr>
                      <w:color w:val="auto"/>
                      <w:kern w:val="0"/>
                      <w:sz w:val="18"/>
                      <w:szCs w:val="18"/>
                      <w:lang w:bidi="ar"/>
                    </w:rPr>
                  </w:pPr>
                  <w:r>
                    <w:rPr>
                      <w:rFonts w:hint="eastAsia"/>
                      <w:color w:val="auto"/>
                      <w:sz w:val="18"/>
                      <w:szCs w:val="18"/>
                    </w:rPr>
                    <w:t>80</w:t>
                  </w:r>
                </w:p>
              </w:tc>
              <w:tc>
                <w:tcPr>
                  <w:tcW w:w="570"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kern w:val="0"/>
                      <w:sz w:val="18"/>
                      <w:szCs w:val="18"/>
                    </w:rPr>
                    <w:t>减振底座</w:t>
                  </w:r>
                </w:p>
              </w:tc>
              <w:tc>
                <w:tcPr>
                  <w:tcW w:w="494" w:type="pct"/>
                  <w:noWrap/>
                  <w:tcMar>
                    <w:top w:w="15" w:type="dxa"/>
                    <w:left w:w="15" w:type="dxa"/>
                    <w:right w:w="15" w:type="dxa"/>
                  </w:tcMar>
                  <w:vAlign w:val="center"/>
                </w:tcPr>
                <w:p>
                  <w:pPr>
                    <w:snapToGrid w:val="0"/>
                    <w:spacing w:line="240" w:lineRule="atLeast"/>
                    <w:jc w:val="center"/>
                    <w:rPr>
                      <w:bCs/>
                      <w:color w:val="auto"/>
                      <w:kern w:val="0"/>
                      <w:sz w:val="18"/>
                      <w:szCs w:val="18"/>
                    </w:rPr>
                  </w:pPr>
                  <w:r>
                    <w:rPr>
                      <w:bCs/>
                      <w:color w:val="auto"/>
                      <w:kern w:val="0"/>
                      <w:sz w:val="18"/>
                      <w:szCs w:val="18"/>
                    </w:rPr>
                    <w:t>10</w:t>
                  </w:r>
                </w:p>
              </w:tc>
              <w:tc>
                <w:tcPr>
                  <w:tcW w:w="294" w:type="pct"/>
                  <w:vMerge w:val="continue"/>
                  <w:noWrap/>
                  <w:tcMar>
                    <w:top w:w="15" w:type="dxa"/>
                    <w:left w:w="15" w:type="dxa"/>
                    <w:right w:w="15" w:type="dxa"/>
                  </w:tcMar>
                  <w:vAlign w:val="center"/>
                </w:tcPr>
                <w:p>
                  <w:pPr>
                    <w:jc w:val="center"/>
                    <w:rPr>
                      <w:color w:val="auto"/>
                      <w:sz w:val="18"/>
                      <w:szCs w:val="18"/>
                    </w:rPr>
                  </w:pPr>
                </w:p>
              </w:tc>
              <w:tc>
                <w:tcPr>
                  <w:tcW w:w="425" w:type="pct"/>
                  <w:noWrap/>
                  <w:tcMar>
                    <w:top w:w="15" w:type="dxa"/>
                    <w:left w:w="15" w:type="dxa"/>
                    <w:right w:w="15" w:type="dxa"/>
                  </w:tcMar>
                  <w:vAlign w:val="center"/>
                </w:tcPr>
                <w:p>
                  <w:pPr>
                    <w:pStyle w:val="361"/>
                    <w:rPr>
                      <w:color w:val="auto"/>
                      <w:kern w:val="0"/>
                      <w:sz w:val="18"/>
                      <w:szCs w:val="18"/>
                      <w:lang w:bidi="ar"/>
                    </w:rPr>
                  </w:pPr>
                  <w:r>
                    <w:rPr>
                      <w:rFonts w:hint="eastAsia" w:eastAsia="宋体"/>
                      <w:color w:val="auto"/>
                      <w:sz w:val="18"/>
                      <w:szCs w:val="18"/>
                    </w:rPr>
                    <w:t>70</w:t>
                  </w:r>
                </w:p>
              </w:tc>
              <w:tc>
                <w:tcPr>
                  <w:tcW w:w="352" w:type="pct"/>
                  <w:noWrap/>
                  <w:tcMar>
                    <w:top w:w="15" w:type="dxa"/>
                    <w:left w:w="15" w:type="dxa"/>
                    <w:right w:w="15" w:type="dxa"/>
                  </w:tcMar>
                  <w:vAlign w:val="center"/>
                </w:tcPr>
                <w:p>
                  <w:pPr>
                    <w:snapToGrid w:val="0"/>
                    <w:spacing w:line="240" w:lineRule="atLeast"/>
                    <w:jc w:val="center"/>
                    <w:rPr>
                      <w:bCs/>
                      <w:color w:val="auto"/>
                      <w:sz w:val="18"/>
                      <w:szCs w:val="18"/>
                    </w:rPr>
                  </w:pPr>
                  <w:r>
                    <w:rPr>
                      <w:color w:val="auto"/>
                      <w:sz w:val="18"/>
                      <w:szCs w:val="18"/>
                    </w:rPr>
                    <w:t>0:00~24:00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continue"/>
                  <w:noWrap/>
                  <w:tcMar>
                    <w:top w:w="15" w:type="dxa"/>
                    <w:left w:w="15" w:type="dxa"/>
                    <w:right w:w="15" w:type="dxa"/>
                  </w:tcMar>
                  <w:vAlign w:val="center"/>
                </w:tcPr>
                <w:p>
                  <w:pPr>
                    <w:jc w:val="center"/>
                    <w:rPr>
                      <w:color w:val="auto"/>
                      <w:sz w:val="18"/>
                      <w:szCs w:val="18"/>
                    </w:rPr>
                  </w:pPr>
                </w:p>
              </w:tc>
              <w:tc>
                <w:tcPr>
                  <w:tcW w:w="408" w:type="pct"/>
                  <w:noWrap/>
                  <w:tcMar>
                    <w:top w:w="15" w:type="dxa"/>
                    <w:left w:w="15" w:type="dxa"/>
                    <w:right w:w="15" w:type="dxa"/>
                  </w:tcMar>
                  <w:vAlign w:val="center"/>
                </w:tcPr>
                <w:p>
                  <w:pPr>
                    <w:jc w:val="center"/>
                    <w:rPr>
                      <w:color w:val="auto"/>
                      <w:sz w:val="18"/>
                      <w:szCs w:val="18"/>
                    </w:rPr>
                  </w:pPr>
                  <w:r>
                    <w:rPr>
                      <w:color w:val="auto"/>
                      <w:sz w:val="18"/>
                      <w:szCs w:val="18"/>
                    </w:rPr>
                    <w:t>挤出成型机</w:t>
                  </w:r>
                </w:p>
              </w:tc>
              <w:tc>
                <w:tcPr>
                  <w:tcW w:w="559" w:type="pct"/>
                  <w:noWrap/>
                  <w:tcMar>
                    <w:top w:w="15" w:type="dxa"/>
                    <w:left w:w="15" w:type="dxa"/>
                    <w:right w:w="15" w:type="dxa"/>
                  </w:tcMar>
                  <w:vAlign w:val="center"/>
                </w:tcPr>
                <w:p>
                  <w:pPr>
                    <w:jc w:val="center"/>
                    <w:rPr>
                      <w:color w:val="auto"/>
                      <w:sz w:val="18"/>
                      <w:szCs w:val="18"/>
                    </w:rPr>
                  </w:pPr>
                  <w:r>
                    <w:rPr>
                      <w:color w:val="auto"/>
                      <w:sz w:val="18"/>
                      <w:szCs w:val="18"/>
                    </w:rPr>
                    <w:t>挤出成型机</w:t>
                  </w:r>
                </w:p>
              </w:tc>
              <w:tc>
                <w:tcPr>
                  <w:tcW w:w="478" w:type="pct"/>
                  <w:vMerge w:val="continue"/>
                  <w:noWrap/>
                  <w:tcMar>
                    <w:top w:w="15" w:type="dxa"/>
                    <w:left w:w="15" w:type="dxa"/>
                    <w:right w:w="15" w:type="dxa"/>
                  </w:tcMar>
                  <w:vAlign w:val="center"/>
                </w:tcPr>
                <w:p>
                  <w:pPr>
                    <w:jc w:val="center"/>
                    <w:rPr>
                      <w:color w:val="auto"/>
                      <w:sz w:val="18"/>
                      <w:szCs w:val="18"/>
                    </w:rPr>
                  </w:pPr>
                </w:p>
              </w:tc>
              <w:tc>
                <w:tcPr>
                  <w:tcW w:w="478" w:type="pct"/>
                  <w:vMerge w:val="continue"/>
                  <w:noWrap/>
                  <w:tcMar>
                    <w:top w:w="15" w:type="dxa"/>
                    <w:left w:w="15" w:type="dxa"/>
                    <w:right w:w="15" w:type="dxa"/>
                  </w:tcMar>
                  <w:vAlign w:val="center"/>
                </w:tcPr>
                <w:p>
                  <w:pPr>
                    <w:jc w:val="center"/>
                    <w:rPr>
                      <w:color w:val="auto"/>
                      <w:sz w:val="18"/>
                      <w:szCs w:val="18"/>
                    </w:rPr>
                  </w:pPr>
                </w:p>
              </w:tc>
              <w:tc>
                <w:tcPr>
                  <w:tcW w:w="618" w:type="pct"/>
                  <w:noWrap/>
                  <w:tcMar>
                    <w:top w:w="15" w:type="dxa"/>
                    <w:left w:w="15" w:type="dxa"/>
                    <w:right w:w="15" w:type="dxa"/>
                  </w:tcMar>
                  <w:vAlign w:val="center"/>
                </w:tcPr>
                <w:p>
                  <w:pPr>
                    <w:widowControl/>
                    <w:adjustRightInd w:val="0"/>
                    <w:snapToGrid w:val="0"/>
                    <w:jc w:val="center"/>
                    <w:textAlignment w:val="center"/>
                    <w:rPr>
                      <w:color w:val="auto"/>
                      <w:kern w:val="0"/>
                      <w:sz w:val="18"/>
                      <w:szCs w:val="18"/>
                      <w:lang w:bidi="ar"/>
                    </w:rPr>
                  </w:pPr>
                  <w:r>
                    <w:rPr>
                      <w:rFonts w:hint="eastAsia"/>
                      <w:color w:val="auto"/>
                      <w:sz w:val="18"/>
                      <w:szCs w:val="18"/>
                    </w:rPr>
                    <w:t>80</w:t>
                  </w:r>
                </w:p>
              </w:tc>
              <w:tc>
                <w:tcPr>
                  <w:tcW w:w="570"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kern w:val="0"/>
                      <w:sz w:val="18"/>
                      <w:szCs w:val="18"/>
                    </w:rPr>
                    <w:t>减振底座</w:t>
                  </w:r>
                </w:p>
              </w:tc>
              <w:tc>
                <w:tcPr>
                  <w:tcW w:w="494" w:type="pct"/>
                  <w:noWrap/>
                  <w:tcMar>
                    <w:top w:w="15" w:type="dxa"/>
                    <w:left w:w="15" w:type="dxa"/>
                    <w:right w:w="15" w:type="dxa"/>
                  </w:tcMar>
                  <w:vAlign w:val="center"/>
                </w:tcPr>
                <w:p>
                  <w:pPr>
                    <w:snapToGrid w:val="0"/>
                    <w:spacing w:line="240" w:lineRule="atLeast"/>
                    <w:jc w:val="center"/>
                    <w:rPr>
                      <w:bCs/>
                      <w:color w:val="auto"/>
                      <w:kern w:val="0"/>
                      <w:sz w:val="18"/>
                      <w:szCs w:val="18"/>
                    </w:rPr>
                  </w:pPr>
                  <w:r>
                    <w:rPr>
                      <w:bCs/>
                      <w:color w:val="auto"/>
                      <w:kern w:val="0"/>
                      <w:sz w:val="18"/>
                      <w:szCs w:val="18"/>
                    </w:rPr>
                    <w:t>10</w:t>
                  </w:r>
                </w:p>
              </w:tc>
              <w:tc>
                <w:tcPr>
                  <w:tcW w:w="294" w:type="pct"/>
                  <w:vMerge w:val="continue"/>
                  <w:noWrap/>
                  <w:tcMar>
                    <w:top w:w="15" w:type="dxa"/>
                    <w:left w:w="15" w:type="dxa"/>
                    <w:right w:w="15" w:type="dxa"/>
                  </w:tcMar>
                  <w:vAlign w:val="center"/>
                </w:tcPr>
                <w:p>
                  <w:pPr>
                    <w:jc w:val="center"/>
                    <w:rPr>
                      <w:color w:val="auto"/>
                      <w:sz w:val="18"/>
                      <w:szCs w:val="18"/>
                    </w:rPr>
                  </w:pPr>
                </w:p>
              </w:tc>
              <w:tc>
                <w:tcPr>
                  <w:tcW w:w="425" w:type="pct"/>
                  <w:noWrap/>
                  <w:tcMar>
                    <w:top w:w="15" w:type="dxa"/>
                    <w:left w:w="15" w:type="dxa"/>
                    <w:right w:w="15" w:type="dxa"/>
                  </w:tcMar>
                  <w:vAlign w:val="center"/>
                </w:tcPr>
                <w:p>
                  <w:pPr>
                    <w:pStyle w:val="361"/>
                    <w:rPr>
                      <w:color w:val="auto"/>
                      <w:kern w:val="0"/>
                      <w:sz w:val="18"/>
                      <w:szCs w:val="18"/>
                      <w:lang w:bidi="ar"/>
                    </w:rPr>
                  </w:pPr>
                  <w:r>
                    <w:rPr>
                      <w:rFonts w:hint="eastAsia" w:eastAsia="宋体"/>
                      <w:color w:val="auto"/>
                      <w:sz w:val="18"/>
                      <w:szCs w:val="18"/>
                    </w:rPr>
                    <w:t>70</w:t>
                  </w:r>
                </w:p>
              </w:tc>
              <w:tc>
                <w:tcPr>
                  <w:tcW w:w="352" w:type="pct"/>
                  <w:noWrap/>
                  <w:tcMar>
                    <w:top w:w="15" w:type="dxa"/>
                    <w:left w:w="15" w:type="dxa"/>
                    <w:right w:w="15" w:type="dxa"/>
                  </w:tcMar>
                  <w:vAlign w:val="center"/>
                </w:tcPr>
                <w:p>
                  <w:pPr>
                    <w:snapToGrid w:val="0"/>
                    <w:spacing w:line="240" w:lineRule="atLeast"/>
                    <w:jc w:val="center"/>
                    <w:rPr>
                      <w:bCs/>
                      <w:color w:val="auto"/>
                      <w:sz w:val="18"/>
                      <w:szCs w:val="18"/>
                    </w:rPr>
                  </w:pPr>
                  <w:r>
                    <w:rPr>
                      <w:color w:val="auto"/>
                      <w:sz w:val="18"/>
                      <w:szCs w:val="18"/>
                    </w:rPr>
                    <w:t>0:00~24:00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continue"/>
                  <w:noWrap/>
                  <w:tcMar>
                    <w:top w:w="15" w:type="dxa"/>
                    <w:left w:w="15" w:type="dxa"/>
                    <w:right w:w="15" w:type="dxa"/>
                  </w:tcMar>
                  <w:vAlign w:val="center"/>
                </w:tcPr>
                <w:p>
                  <w:pPr>
                    <w:jc w:val="center"/>
                    <w:rPr>
                      <w:color w:val="auto"/>
                      <w:sz w:val="18"/>
                      <w:szCs w:val="18"/>
                    </w:rPr>
                  </w:pPr>
                </w:p>
              </w:tc>
              <w:tc>
                <w:tcPr>
                  <w:tcW w:w="408" w:type="pct"/>
                  <w:noWrap/>
                  <w:tcMar>
                    <w:top w:w="15" w:type="dxa"/>
                    <w:left w:w="15" w:type="dxa"/>
                    <w:right w:w="15" w:type="dxa"/>
                  </w:tcMar>
                  <w:vAlign w:val="center"/>
                </w:tcPr>
                <w:p>
                  <w:pPr>
                    <w:jc w:val="center"/>
                    <w:rPr>
                      <w:color w:val="auto"/>
                      <w:sz w:val="18"/>
                      <w:szCs w:val="18"/>
                    </w:rPr>
                  </w:pPr>
                  <w:r>
                    <w:rPr>
                      <w:color w:val="auto"/>
                      <w:sz w:val="18"/>
                      <w:szCs w:val="18"/>
                    </w:rPr>
                    <w:t>烘箱</w:t>
                  </w:r>
                </w:p>
              </w:tc>
              <w:tc>
                <w:tcPr>
                  <w:tcW w:w="559" w:type="pct"/>
                  <w:noWrap/>
                  <w:tcMar>
                    <w:top w:w="15" w:type="dxa"/>
                    <w:left w:w="15" w:type="dxa"/>
                    <w:right w:w="15" w:type="dxa"/>
                  </w:tcMar>
                  <w:vAlign w:val="center"/>
                </w:tcPr>
                <w:p>
                  <w:pPr>
                    <w:jc w:val="center"/>
                    <w:rPr>
                      <w:color w:val="auto"/>
                      <w:sz w:val="18"/>
                      <w:szCs w:val="18"/>
                      <w:lang w:bidi="ar"/>
                    </w:rPr>
                  </w:pPr>
                  <w:r>
                    <w:rPr>
                      <w:color w:val="auto"/>
                      <w:sz w:val="18"/>
                      <w:szCs w:val="18"/>
                    </w:rPr>
                    <w:t>烘箱</w:t>
                  </w:r>
                </w:p>
              </w:tc>
              <w:tc>
                <w:tcPr>
                  <w:tcW w:w="478" w:type="pct"/>
                  <w:vMerge w:val="continue"/>
                  <w:noWrap/>
                  <w:tcMar>
                    <w:top w:w="15" w:type="dxa"/>
                    <w:left w:w="15" w:type="dxa"/>
                    <w:right w:w="15" w:type="dxa"/>
                  </w:tcMar>
                  <w:vAlign w:val="center"/>
                </w:tcPr>
                <w:p>
                  <w:pPr>
                    <w:jc w:val="center"/>
                    <w:rPr>
                      <w:color w:val="auto"/>
                      <w:sz w:val="18"/>
                      <w:szCs w:val="18"/>
                    </w:rPr>
                  </w:pPr>
                </w:p>
              </w:tc>
              <w:tc>
                <w:tcPr>
                  <w:tcW w:w="478" w:type="pct"/>
                  <w:vMerge w:val="continue"/>
                  <w:noWrap/>
                  <w:tcMar>
                    <w:top w:w="15" w:type="dxa"/>
                    <w:left w:w="15" w:type="dxa"/>
                    <w:right w:w="15" w:type="dxa"/>
                  </w:tcMar>
                  <w:vAlign w:val="center"/>
                </w:tcPr>
                <w:p>
                  <w:pPr>
                    <w:jc w:val="center"/>
                    <w:rPr>
                      <w:color w:val="auto"/>
                      <w:sz w:val="18"/>
                      <w:szCs w:val="18"/>
                    </w:rPr>
                  </w:pPr>
                </w:p>
              </w:tc>
              <w:tc>
                <w:tcPr>
                  <w:tcW w:w="618" w:type="pct"/>
                  <w:noWrap/>
                  <w:tcMar>
                    <w:top w:w="15" w:type="dxa"/>
                    <w:left w:w="15" w:type="dxa"/>
                    <w:right w:w="15" w:type="dxa"/>
                  </w:tcMar>
                  <w:vAlign w:val="center"/>
                </w:tcPr>
                <w:p>
                  <w:pPr>
                    <w:adjustRightInd w:val="0"/>
                    <w:snapToGrid w:val="0"/>
                    <w:jc w:val="center"/>
                    <w:rPr>
                      <w:bCs/>
                      <w:color w:val="auto"/>
                      <w:kern w:val="0"/>
                      <w:sz w:val="18"/>
                      <w:szCs w:val="18"/>
                      <w:lang w:bidi="ar"/>
                    </w:rPr>
                  </w:pPr>
                  <w:r>
                    <w:rPr>
                      <w:rFonts w:hint="eastAsia"/>
                      <w:color w:val="auto"/>
                      <w:sz w:val="18"/>
                      <w:szCs w:val="18"/>
                    </w:rPr>
                    <w:t>75</w:t>
                  </w:r>
                </w:p>
              </w:tc>
              <w:tc>
                <w:tcPr>
                  <w:tcW w:w="570"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kern w:val="0"/>
                      <w:sz w:val="18"/>
                      <w:szCs w:val="18"/>
                    </w:rPr>
                    <w:t>减振底座</w:t>
                  </w:r>
                </w:p>
              </w:tc>
              <w:tc>
                <w:tcPr>
                  <w:tcW w:w="494" w:type="pct"/>
                  <w:noWrap/>
                  <w:tcMar>
                    <w:top w:w="15" w:type="dxa"/>
                    <w:left w:w="15" w:type="dxa"/>
                    <w:right w:w="15" w:type="dxa"/>
                  </w:tcMar>
                  <w:vAlign w:val="center"/>
                </w:tcPr>
                <w:p>
                  <w:pPr>
                    <w:snapToGrid w:val="0"/>
                    <w:spacing w:line="240" w:lineRule="atLeast"/>
                    <w:jc w:val="center"/>
                    <w:rPr>
                      <w:bCs/>
                      <w:color w:val="auto"/>
                      <w:sz w:val="18"/>
                      <w:szCs w:val="18"/>
                      <w:lang w:bidi="ar"/>
                    </w:rPr>
                  </w:pPr>
                  <w:r>
                    <w:rPr>
                      <w:bCs/>
                      <w:color w:val="auto"/>
                      <w:kern w:val="0"/>
                      <w:sz w:val="18"/>
                      <w:szCs w:val="18"/>
                    </w:rPr>
                    <w:t>10</w:t>
                  </w:r>
                </w:p>
              </w:tc>
              <w:tc>
                <w:tcPr>
                  <w:tcW w:w="294" w:type="pct"/>
                  <w:vMerge w:val="continue"/>
                  <w:noWrap/>
                  <w:tcMar>
                    <w:top w:w="15" w:type="dxa"/>
                    <w:left w:w="15" w:type="dxa"/>
                    <w:right w:w="15" w:type="dxa"/>
                  </w:tcMar>
                  <w:vAlign w:val="center"/>
                </w:tcPr>
                <w:p>
                  <w:pPr>
                    <w:jc w:val="center"/>
                    <w:rPr>
                      <w:color w:val="auto"/>
                      <w:sz w:val="18"/>
                      <w:szCs w:val="18"/>
                    </w:rPr>
                  </w:pPr>
                </w:p>
              </w:tc>
              <w:tc>
                <w:tcPr>
                  <w:tcW w:w="425" w:type="pct"/>
                  <w:noWrap/>
                  <w:tcMar>
                    <w:top w:w="15" w:type="dxa"/>
                    <w:left w:w="15" w:type="dxa"/>
                    <w:right w:w="15" w:type="dxa"/>
                  </w:tcMar>
                  <w:vAlign w:val="center"/>
                </w:tcPr>
                <w:p>
                  <w:pPr>
                    <w:pStyle w:val="361"/>
                    <w:rPr>
                      <w:color w:val="auto"/>
                      <w:kern w:val="0"/>
                      <w:sz w:val="18"/>
                      <w:szCs w:val="18"/>
                      <w:lang w:bidi="ar"/>
                    </w:rPr>
                  </w:pPr>
                  <w:r>
                    <w:rPr>
                      <w:rFonts w:hint="eastAsia" w:eastAsia="宋体"/>
                      <w:color w:val="auto"/>
                      <w:sz w:val="18"/>
                      <w:szCs w:val="18"/>
                    </w:rPr>
                    <w:t>65</w:t>
                  </w:r>
                </w:p>
              </w:tc>
              <w:tc>
                <w:tcPr>
                  <w:tcW w:w="352"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sz w:val="18"/>
                      <w:szCs w:val="18"/>
                    </w:rPr>
                    <w:t>0:00~24:00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continue"/>
                  <w:noWrap/>
                  <w:tcMar>
                    <w:top w:w="15" w:type="dxa"/>
                    <w:left w:w="15" w:type="dxa"/>
                    <w:right w:w="15" w:type="dxa"/>
                  </w:tcMar>
                  <w:vAlign w:val="center"/>
                </w:tcPr>
                <w:p>
                  <w:pPr>
                    <w:jc w:val="center"/>
                    <w:rPr>
                      <w:color w:val="auto"/>
                      <w:sz w:val="18"/>
                      <w:szCs w:val="18"/>
                    </w:rPr>
                  </w:pPr>
                </w:p>
              </w:tc>
              <w:tc>
                <w:tcPr>
                  <w:tcW w:w="408" w:type="pct"/>
                  <w:noWrap/>
                  <w:tcMar>
                    <w:top w:w="15" w:type="dxa"/>
                    <w:left w:w="15" w:type="dxa"/>
                    <w:right w:w="15" w:type="dxa"/>
                  </w:tcMar>
                  <w:vAlign w:val="center"/>
                </w:tcPr>
                <w:p>
                  <w:pPr>
                    <w:jc w:val="center"/>
                    <w:rPr>
                      <w:color w:val="auto"/>
                      <w:sz w:val="18"/>
                      <w:szCs w:val="18"/>
                    </w:rPr>
                  </w:pPr>
                  <w:r>
                    <w:rPr>
                      <w:rFonts w:hint="eastAsia"/>
                      <w:color w:val="auto"/>
                      <w:sz w:val="18"/>
                      <w:szCs w:val="18"/>
                    </w:rPr>
                    <w:t>离心修边机</w:t>
                  </w:r>
                </w:p>
              </w:tc>
              <w:tc>
                <w:tcPr>
                  <w:tcW w:w="559" w:type="pct"/>
                  <w:noWrap/>
                  <w:tcMar>
                    <w:top w:w="15" w:type="dxa"/>
                    <w:left w:w="15" w:type="dxa"/>
                    <w:right w:w="15" w:type="dxa"/>
                  </w:tcMar>
                  <w:vAlign w:val="center"/>
                </w:tcPr>
                <w:p>
                  <w:pPr>
                    <w:jc w:val="center"/>
                    <w:rPr>
                      <w:color w:val="auto"/>
                      <w:sz w:val="18"/>
                      <w:szCs w:val="18"/>
                      <w:lang w:bidi="ar"/>
                    </w:rPr>
                  </w:pPr>
                  <w:r>
                    <w:rPr>
                      <w:rFonts w:hint="eastAsia"/>
                      <w:color w:val="auto"/>
                      <w:sz w:val="18"/>
                      <w:szCs w:val="18"/>
                    </w:rPr>
                    <w:t>离心修边机</w:t>
                  </w:r>
                </w:p>
              </w:tc>
              <w:tc>
                <w:tcPr>
                  <w:tcW w:w="478" w:type="pct"/>
                  <w:vMerge w:val="continue"/>
                  <w:noWrap/>
                  <w:tcMar>
                    <w:top w:w="15" w:type="dxa"/>
                    <w:left w:w="15" w:type="dxa"/>
                    <w:right w:w="15" w:type="dxa"/>
                  </w:tcMar>
                  <w:vAlign w:val="center"/>
                </w:tcPr>
                <w:p>
                  <w:pPr>
                    <w:jc w:val="center"/>
                    <w:rPr>
                      <w:color w:val="auto"/>
                      <w:sz w:val="18"/>
                      <w:szCs w:val="18"/>
                    </w:rPr>
                  </w:pPr>
                </w:p>
              </w:tc>
              <w:tc>
                <w:tcPr>
                  <w:tcW w:w="478" w:type="pct"/>
                  <w:vMerge w:val="continue"/>
                  <w:noWrap/>
                  <w:tcMar>
                    <w:top w:w="15" w:type="dxa"/>
                    <w:left w:w="15" w:type="dxa"/>
                    <w:right w:w="15" w:type="dxa"/>
                  </w:tcMar>
                  <w:vAlign w:val="center"/>
                </w:tcPr>
                <w:p>
                  <w:pPr>
                    <w:jc w:val="center"/>
                    <w:rPr>
                      <w:color w:val="auto"/>
                      <w:sz w:val="18"/>
                      <w:szCs w:val="18"/>
                    </w:rPr>
                  </w:pPr>
                </w:p>
              </w:tc>
              <w:tc>
                <w:tcPr>
                  <w:tcW w:w="618" w:type="pct"/>
                  <w:noWrap/>
                  <w:tcMar>
                    <w:top w:w="15" w:type="dxa"/>
                    <w:left w:w="15" w:type="dxa"/>
                    <w:right w:w="15" w:type="dxa"/>
                  </w:tcMar>
                  <w:vAlign w:val="center"/>
                </w:tcPr>
                <w:p>
                  <w:pPr>
                    <w:widowControl/>
                    <w:adjustRightInd w:val="0"/>
                    <w:snapToGrid w:val="0"/>
                    <w:jc w:val="center"/>
                    <w:textAlignment w:val="center"/>
                    <w:rPr>
                      <w:bCs/>
                      <w:color w:val="auto"/>
                      <w:kern w:val="0"/>
                      <w:sz w:val="18"/>
                      <w:szCs w:val="18"/>
                      <w:lang w:bidi="ar"/>
                    </w:rPr>
                  </w:pPr>
                  <w:r>
                    <w:rPr>
                      <w:rFonts w:hint="eastAsia"/>
                      <w:color w:val="auto"/>
                      <w:sz w:val="18"/>
                      <w:szCs w:val="18"/>
                    </w:rPr>
                    <w:t>75</w:t>
                  </w:r>
                </w:p>
              </w:tc>
              <w:tc>
                <w:tcPr>
                  <w:tcW w:w="570"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kern w:val="0"/>
                      <w:sz w:val="18"/>
                      <w:szCs w:val="18"/>
                    </w:rPr>
                    <w:t>减振底座</w:t>
                  </w:r>
                </w:p>
              </w:tc>
              <w:tc>
                <w:tcPr>
                  <w:tcW w:w="494" w:type="pct"/>
                  <w:noWrap/>
                  <w:tcMar>
                    <w:top w:w="15" w:type="dxa"/>
                    <w:left w:w="15" w:type="dxa"/>
                    <w:right w:w="15" w:type="dxa"/>
                  </w:tcMar>
                  <w:vAlign w:val="center"/>
                </w:tcPr>
                <w:p>
                  <w:pPr>
                    <w:snapToGrid w:val="0"/>
                    <w:spacing w:line="240" w:lineRule="atLeast"/>
                    <w:jc w:val="center"/>
                    <w:rPr>
                      <w:bCs/>
                      <w:color w:val="auto"/>
                      <w:sz w:val="18"/>
                      <w:szCs w:val="18"/>
                      <w:lang w:bidi="ar"/>
                    </w:rPr>
                  </w:pPr>
                  <w:r>
                    <w:rPr>
                      <w:bCs/>
                      <w:color w:val="auto"/>
                      <w:kern w:val="0"/>
                      <w:sz w:val="18"/>
                      <w:szCs w:val="18"/>
                    </w:rPr>
                    <w:t>10</w:t>
                  </w:r>
                </w:p>
              </w:tc>
              <w:tc>
                <w:tcPr>
                  <w:tcW w:w="294" w:type="pct"/>
                  <w:vMerge w:val="continue"/>
                  <w:noWrap/>
                  <w:tcMar>
                    <w:top w:w="15" w:type="dxa"/>
                    <w:left w:w="15" w:type="dxa"/>
                    <w:right w:w="15" w:type="dxa"/>
                  </w:tcMar>
                  <w:vAlign w:val="center"/>
                </w:tcPr>
                <w:p>
                  <w:pPr>
                    <w:jc w:val="center"/>
                    <w:rPr>
                      <w:color w:val="auto"/>
                      <w:sz w:val="18"/>
                      <w:szCs w:val="18"/>
                    </w:rPr>
                  </w:pPr>
                </w:p>
              </w:tc>
              <w:tc>
                <w:tcPr>
                  <w:tcW w:w="425" w:type="pct"/>
                  <w:noWrap/>
                  <w:tcMar>
                    <w:top w:w="15" w:type="dxa"/>
                    <w:left w:w="15" w:type="dxa"/>
                    <w:right w:w="15" w:type="dxa"/>
                  </w:tcMar>
                  <w:vAlign w:val="center"/>
                </w:tcPr>
                <w:p>
                  <w:pPr>
                    <w:pStyle w:val="361"/>
                    <w:rPr>
                      <w:color w:val="auto"/>
                      <w:kern w:val="0"/>
                      <w:sz w:val="18"/>
                      <w:szCs w:val="18"/>
                      <w:lang w:bidi="ar"/>
                    </w:rPr>
                  </w:pPr>
                  <w:r>
                    <w:rPr>
                      <w:rFonts w:hint="eastAsia" w:eastAsia="宋体"/>
                      <w:color w:val="auto"/>
                      <w:sz w:val="18"/>
                      <w:szCs w:val="18"/>
                    </w:rPr>
                    <w:t>65</w:t>
                  </w:r>
                </w:p>
              </w:tc>
              <w:tc>
                <w:tcPr>
                  <w:tcW w:w="352"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sz w:val="18"/>
                      <w:szCs w:val="18"/>
                    </w:rPr>
                    <w:t>0:00~24:00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continue"/>
                  <w:noWrap/>
                  <w:tcMar>
                    <w:top w:w="15" w:type="dxa"/>
                    <w:left w:w="15" w:type="dxa"/>
                    <w:right w:w="15" w:type="dxa"/>
                  </w:tcMar>
                  <w:vAlign w:val="center"/>
                </w:tcPr>
                <w:p>
                  <w:pPr>
                    <w:jc w:val="center"/>
                    <w:rPr>
                      <w:color w:val="auto"/>
                      <w:sz w:val="18"/>
                      <w:szCs w:val="18"/>
                    </w:rPr>
                  </w:pPr>
                </w:p>
              </w:tc>
              <w:tc>
                <w:tcPr>
                  <w:tcW w:w="408" w:type="pct"/>
                  <w:noWrap/>
                  <w:tcMar>
                    <w:top w:w="15" w:type="dxa"/>
                    <w:left w:w="15" w:type="dxa"/>
                    <w:right w:w="15" w:type="dxa"/>
                  </w:tcMar>
                  <w:vAlign w:val="center"/>
                </w:tcPr>
                <w:p>
                  <w:pPr>
                    <w:jc w:val="center"/>
                    <w:rPr>
                      <w:color w:val="auto"/>
                      <w:sz w:val="18"/>
                      <w:szCs w:val="18"/>
                    </w:rPr>
                  </w:pPr>
                  <w:r>
                    <w:rPr>
                      <w:rFonts w:hint="eastAsia"/>
                      <w:color w:val="auto"/>
                      <w:sz w:val="18"/>
                      <w:szCs w:val="18"/>
                    </w:rPr>
                    <w:t>切条机</w:t>
                  </w:r>
                </w:p>
              </w:tc>
              <w:tc>
                <w:tcPr>
                  <w:tcW w:w="559" w:type="pct"/>
                  <w:noWrap/>
                  <w:tcMar>
                    <w:top w:w="15" w:type="dxa"/>
                    <w:left w:w="15" w:type="dxa"/>
                    <w:right w:w="15" w:type="dxa"/>
                  </w:tcMar>
                  <w:vAlign w:val="center"/>
                </w:tcPr>
                <w:p>
                  <w:pPr>
                    <w:jc w:val="center"/>
                    <w:rPr>
                      <w:color w:val="auto"/>
                      <w:sz w:val="18"/>
                      <w:szCs w:val="18"/>
                      <w:lang w:bidi="ar"/>
                    </w:rPr>
                  </w:pPr>
                  <w:r>
                    <w:rPr>
                      <w:rFonts w:hint="eastAsia"/>
                      <w:color w:val="auto"/>
                      <w:sz w:val="18"/>
                      <w:szCs w:val="18"/>
                    </w:rPr>
                    <w:t>切条机</w:t>
                  </w:r>
                </w:p>
              </w:tc>
              <w:tc>
                <w:tcPr>
                  <w:tcW w:w="478" w:type="pct"/>
                  <w:vMerge w:val="continue"/>
                  <w:noWrap/>
                  <w:tcMar>
                    <w:top w:w="15" w:type="dxa"/>
                    <w:left w:w="15" w:type="dxa"/>
                    <w:right w:w="15" w:type="dxa"/>
                  </w:tcMar>
                  <w:vAlign w:val="center"/>
                </w:tcPr>
                <w:p>
                  <w:pPr>
                    <w:jc w:val="center"/>
                    <w:rPr>
                      <w:color w:val="auto"/>
                      <w:sz w:val="18"/>
                      <w:szCs w:val="18"/>
                    </w:rPr>
                  </w:pPr>
                </w:p>
              </w:tc>
              <w:tc>
                <w:tcPr>
                  <w:tcW w:w="478" w:type="pct"/>
                  <w:vMerge w:val="continue"/>
                  <w:noWrap/>
                  <w:tcMar>
                    <w:top w:w="15" w:type="dxa"/>
                    <w:left w:w="15" w:type="dxa"/>
                    <w:right w:w="15" w:type="dxa"/>
                  </w:tcMar>
                  <w:vAlign w:val="center"/>
                </w:tcPr>
                <w:p>
                  <w:pPr>
                    <w:jc w:val="center"/>
                    <w:rPr>
                      <w:color w:val="auto"/>
                      <w:sz w:val="18"/>
                      <w:szCs w:val="18"/>
                    </w:rPr>
                  </w:pPr>
                </w:p>
              </w:tc>
              <w:tc>
                <w:tcPr>
                  <w:tcW w:w="618" w:type="pct"/>
                  <w:noWrap/>
                  <w:tcMar>
                    <w:top w:w="15" w:type="dxa"/>
                    <w:left w:w="15" w:type="dxa"/>
                    <w:right w:w="15" w:type="dxa"/>
                  </w:tcMar>
                  <w:vAlign w:val="center"/>
                </w:tcPr>
                <w:p>
                  <w:pPr>
                    <w:widowControl/>
                    <w:adjustRightInd w:val="0"/>
                    <w:snapToGrid w:val="0"/>
                    <w:jc w:val="center"/>
                    <w:textAlignment w:val="center"/>
                    <w:rPr>
                      <w:bCs/>
                      <w:color w:val="auto"/>
                      <w:kern w:val="0"/>
                      <w:sz w:val="18"/>
                      <w:szCs w:val="18"/>
                      <w:lang w:bidi="ar"/>
                    </w:rPr>
                  </w:pPr>
                  <w:r>
                    <w:rPr>
                      <w:rFonts w:hint="eastAsia"/>
                      <w:color w:val="auto"/>
                      <w:kern w:val="0"/>
                      <w:sz w:val="18"/>
                      <w:szCs w:val="18"/>
                      <w:lang w:bidi="ar"/>
                    </w:rPr>
                    <w:t>75</w:t>
                  </w:r>
                </w:p>
              </w:tc>
              <w:tc>
                <w:tcPr>
                  <w:tcW w:w="570"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kern w:val="0"/>
                      <w:sz w:val="18"/>
                      <w:szCs w:val="18"/>
                    </w:rPr>
                    <w:t>减振底座</w:t>
                  </w:r>
                </w:p>
              </w:tc>
              <w:tc>
                <w:tcPr>
                  <w:tcW w:w="494" w:type="pct"/>
                  <w:noWrap/>
                  <w:tcMar>
                    <w:top w:w="15" w:type="dxa"/>
                    <w:left w:w="15" w:type="dxa"/>
                    <w:right w:w="15" w:type="dxa"/>
                  </w:tcMar>
                  <w:vAlign w:val="center"/>
                </w:tcPr>
                <w:p>
                  <w:pPr>
                    <w:snapToGrid w:val="0"/>
                    <w:spacing w:line="240" w:lineRule="atLeast"/>
                    <w:jc w:val="center"/>
                    <w:rPr>
                      <w:bCs/>
                      <w:color w:val="auto"/>
                      <w:sz w:val="18"/>
                      <w:szCs w:val="18"/>
                      <w:lang w:bidi="ar"/>
                    </w:rPr>
                  </w:pPr>
                  <w:r>
                    <w:rPr>
                      <w:bCs/>
                      <w:color w:val="auto"/>
                      <w:kern w:val="0"/>
                      <w:sz w:val="18"/>
                      <w:szCs w:val="18"/>
                    </w:rPr>
                    <w:t>10</w:t>
                  </w:r>
                </w:p>
              </w:tc>
              <w:tc>
                <w:tcPr>
                  <w:tcW w:w="294" w:type="pct"/>
                  <w:vMerge w:val="continue"/>
                  <w:noWrap/>
                  <w:tcMar>
                    <w:top w:w="15" w:type="dxa"/>
                    <w:left w:w="15" w:type="dxa"/>
                    <w:right w:w="15" w:type="dxa"/>
                  </w:tcMar>
                  <w:vAlign w:val="center"/>
                </w:tcPr>
                <w:p>
                  <w:pPr>
                    <w:jc w:val="center"/>
                    <w:rPr>
                      <w:color w:val="auto"/>
                      <w:sz w:val="18"/>
                      <w:szCs w:val="18"/>
                    </w:rPr>
                  </w:pPr>
                </w:p>
              </w:tc>
              <w:tc>
                <w:tcPr>
                  <w:tcW w:w="425" w:type="pct"/>
                  <w:noWrap/>
                  <w:tcMar>
                    <w:top w:w="15" w:type="dxa"/>
                    <w:left w:w="15" w:type="dxa"/>
                    <w:right w:w="15" w:type="dxa"/>
                  </w:tcMar>
                  <w:vAlign w:val="center"/>
                </w:tcPr>
                <w:p>
                  <w:pPr>
                    <w:pStyle w:val="361"/>
                    <w:rPr>
                      <w:color w:val="auto"/>
                      <w:kern w:val="0"/>
                      <w:sz w:val="18"/>
                      <w:szCs w:val="18"/>
                      <w:lang w:bidi="ar"/>
                    </w:rPr>
                  </w:pPr>
                  <w:r>
                    <w:rPr>
                      <w:rFonts w:hint="eastAsia" w:eastAsia="宋体"/>
                      <w:color w:val="auto"/>
                      <w:sz w:val="18"/>
                      <w:szCs w:val="18"/>
                    </w:rPr>
                    <w:t>65</w:t>
                  </w:r>
                </w:p>
              </w:tc>
              <w:tc>
                <w:tcPr>
                  <w:tcW w:w="352"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sz w:val="18"/>
                      <w:szCs w:val="18"/>
                    </w:rPr>
                    <w:t>0:00~24:00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continue"/>
                  <w:noWrap/>
                  <w:tcMar>
                    <w:top w:w="15" w:type="dxa"/>
                    <w:left w:w="15" w:type="dxa"/>
                    <w:right w:w="15" w:type="dxa"/>
                  </w:tcMar>
                  <w:vAlign w:val="center"/>
                </w:tcPr>
                <w:p>
                  <w:pPr>
                    <w:jc w:val="center"/>
                    <w:rPr>
                      <w:color w:val="auto"/>
                      <w:sz w:val="18"/>
                      <w:szCs w:val="18"/>
                    </w:rPr>
                  </w:pPr>
                </w:p>
              </w:tc>
              <w:tc>
                <w:tcPr>
                  <w:tcW w:w="408" w:type="pct"/>
                  <w:noWrap/>
                  <w:tcMar>
                    <w:top w:w="15" w:type="dxa"/>
                    <w:left w:w="15" w:type="dxa"/>
                    <w:right w:w="15" w:type="dxa"/>
                  </w:tcMar>
                  <w:vAlign w:val="center"/>
                </w:tcPr>
                <w:p>
                  <w:pPr>
                    <w:jc w:val="center"/>
                    <w:rPr>
                      <w:color w:val="auto"/>
                      <w:sz w:val="18"/>
                      <w:szCs w:val="18"/>
                    </w:rPr>
                  </w:pPr>
                  <w:r>
                    <w:rPr>
                      <w:rFonts w:hint="eastAsia"/>
                      <w:color w:val="auto"/>
                      <w:sz w:val="18"/>
                      <w:szCs w:val="18"/>
                    </w:rPr>
                    <w:t>切胶机</w:t>
                  </w:r>
                </w:p>
              </w:tc>
              <w:tc>
                <w:tcPr>
                  <w:tcW w:w="559" w:type="pct"/>
                  <w:noWrap/>
                  <w:tcMar>
                    <w:top w:w="15" w:type="dxa"/>
                    <w:left w:w="15" w:type="dxa"/>
                    <w:right w:w="15" w:type="dxa"/>
                  </w:tcMar>
                  <w:vAlign w:val="center"/>
                </w:tcPr>
                <w:p>
                  <w:pPr>
                    <w:jc w:val="center"/>
                    <w:rPr>
                      <w:color w:val="auto"/>
                      <w:sz w:val="18"/>
                      <w:szCs w:val="18"/>
                      <w:lang w:bidi="ar"/>
                    </w:rPr>
                  </w:pPr>
                  <w:r>
                    <w:rPr>
                      <w:rFonts w:hint="eastAsia"/>
                      <w:color w:val="auto"/>
                      <w:sz w:val="18"/>
                      <w:szCs w:val="18"/>
                    </w:rPr>
                    <w:t>切胶机</w:t>
                  </w:r>
                </w:p>
              </w:tc>
              <w:tc>
                <w:tcPr>
                  <w:tcW w:w="478" w:type="pct"/>
                  <w:vMerge w:val="continue"/>
                  <w:noWrap/>
                  <w:tcMar>
                    <w:top w:w="15" w:type="dxa"/>
                    <w:left w:w="15" w:type="dxa"/>
                    <w:right w:w="15" w:type="dxa"/>
                  </w:tcMar>
                  <w:vAlign w:val="center"/>
                </w:tcPr>
                <w:p>
                  <w:pPr>
                    <w:jc w:val="center"/>
                    <w:rPr>
                      <w:color w:val="auto"/>
                      <w:sz w:val="18"/>
                      <w:szCs w:val="18"/>
                    </w:rPr>
                  </w:pPr>
                </w:p>
              </w:tc>
              <w:tc>
                <w:tcPr>
                  <w:tcW w:w="478" w:type="pct"/>
                  <w:vMerge w:val="continue"/>
                  <w:noWrap/>
                  <w:tcMar>
                    <w:top w:w="15" w:type="dxa"/>
                    <w:left w:w="15" w:type="dxa"/>
                    <w:right w:w="15" w:type="dxa"/>
                  </w:tcMar>
                  <w:vAlign w:val="center"/>
                </w:tcPr>
                <w:p>
                  <w:pPr>
                    <w:jc w:val="center"/>
                    <w:rPr>
                      <w:color w:val="auto"/>
                      <w:sz w:val="18"/>
                      <w:szCs w:val="18"/>
                    </w:rPr>
                  </w:pPr>
                </w:p>
              </w:tc>
              <w:tc>
                <w:tcPr>
                  <w:tcW w:w="618" w:type="pct"/>
                  <w:noWrap/>
                  <w:tcMar>
                    <w:top w:w="15" w:type="dxa"/>
                    <w:left w:w="15" w:type="dxa"/>
                    <w:right w:w="15" w:type="dxa"/>
                  </w:tcMar>
                  <w:vAlign w:val="center"/>
                </w:tcPr>
                <w:p>
                  <w:pPr>
                    <w:widowControl/>
                    <w:adjustRightInd w:val="0"/>
                    <w:snapToGrid w:val="0"/>
                    <w:jc w:val="center"/>
                    <w:textAlignment w:val="center"/>
                    <w:rPr>
                      <w:bCs/>
                      <w:color w:val="auto"/>
                      <w:kern w:val="0"/>
                      <w:sz w:val="18"/>
                      <w:szCs w:val="18"/>
                      <w:lang w:bidi="ar"/>
                    </w:rPr>
                  </w:pPr>
                  <w:r>
                    <w:rPr>
                      <w:rFonts w:hint="eastAsia"/>
                      <w:color w:val="auto"/>
                      <w:sz w:val="18"/>
                      <w:szCs w:val="18"/>
                    </w:rPr>
                    <w:t>75</w:t>
                  </w:r>
                </w:p>
              </w:tc>
              <w:tc>
                <w:tcPr>
                  <w:tcW w:w="570"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kern w:val="0"/>
                      <w:sz w:val="18"/>
                      <w:szCs w:val="18"/>
                    </w:rPr>
                    <w:t>减振底座</w:t>
                  </w:r>
                </w:p>
              </w:tc>
              <w:tc>
                <w:tcPr>
                  <w:tcW w:w="494" w:type="pct"/>
                  <w:noWrap/>
                  <w:tcMar>
                    <w:top w:w="15" w:type="dxa"/>
                    <w:left w:w="15" w:type="dxa"/>
                    <w:right w:w="15" w:type="dxa"/>
                  </w:tcMar>
                  <w:vAlign w:val="center"/>
                </w:tcPr>
                <w:p>
                  <w:pPr>
                    <w:snapToGrid w:val="0"/>
                    <w:spacing w:line="240" w:lineRule="atLeast"/>
                    <w:jc w:val="center"/>
                    <w:rPr>
                      <w:bCs/>
                      <w:color w:val="auto"/>
                      <w:sz w:val="18"/>
                      <w:szCs w:val="18"/>
                      <w:lang w:bidi="ar"/>
                    </w:rPr>
                  </w:pPr>
                  <w:r>
                    <w:rPr>
                      <w:bCs/>
                      <w:color w:val="auto"/>
                      <w:kern w:val="0"/>
                      <w:sz w:val="18"/>
                      <w:szCs w:val="18"/>
                    </w:rPr>
                    <w:t>10</w:t>
                  </w:r>
                </w:p>
              </w:tc>
              <w:tc>
                <w:tcPr>
                  <w:tcW w:w="294" w:type="pct"/>
                  <w:vMerge w:val="continue"/>
                  <w:noWrap/>
                  <w:tcMar>
                    <w:top w:w="15" w:type="dxa"/>
                    <w:left w:w="15" w:type="dxa"/>
                    <w:right w:w="15" w:type="dxa"/>
                  </w:tcMar>
                  <w:vAlign w:val="center"/>
                </w:tcPr>
                <w:p>
                  <w:pPr>
                    <w:jc w:val="center"/>
                    <w:rPr>
                      <w:color w:val="auto"/>
                      <w:sz w:val="18"/>
                      <w:szCs w:val="18"/>
                    </w:rPr>
                  </w:pPr>
                </w:p>
              </w:tc>
              <w:tc>
                <w:tcPr>
                  <w:tcW w:w="425" w:type="pct"/>
                  <w:noWrap/>
                  <w:tcMar>
                    <w:top w:w="15" w:type="dxa"/>
                    <w:left w:w="15" w:type="dxa"/>
                    <w:right w:w="15" w:type="dxa"/>
                  </w:tcMar>
                  <w:vAlign w:val="center"/>
                </w:tcPr>
                <w:p>
                  <w:pPr>
                    <w:pStyle w:val="361"/>
                    <w:rPr>
                      <w:color w:val="auto"/>
                      <w:kern w:val="0"/>
                      <w:sz w:val="18"/>
                      <w:szCs w:val="18"/>
                      <w:lang w:bidi="ar"/>
                    </w:rPr>
                  </w:pPr>
                  <w:r>
                    <w:rPr>
                      <w:rFonts w:hint="eastAsia" w:eastAsia="宋体"/>
                      <w:color w:val="auto"/>
                      <w:sz w:val="18"/>
                      <w:szCs w:val="18"/>
                    </w:rPr>
                    <w:t>65</w:t>
                  </w:r>
                </w:p>
              </w:tc>
              <w:tc>
                <w:tcPr>
                  <w:tcW w:w="352"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sz w:val="18"/>
                      <w:szCs w:val="18"/>
                    </w:rPr>
                    <w:t>0:00~24:00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continue"/>
                  <w:noWrap/>
                  <w:tcMar>
                    <w:top w:w="15" w:type="dxa"/>
                    <w:left w:w="15" w:type="dxa"/>
                    <w:right w:w="15" w:type="dxa"/>
                  </w:tcMar>
                  <w:vAlign w:val="center"/>
                </w:tcPr>
                <w:p>
                  <w:pPr>
                    <w:jc w:val="center"/>
                    <w:rPr>
                      <w:color w:val="auto"/>
                      <w:sz w:val="18"/>
                      <w:szCs w:val="18"/>
                    </w:rPr>
                  </w:pPr>
                </w:p>
              </w:tc>
              <w:tc>
                <w:tcPr>
                  <w:tcW w:w="408" w:type="pct"/>
                  <w:noWrap/>
                  <w:tcMar>
                    <w:top w:w="15" w:type="dxa"/>
                    <w:left w:w="15" w:type="dxa"/>
                    <w:right w:w="15" w:type="dxa"/>
                  </w:tcMar>
                  <w:vAlign w:val="center"/>
                </w:tcPr>
                <w:p>
                  <w:pPr>
                    <w:jc w:val="center"/>
                    <w:rPr>
                      <w:color w:val="auto"/>
                      <w:sz w:val="18"/>
                      <w:szCs w:val="18"/>
                    </w:rPr>
                  </w:pPr>
                  <w:r>
                    <w:rPr>
                      <w:rFonts w:hint="eastAsia"/>
                      <w:color w:val="auto"/>
                      <w:sz w:val="18"/>
                      <w:szCs w:val="18"/>
                    </w:rPr>
                    <w:t>空压机</w:t>
                  </w:r>
                </w:p>
              </w:tc>
              <w:tc>
                <w:tcPr>
                  <w:tcW w:w="559" w:type="pct"/>
                  <w:noWrap/>
                  <w:tcMar>
                    <w:top w:w="15" w:type="dxa"/>
                    <w:left w:w="15" w:type="dxa"/>
                    <w:right w:w="15" w:type="dxa"/>
                  </w:tcMar>
                  <w:vAlign w:val="center"/>
                </w:tcPr>
                <w:p>
                  <w:pPr>
                    <w:jc w:val="center"/>
                    <w:rPr>
                      <w:color w:val="auto"/>
                      <w:sz w:val="18"/>
                      <w:szCs w:val="18"/>
                      <w:lang w:bidi="ar"/>
                    </w:rPr>
                  </w:pPr>
                  <w:r>
                    <w:rPr>
                      <w:rFonts w:hint="eastAsia"/>
                      <w:color w:val="auto"/>
                      <w:sz w:val="18"/>
                      <w:szCs w:val="18"/>
                    </w:rPr>
                    <w:t>空压机</w:t>
                  </w:r>
                </w:p>
              </w:tc>
              <w:tc>
                <w:tcPr>
                  <w:tcW w:w="478" w:type="pct"/>
                  <w:vMerge w:val="continue"/>
                  <w:noWrap/>
                  <w:tcMar>
                    <w:top w:w="15" w:type="dxa"/>
                    <w:left w:w="15" w:type="dxa"/>
                    <w:right w:w="15" w:type="dxa"/>
                  </w:tcMar>
                  <w:vAlign w:val="center"/>
                </w:tcPr>
                <w:p>
                  <w:pPr>
                    <w:jc w:val="center"/>
                    <w:rPr>
                      <w:color w:val="auto"/>
                      <w:sz w:val="18"/>
                      <w:szCs w:val="18"/>
                    </w:rPr>
                  </w:pPr>
                </w:p>
              </w:tc>
              <w:tc>
                <w:tcPr>
                  <w:tcW w:w="478" w:type="pct"/>
                  <w:vMerge w:val="continue"/>
                  <w:noWrap/>
                  <w:tcMar>
                    <w:top w:w="15" w:type="dxa"/>
                    <w:left w:w="15" w:type="dxa"/>
                    <w:right w:w="15" w:type="dxa"/>
                  </w:tcMar>
                  <w:vAlign w:val="center"/>
                </w:tcPr>
                <w:p>
                  <w:pPr>
                    <w:jc w:val="center"/>
                    <w:rPr>
                      <w:color w:val="auto"/>
                      <w:sz w:val="18"/>
                      <w:szCs w:val="18"/>
                    </w:rPr>
                  </w:pPr>
                </w:p>
              </w:tc>
              <w:tc>
                <w:tcPr>
                  <w:tcW w:w="618" w:type="pct"/>
                  <w:noWrap/>
                  <w:tcMar>
                    <w:top w:w="15" w:type="dxa"/>
                    <w:left w:w="15" w:type="dxa"/>
                    <w:right w:w="15" w:type="dxa"/>
                  </w:tcMar>
                  <w:vAlign w:val="center"/>
                </w:tcPr>
                <w:p>
                  <w:pPr>
                    <w:widowControl/>
                    <w:adjustRightInd w:val="0"/>
                    <w:snapToGrid w:val="0"/>
                    <w:jc w:val="center"/>
                    <w:textAlignment w:val="center"/>
                    <w:rPr>
                      <w:bCs/>
                      <w:color w:val="auto"/>
                      <w:sz w:val="18"/>
                      <w:szCs w:val="18"/>
                      <w:lang w:bidi="ar"/>
                    </w:rPr>
                  </w:pPr>
                  <w:r>
                    <w:rPr>
                      <w:rFonts w:hint="eastAsia"/>
                      <w:color w:val="auto"/>
                      <w:sz w:val="18"/>
                      <w:szCs w:val="18"/>
                    </w:rPr>
                    <w:t>95</w:t>
                  </w:r>
                </w:p>
              </w:tc>
              <w:tc>
                <w:tcPr>
                  <w:tcW w:w="570"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kern w:val="0"/>
                      <w:sz w:val="18"/>
                      <w:szCs w:val="18"/>
                    </w:rPr>
                    <w:t>电机隔声，减振底座、消音器</w:t>
                  </w:r>
                </w:p>
              </w:tc>
              <w:tc>
                <w:tcPr>
                  <w:tcW w:w="494" w:type="pct"/>
                  <w:noWrap/>
                  <w:tcMar>
                    <w:top w:w="15" w:type="dxa"/>
                    <w:left w:w="15" w:type="dxa"/>
                    <w:right w:w="15" w:type="dxa"/>
                  </w:tcMar>
                  <w:vAlign w:val="center"/>
                </w:tcPr>
                <w:p>
                  <w:pPr>
                    <w:snapToGrid w:val="0"/>
                    <w:spacing w:line="240" w:lineRule="atLeast"/>
                    <w:jc w:val="center"/>
                    <w:rPr>
                      <w:bCs/>
                      <w:color w:val="auto"/>
                      <w:sz w:val="18"/>
                      <w:szCs w:val="18"/>
                      <w:lang w:bidi="ar"/>
                    </w:rPr>
                  </w:pPr>
                  <w:r>
                    <w:rPr>
                      <w:bCs/>
                      <w:color w:val="auto"/>
                      <w:sz w:val="18"/>
                      <w:szCs w:val="18"/>
                      <w:lang w:bidi="ar"/>
                    </w:rPr>
                    <w:t>15</w:t>
                  </w:r>
                </w:p>
              </w:tc>
              <w:tc>
                <w:tcPr>
                  <w:tcW w:w="294" w:type="pct"/>
                  <w:vMerge w:val="continue"/>
                  <w:noWrap/>
                  <w:tcMar>
                    <w:top w:w="15" w:type="dxa"/>
                    <w:left w:w="15" w:type="dxa"/>
                    <w:right w:w="15" w:type="dxa"/>
                  </w:tcMar>
                  <w:vAlign w:val="center"/>
                </w:tcPr>
                <w:p>
                  <w:pPr>
                    <w:jc w:val="center"/>
                    <w:rPr>
                      <w:color w:val="auto"/>
                      <w:sz w:val="18"/>
                      <w:szCs w:val="18"/>
                    </w:rPr>
                  </w:pPr>
                </w:p>
              </w:tc>
              <w:tc>
                <w:tcPr>
                  <w:tcW w:w="425" w:type="pct"/>
                  <w:noWrap/>
                  <w:tcMar>
                    <w:top w:w="15" w:type="dxa"/>
                    <w:left w:w="15" w:type="dxa"/>
                    <w:right w:w="15" w:type="dxa"/>
                  </w:tcMar>
                  <w:vAlign w:val="center"/>
                </w:tcPr>
                <w:p>
                  <w:pPr>
                    <w:widowControl/>
                    <w:jc w:val="center"/>
                    <w:textAlignment w:val="center"/>
                    <w:rPr>
                      <w:color w:val="auto"/>
                      <w:kern w:val="0"/>
                      <w:sz w:val="18"/>
                      <w:szCs w:val="18"/>
                      <w:lang w:bidi="ar"/>
                    </w:rPr>
                  </w:pPr>
                  <w:r>
                    <w:rPr>
                      <w:rFonts w:hint="eastAsia"/>
                      <w:color w:val="auto"/>
                      <w:kern w:val="0"/>
                      <w:sz w:val="18"/>
                      <w:szCs w:val="18"/>
                      <w:lang w:bidi="ar"/>
                    </w:rPr>
                    <w:t>80</w:t>
                  </w:r>
                </w:p>
              </w:tc>
              <w:tc>
                <w:tcPr>
                  <w:tcW w:w="352"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sz w:val="18"/>
                      <w:szCs w:val="18"/>
                    </w:rPr>
                    <w:t>0:00~24:00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restart"/>
                  <w:noWrap/>
                  <w:tcMar>
                    <w:top w:w="15" w:type="dxa"/>
                    <w:left w:w="15" w:type="dxa"/>
                    <w:right w:w="15" w:type="dxa"/>
                  </w:tcMar>
                  <w:vAlign w:val="center"/>
                </w:tcPr>
                <w:p>
                  <w:pPr>
                    <w:jc w:val="center"/>
                    <w:rPr>
                      <w:color w:val="auto"/>
                      <w:sz w:val="18"/>
                      <w:szCs w:val="18"/>
                    </w:rPr>
                  </w:pPr>
                  <w:r>
                    <w:rPr>
                      <w:rFonts w:hint="eastAsia"/>
                      <w:color w:val="auto"/>
                      <w:sz w:val="18"/>
                      <w:szCs w:val="18"/>
                    </w:rPr>
                    <w:t>塑料件生产线</w:t>
                  </w:r>
                </w:p>
              </w:tc>
              <w:tc>
                <w:tcPr>
                  <w:tcW w:w="408" w:type="pct"/>
                  <w:noWrap/>
                  <w:tcMar>
                    <w:top w:w="15" w:type="dxa"/>
                    <w:left w:w="15" w:type="dxa"/>
                    <w:right w:w="15" w:type="dxa"/>
                  </w:tcMar>
                  <w:vAlign w:val="center"/>
                </w:tcPr>
                <w:p>
                  <w:pPr>
                    <w:jc w:val="center"/>
                    <w:rPr>
                      <w:color w:val="auto"/>
                      <w:sz w:val="18"/>
                      <w:szCs w:val="18"/>
                    </w:rPr>
                  </w:pPr>
                  <w:r>
                    <w:rPr>
                      <w:color w:val="auto"/>
                      <w:sz w:val="18"/>
                      <w:szCs w:val="18"/>
                    </w:rPr>
                    <w:t>注塑机</w:t>
                  </w:r>
                </w:p>
              </w:tc>
              <w:tc>
                <w:tcPr>
                  <w:tcW w:w="559" w:type="pct"/>
                  <w:noWrap/>
                  <w:tcMar>
                    <w:top w:w="15" w:type="dxa"/>
                    <w:left w:w="15" w:type="dxa"/>
                    <w:right w:w="15" w:type="dxa"/>
                  </w:tcMar>
                  <w:vAlign w:val="center"/>
                </w:tcPr>
                <w:p>
                  <w:pPr>
                    <w:jc w:val="center"/>
                    <w:rPr>
                      <w:color w:val="auto"/>
                      <w:sz w:val="18"/>
                      <w:szCs w:val="18"/>
                      <w:lang w:bidi="ar"/>
                    </w:rPr>
                  </w:pPr>
                  <w:r>
                    <w:rPr>
                      <w:color w:val="auto"/>
                      <w:sz w:val="18"/>
                      <w:szCs w:val="18"/>
                    </w:rPr>
                    <w:t>注塑机</w:t>
                  </w:r>
                </w:p>
              </w:tc>
              <w:tc>
                <w:tcPr>
                  <w:tcW w:w="478" w:type="pct"/>
                  <w:vMerge w:val="continue"/>
                  <w:noWrap/>
                  <w:tcMar>
                    <w:top w:w="15" w:type="dxa"/>
                    <w:left w:w="15" w:type="dxa"/>
                    <w:right w:w="15" w:type="dxa"/>
                  </w:tcMar>
                  <w:vAlign w:val="center"/>
                </w:tcPr>
                <w:p>
                  <w:pPr>
                    <w:jc w:val="center"/>
                    <w:rPr>
                      <w:color w:val="auto"/>
                      <w:sz w:val="18"/>
                      <w:szCs w:val="18"/>
                    </w:rPr>
                  </w:pPr>
                </w:p>
              </w:tc>
              <w:tc>
                <w:tcPr>
                  <w:tcW w:w="478" w:type="pct"/>
                  <w:vMerge w:val="continue"/>
                  <w:noWrap/>
                  <w:tcMar>
                    <w:top w:w="15" w:type="dxa"/>
                    <w:left w:w="15" w:type="dxa"/>
                    <w:right w:w="15" w:type="dxa"/>
                  </w:tcMar>
                  <w:vAlign w:val="center"/>
                </w:tcPr>
                <w:p>
                  <w:pPr>
                    <w:jc w:val="center"/>
                    <w:rPr>
                      <w:color w:val="auto"/>
                      <w:sz w:val="18"/>
                      <w:szCs w:val="18"/>
                    </w:rPr>
                  </w:pPr>
                </w:p>
              </w:tc>
              <w:tc>
                <w:tcPr>
                  <w:tcW w:w="618" w:type="pct"/>
                  <w:noWrap/>
                  <w:tcMar>
                    <w:top w:w="15" w:type="dxa"/>
                    <w:left w:w="15" w:type="dxa"/>
                    <w:right w:w="15" w:type="dxa"/>
                  </w:tcMar>
                  <w:vAlign w:val="center"/>
                </w:tcPr>
                <w:p>
                  <w:pPr>
                    <w:widowControl/>
                    <w:adjustRightInd w:val="0"/>
                    <w:snapToGrid w:val="0"/>
                    <w:jc w:val="center"/>
                    <w:textAlignment w:val="center"/>
                    <w:rPr>
                      <w:bCs/>
                      <w:color w:val="auto"/>
                      <w:sz w:val="18"/>
                      <w:szCs w:val="18"/>
                      <w:lang w:bidi="ar"/>
                    </w:rPr>
                  </w:pPr>
                  <w:r>
                    <w:rPr>
                      <w:rFonts w:hint="eastAsia"/>
                      <w:color w:val="auto"/>
                      <w:sz w:val="18"/>
                      <w:szCs w:val="18"/>
                    </w:rPr>
                    <w:t>80</w:t>
                  </w:r>
                </w:p>
              </w:tc>
              <w:tc>
                <w:tcPr>
                  <w:tcW w:w="570"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kern w:val="0"/>
                      <w:sz w:val="18"/>
                      <w:szCs w:val="18"/>
                    </w:rPr>
                    <w:t>减振底座</w:t>
                  </w:r>
                </w:p>
              </w:tc>
              <w:tc>
                <w:tcPr>
                  <w:tcW w:w="494" w:type="pct"/>
                  <w:noWrap/>
                  <w:tcMar>
                    <w:top w:w="15" w:type="dxa"/>
                    <w:left w:w="15" w:type="dxa"/>
                    <w:right w:w="15" w:type="dxa"/>
                  </w:tcMar>
                  <w:vAlign w:val="center"/>
                </w:tcPr>
                <w:p>
                  <w:pPr>
                    <w:snapToGrid w:val="0"/>
                    <w:spacing w:line="240" w:lineRule="atLeast"/>
                    <w:jc w:val="center"/>
                    <w:rPr>
                      <w:bCs/>
                      <w:color w:val="auto"/>
                      <w:sz w:val="18"/>
                      <w:szCs w:val="18"/>
                      <w:lang w:bidi="ar"/>
                    </w:rPr>
                  </w:pPr>
                  <w:r>
                    <w:rPr>
                      <w:bCs/>
                      <w:color w:val="auto"/>
                      <w:kern w:val="0"/>
                      <w:sz w:val="18"/>
                      <w:szCs w:val="18"/>
                    </w:rPr>
                    <w:t>10</w:t>
                  </w:r>
                </w:p>
              </w:tc>
              <w:tc>
                <w:tcPr>
                  <w:tcW w:w="294" w:type="pct"/>
                  <w:vMerge w:val="continue"/>
                  <w:noWrap/>
                  <w:tcMar>
                    <w:top w:w="15" w:type="dxa"/>
                    <w:left w:w="15" w:type="dxa"/>
                    <w:right w:w="15" w:type="dxa"/>
                  </w:tcMar>
                  <w:vAlign w:val="center"/>
                </w:tcPr>
                <w:p>
                  <w:pPr>
                    <w:jc w:val="center"/>
                    <w:rPr>
                      <w:color w:val="auto"/>
                      <w:sz w:val="18"/>
                      <w:szCs w:val="18"/>
                    </w:rPr>
                  </w:pPr>
                </w:p>
              </w:tc>
              <w:tc>
                <w:tcPr>
                  <w:tcW w:w="425" w:type="pct"/>
                  <w:noWrap/>
                  <w:tcMar>
                    <w:top w:w="15" w:type="dxa"/>
                    <w:left w:w="15" w:type="dxa"/>
                    <w:right w:w="15" w:type="dxa"/>
                  </w:tcMar>
                  <w:vAlign w:val="center"/>
                </w:tcPr>
                <w:p>
                  <w:pPr>
                    <w:widowControl/>
                    <w:jc w:val="center"/>
                    <w:textAlignment w:val="center"/>
                    <w:rPr>
                      <w:color w:val="auto"/>
                      <w:kern w:val="0"/>
                      <w:sz w:val="18"/>
                      <w:szCs w:val="18"/>
                      <w:lang w:bidi="ar"/>
                    </w:rPr>
                  </w:pPr>
                  <w:r>
                    <w:rPr>
                      <w:rFonts w:hint="eastAsia"/>
                      <w:color w:val="auto"/>
                      <w:kern w:val="0"/>
                      <w:sz w:val="18"/>
                      <w:szCs w:val="18"/>
                      <w:lang w:bidi="ar"/>
                    </w:rPr>
                    <w:t>70</w:t>
                  </w:r>
                </w:p>
              </w:tc>
              <w:tc>
                <w:tcPr>
                  <w:tcW w:w="352"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sz w:val="18"/>
                      <w:szCs w:val="18"/>
                    </w:rPr>
                    <w:t>0:00~24:00</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jc w:val="center"/>
              </w:trPr>
              <w:tc>
                <w:tcPr>
                  <w:tcW w:w="318" w:type="pct"/>
                  <w:vMerge w:val="continue"/>
                  <w:noWrap/>
                  <w:tcMar>
                    <w:top w:w="15" w:type="dxa"/>
                    <w:left w:w="15" w:type="dxa"/>
                    <w:right w:w="15" w:type="dxa"/>
                  </w:tcMar>
                  <w:vAlign w:val="center"/>
                </w:tcPr>
                <w:p>
                  <w:pPr>
                    <w:jc w:val="center"/>
                    <w:rPr>
                      <w:color w:val="auto"/>
                      <w:sz w:val="18"/>
                      <w:szCs w:val="18"/>
                    </w:rPr>
                  </w:pPr>
                </w:p>
              </w:tc>
              <w:tc>
                <w:tcPr>
                  <w:tcW w:w="408" w:type="pct"/>
                  <w:noWrap/>
                  <w:tcMar>
                    <w:top w:w="15" w:type="dxa"/>
                    <w:left w:w="15" w:type="dxa"/>
                    <w:right w:w="15" w:type="dxa"/>
                  </w:tcMar>
                  <w:vAlign w:val="center"/>
                </w:tcPr>
                <w:p>
                  <w:pPr>
                    <w:jc w:val="center"/>
                    <w:rPr>
                      <w:color w:val="auto"/>
                      <w:sz w:val="18"/>
                      <w:szCs w:val="18"/>
                    </w:rPr>
                  </w:pPr>
                  <w:r>
                    <w:rPr>
                      <w:rFonts w:hint="eastAsia"/>
                      <w:color w:val="auto"/>
                      <w:sz w:val="18"/>
                      <w:szCs w:val="18"/>
                    </w:rPr>
                    <w:t>烘干机</w:t>
                  </w:r>
                </w:p>
              </w:tc>
              <w:tc>
                <w:tcPr>
                  <w:tcW w:w="559" w:type="pct"/>
                  <w:noWrap/>
                  <w:tcMar>
                    <w:top w:w="15" w:type="dxa"/>
                    <w:left w:w="15" w:type="dxa"/>
                    <w:right w:w="15" w:type="dxa"/>
                  </w:tcMar>
                  <w:vAlign w:val="center"/>
                </w:tcPr>
                <w:p>
                  <w:pPr>
                    <w:jc w:val="center"/>
                    <w:rPr>
                      <w:color w:val="auto"/>
                      <w:sz w:val="18"/>
                      <w:szCs w:val="18"/>
                      <w:lang w:bidi="ar"/>
                    </w:rPr>
                  </w:pPr>
                  <w:r>
                    <w:rPr>
                      <w:rFonts w:hint="eastAsia"/>
                      <w:color w:val="auto"/>
                      <w:sz w:val="18"/>
                      <w:szCs w:val="18"/>
                    </w:rPr>
                    <w:t>烘干机</w:t>
                  </w:r>
                </w:p>
              </w:tc>
              <w:tc>
                <w:tcPr>
                  <w:tcW w:w="478" w:type="pct"/>
                  <w:vMerge w:val="continue"/>
                  <w:noWrap/>
                  <w:tcMar>
                    <w:top w:w="15" w:type="dxa"/>
                    <w:left w:w="15" w:type="dxa"/>
                    <w:right w:w="15" w:type="dxa"/>
                  </w:tcMar>
                  <w:vAlign w:val="center"/>
                </w:tcPr>
                <w:p>
                  <w:pPr>
                    <w:jc w:val="center"/>
                    <w:rPr>
                      <w:bCs/>
                      <w:color w:val="auto"/>
                      <w:kern w:val="0"/>
                      <w:sz w:val="18"/>
                      <w:szCs w:val="18"/>
                    </w:rPr>
                  </w:pPr>
                </w:p>
              </w:tc>
              <w:tc>
                <w:tcPr>
                  <w:tcW w:w="478" w:type="pct"/>
                  <w:vMerge w:val="continue"/>
                  <w:noWrap/>
                  <w:tcMar>
                    <w:top w:w="15" w:type="dxa"/>
                    <w:left w:w="15" w:type="dxa"/>
                    <w:right w:w="15" w:type="dxa"/>
                  </w:tcMar>
                  <w:vAlign w:val="center"/>
                </w:tcPr>
                <w:p>
                  <w:pPr>
                    <w:jc w:val="center"/>
                    <w:rPr>
                      <w:bCs/>
                      <w:color w:val="auto"/>
                      <w:kern w:val="0"/>
                      <w:sz w:val="18"/>
                      <w:szCs w:val="18"/>
                    </w:rPr>
                  </w:pPr>
                </w:p>
              </w:tc>
              <w:tc>
                <w:tcPr>
                  <w:tcW w:w="618" w:type="pct"/>
                  <w:noWrap/>
                  <w:tcMar>
                    <w:top w:w="15" w:type="dxa"/>
                    <w:left w:w="15" w:type="dxa"/>
                    <w:right w:w="15" w:type="dxa"/>
                  </w:tcMar>
                  <w:vAlign w:val="center"/>
                </w:tcPr>
                <w:p>
                  <w:pPr>
                    <w:pStyle w:val="361"/>
                    <w:rPr>
                      <w:bCs/>
                      <w:color w:val="auto"/>
                      <w:sz w:val="18"/>
                      <w:szCs w:val="18"/>
                      <w:lang w:bidi="ar"/>
                    </w:rPr>
                  </w:pPr>
                  <w:r>
                    <w:rPr>
                      <w:rFonts w:hint="eastAsia" w:eastAsia="宋体"/>
                      <w:color w:val="auto"/>
                      <w:sz w:val="18"/>
                      <w:szCs w:val="18"/>
                    </w:rPr>
                    <w:t>80</w:t>
                  </w:r>
                </w:p>
              </w:tc>
              <w:tc>
                <w:tcPr>
                  <w:tcW w:w="570"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kern w:val="0"/>
                      <w:sz w:val="18"/>
                      <w:szCs w:val="18"/>
                    </w:rPr>
                    <w:t>减振底座</w:t>
                  </w:r>
                </w:p>
              </w:tc>
              <w:tc>
                <w:tcPr>
                  <w:tcW w:w="494" w:type="pct"/>
                  <w:noWrap/>
                  <w:tcMar>
                    <w:top w:w="15" w:type="dxa"/>
                    <w:left w:w="15" w:type="dxa"/>
                    <w:right w:w="15" w:type="dxa"/>
                  </w:tcMar>
                  <w:vAlign w:val="center"/>
                </w:tcPr>
                <w:p>
                  <w:pPr>
                    <w:snapToGrid w:val="0"/>
                    <w:spacing w:line="240" w:lineRule="atLeast"/>
                    <w:jc w:val="center"/>
                    <w:rPr>
                      <w:bCs/>
                      <w:color w:val="auto"/>
                      <w:sz w:val="18"/>
                      <w:szCs w:val="18"/>
                      <w:lang w:bidi="ar"/>
                    </w:rPr>
                  </w:pPr>
                  <w:r>
                    <w:rPr>
                      <w:bCs/>
                      <w:color w:val="auto"/>
                      <w:kern w:val="0"/>
                      <w:sz w:val="18"/>
                      <w:szCs w:val="18"/>
                    </w:rPr>
                    <w:t>10</w:t>
                  </w:r>
                </w:p>
              </w:tc>
              <w:tc>
                <w:tcPr>
                  <w:tcW w:w="294" w:type="pct"/>
                  <w:vMerge w:val="continue"/>
                  <w:noWrap/>
                  <w:tcMar>
                    <w:top w:w="15" w:type="dxa"/>
                    <w:left w:w="15" w:type="dxa"/>
                    <w:right w:w="15" w:type="dxa"/>
                  </w:tcMar>
                  <w:vAlign w:val="center"/>
                </w:tcPr>
                <w:p>
                  <w:pPr>
                    <w:jc w:val="center"/>
                    <w:rPr>
                      <w:color w:val="auto"/>
                      <w:sz w:val="18"/>
                      <w:szCs w:val="18"/>
                    </w:rPr>
                  </w:pPr>
                </w:p>
              </w:tc>
              <w:tc>
                <w:tcPr>
                  <w:tcW w:w="425" w:type="pct"/>
                  <w:noWrap/>
                  <w:tcMar>
                    <w:top w:w="15" w:type="dxa"/>
                    <w:left w:w="15" w:type="dxa"/>
                    <w:right w:w="15" w:type="dxa"/>
                  </w:tcMar>
                  <w:vAlign w:val="center"/>
                </w:tcPr>
                <w:p>
                  <w:pPr>
                    <w:widowControl/>
                    <w:jc w:val="center"/>
                    <w:textAlignment w:val="center"/>
                    <w:rPr>
                      <w:color w:val="auto"/>
                      <w:kern w:val="0"/>
                      <w:sz w:val="18"/>
                      <w:szCs w:val="18"/>
                      <w:lang w:bidi="ar"/>
                    </w:rPr>
                  </w:pPr>
                  <w:r>
                    <w:rPr>
                      <w:rFonts w:hint="eastAsia"/>
                      <w:color w:val="auto"/>
                      <w:kern w:val="0"/>
                      <w:sz w:val="18"/>
                      <w:szCs w:val="18"/>
                      <w:lang w:bidi="ar"/>
                    </w:rPr>
                    <w:t>70</w:t>
                  </w:r>
                </w:p>
              </w:tc>
              <w:tc>
                <w:tcPr>
                  <w:tcW w:w="352" w:type="pct"/>
                  <w:noWrap/>
                  <w:tcMar>
                    <w:top w:w="15" w:type="dxa"/>
                    <w:left w:w="15" w:type="dxa"/>
                    <w:right w:w="15" w:type="dxa"/>
                  </w:tcMar>
                  <w:vAlign w:val="center"/>
                </w:tcPr>
                <w:p>
                  <w:pPr>
                    <w:snapToGrid w:val="0"/>
                    <w:spacing w:line="240" w:lineRule="atLeast"/>
                    <w:jc w:val="center"/>
                    <w:rPr>
                      <w:bCs/>
                      <w:color w:val="auto"/>
                      <w:sz w:val="18"/>
                      <w:szCs w:val="18"/>
                      <w:lang w:bidi="ar"/>
                    </w:rPr>
                  </w:pPr>
                  <w:r>
                    <w:rPr>
                      <w:color w:val="auto"/>
                      <w:sz w:val="18"/>
                      <w:szCs w:val="18"/>
                    </w:rPr>
                    <w:t>0:00~24:00</w:t>
                  </w:r>
                </w:p>
              </w:tc>
            </w:tr>
          </w:tbl>
          <w:p>
            <w:pPr>
              <w:ind w:firstLine="482"/>
              <w:jc w:val="center"/>
              <w:rPr>
                <w:bCs/>
                <w:color w:val="auto"/>
                <w:szCs w:val="21"/>
              </w:rPr>
            </w:pPr>
          </w:p>
          <w:p>
            <w:pPr>
              <w:spacing w:line="360" w:lineRule="auto"/>
              <w:ind w:firstLine="482"/>
              <w:jc w:val="left"/>
              <w:rPr>
                <w:b/>
                <w:color w:val="auto"/>
                <w:szCs w:val="21"/>
              </w:rPr>
            </w:pPr>
            <w:r>
              <w:rPr>
                <w:rFonts w:hint="eastAsia"/>
                <w:b/>
                <w:color w:val="auto"/>
                <w:szCs w:val="21"/>
              </w:rPr>
              <w:t>本项目高噪声设备室内源强见表4-18。</w:t>
            </w:r>
          </w:p>
          <w:p>
            <w:pPr>
              <w:jc w:val="center"/>
              <w:rPr>
                <w:b/>
                <w:bCs/>
                <w:color w:val="auto"/>
              </w:rPr>
            </w:pPr>
            <w:r>
              <w:rPr>
                <w:rFonts w:hint="eastAsia"/>
                <w:b/>
                <w:bCs/>
                <w:color w:val="auto"/>
              </w:rPr>
              <w:t xml:space="preserve">表4-18  </w:t>
            </w:r>
            <w:r>
              <w:rPr>
                <w:b/>
                <w:bCs/>
                <w:color w:val="auto"/>
              </w:rPr>
              <w:t>工业企业噪声源强调查清单（室内声源）</w:t>
            </w:r>
          </w:p>
          <w:tbl>
            <w:tblPr>
              <w:tblStyle w:val="37"/>
              <w:tblW w:w="4998"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fixed"/>
              <w:tblCellMar>
                <w:top w:w="0" w:type="dxa"/>
                <w:left w:w="108" w:type="dxa"/>
                <w:bottom w:w="0" w:type="dxa"/>
                <w:right w:w="108" w:type="dxa"/>
              </w:tblCellMar>
            </w:tblPr>
            <w:tblGrid>
              <w:gridCol w:w="436"/>
              <w:gridCol w:w="721"/>
              <w:gridCol w:w="644"/>
              <w:gridCol w:w="704"/>
              <w:gridCol w:w="1110"/>
              <w:gridCol w:w="1004"/>
              <w:gridCol w:w="512"/>
              <w:gridCol w:w="388"/>
              <w:gridCol w:w="283"/>
              <w:gridCol w:w="364"/>
              <w:gridCol w:w="364"/>
              <w:gridCol w:w="364"/>
              <w:gridCol w:w="405"/>
              <w:gridCol w:w="364"/>
              <w:gridCol w:w="364"/>
              <w:gridCol w:w="363"/>
              <w:gridCol w:w="498"/>
              <w:gridCol w:w="852"/>
              <w:gridCol w:w="414"/>
              <w:gridCol w:w="414"/>
              <w:gridCol w:w="414"/>
              <w:gridCol w:w="427"/>
              <w:gridCol w:w="414"/>
              <w:gridCol w:w="414"/>
              <w:gridCol w:w="414"/>
              <w:gridCol w:w="414"/>
              <w:gridCol w:w="462"/>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779" w:hRule="exact"/>
                <w:jc w:val="center"/>
              </w:trPr>
              <w:tc>
                <w:tcPr>
                  <w:tcW w:w="161" w:type="pct"/>
                  <w:vMerge w:val="restart"/>
                  <w:tcBorders>
                    <w:tl2br w:val="nil"/>
                    <w:tr2bl w:val="nil"/>
                  </w:tcBorders>
                  <w:vAlign w:val="center"/>
                </w:tcPr>
                <w:p>
                  <w:pPr>
                    <w:adjustRightInd w:val="0"/>
                    <w:snapToGrid w:val="0"/>
                    <w:jc w:val="center"/>
                    <w:rPr>
                      <w:b/>
                      <w:bCs/>
                      <w:color w:val="auto"/>
                      <w:sz w:val="18"/>
                      <w:szCs w:val="18"/>
                    </w:rPr>
                  </w:pPr>
                  <w:bookmarkStart w:id="13" w:name="PT_6"/>
                  <w:r>
                    <w:rPr>
                      <w:b/>
                      <w:bCs/>
                      <w:color w:val="auto"/>
                      <w:sz w:val="18"/>
                      <w:szCs w:val="18"/>
                    </w:rPr>
                    <w:t>序号</w:t>
                  </w:r>
                </w:p>
              </w:tc>
              <w:tc>
                <w:tcPr>
                  <w:tcW w:w="266" w:type="pct"/>
                  <w:vMerge w:val="restart"/>
                  <w:tcBorders>
                    <w:tl2br w:val="nil"/>
                    <w:tr2bl w:val="nil"/>
                  </w:tcBorders>
                  <w:vAlign w:val="center"/>
                </w:tcPr>
                <w:p>
                  <w:pPr>
                    <w:adjustRightInd w:val="0"/>
                    <w:snapToGrid w:val="0"/>
                    <w:jc w:val="center"/>
                    <w:rPr>
                      <w:b/>
                      <w:bCs/>
                      <w:color w:val="auto"/>
                      <w:sz w:val="18"/>
                      <w:szCs w:val="18"/>
                    </w:rPr>
                  </w:pPr>
                  <w:r>
                    <w:rPr>
                      <w:b/>
                      <w:bCs/>
                      <w:color w:val="auto"/>
                      <w:sz w:val="18"/>
                      <w:szCs w:val="18"/>
                    </w:rPr>
                    <w:t>建筑物名称</w:t>
                  </w:r>
                </w:p>
              </w:tc>
              <w:tc>
                <w:tcPr>
                  <w:tcW w:w="238" w:type="pct"/>
                  <w:vMerge w:val="restart"/>
                  <w:tcBorders>
                    <w:tl2br w:val="nil"/>
                    <w:tr2bl w:val="nil"/>
                  </w:tcBorders>
                  <w:vAlign w:val="center"/>
                </w:tcPr>
                <w:p>
                  <w:pPr>
                    <w:adjustRightInd w:val="0"/>
                    <w:snapToGrid w:val="0"/>
                    <w:jc w:val="center"/>
                    <w:rPr>
                      <w:b/>
                      <w:bCs/>
                      <w:color w:val="auto"/>
                      <w:sz w:val="18"/>
                      <w:szCs w:val="18"/>
                    </w:rPr>
                  </w:pPr>
                  <w:r>
                    <w:rPr>
                      <w:b/>
                      <w:bCs/>
                      <w:color w:val="auto"/>
                      <w:sz w:val="18"/>
                      <w:szCs w:val="18"/>
                    </w:rPr>
                    <w:t>声源名称</w:t>
                  </w:r>
                </w:p>
              </w:tc>
              <w:tc>
                <w:tcPr>
                  <w:tcW w:w="260" w:type="pct"/>
                  <w:vMerge w:val="restart"/>
                  <w:tcBorders>
                    <w:tl2br w:val="nil"/>
                    <w:tr2bl w:val="nil"/>
                  </w:tcBorders>
                  <w:vAlign w:val="center"/>
                </w:tcPr>
                <w:p>
                  <w:pPr>
                    <w:adjustRightInd w:val="0"/>
                    <w:snapToGrid w:val="0"/>
                    <w:jc w:val="center"/>
                    <w:rPr>
                      <w:b/>
                      <w:bCs/>
                      <w:color w:val="auto"/>
                      <w:sz w:val="18"/>
                      <w:szCs w:val="18"/>
                    </w:rPr>
                  </w:pPr>
                  <w:r>
                    <w:rPr>
                      <w:b/>
                      <w:bCs/>
                      <w:color w:val="auto"/>
                      <w:sz w:val="18"/>
                      <w:szCs w:val="18"/>
                    </w:rPr>
                    <w:t>型号</w:t>
                  </w:r>
                </w:p>
              </w:tc>
              <w:tc>
                <w:tcPr>
                  <w:tcW w:w="410" w:type="pct"/>
                  <w:tcBorders>
                    <w:tl2br w:val="nil"/>
                    <w:tr2bl w:val="nil"/>
                  </w:tcBorders>
                  <w:vAlign w:val="center"/>
                </w:tcPr>
                <w:p>
                  <w:pPr>
                    <w:adjustRightInd w:val="0"/>
                    <w:snapToGrid w:val="0"/>
                    <w:jc w:val="center"/>
                    <w:rPr>
                      <w:b/>
                      <w:bCs/>
                      <w:color w:val="auto"/>
                      <w:sz w:val="18"/>
                      <w:szCs w:val="18"/>
                    </w:rPr>
                  </w:pPr>
                  <w:r>
                    <w:rPr>
                      <w:b/>
                      <w:bCs/>
                      <w:color w:val="auto"/>
                      <w:sz w:val="18"/>
                      <w:szCs w:val="18"/>
                    </w:rPr>
                    <w:t>声源源强</w:t>
                  </w:r>
                </w:p>
              </w:tc>
              <w:tc>
                <w:tcPr>
                  <w:tcW w:w="371" w:type="pct"/>
                  <w:vMerge w:val="restart"/>
                  <w:tcBorders>
                    <w:tl2br w:val="nil"/>
                    <w:tr2bl w:val="nil"/>
                  </w:tcBorders>
                  <w:vAlign w:val="center"/>
                </w:tcPr>
                <w:p>
                  <w:pPr>
                    <w:adjustRightInd w:val="0"/>
                    <w:snapToGrid w:val="0"/>
                    <w:jc w:val="center"/>
                    <w:rPr>
                      <w:b/>
                      <w:bCs/>
                      <w:color w:val="auto"/>
                      <w:sz w:val="18"/>
                      <w:szCs w:val="18"/>
                    </w:rPr>
                  </w:pPr>
                  <w:r>
                    <w:rPr>
                      <w:b/>
                      <w:bCs/>
                      <w:color w:val="auto"/>
                      <w:sz w:val="18"/>
                      <w:szCs w:val="18"/>
                    </w:rPr>
                    <w:t>声源控制措施</w:t>
                  </w:r>
                </w:p>
              </w:tc>
              <w:tc>
                <w:tcPr>
                  <w:tcW w:w="436" w:type="pct"/>
                  <w:gridSpan w:val="3"/>
                  <w:tcBorders>
                    <w:tl2br w:val="nil"/>
                    <w:tr2bl w:val="nil"/>
                  </w:tcBorders>
                  <w:vAlign w:val="center"/>
                </w:tcPr>
                <w:p>
                  <w:pPr>
                    <w:adjustRightInd w:val="0"/>
                    <w:snapToGrid w:val="0"/>
                    <w:jc w:val="center"/>
                    <w:rPr>
                      <w:b/>
                      <w:bCs/>
                      <w:color w:val="auto"/>
                      <w:sz w:val="18"/>
                      <w:szCs w:val="18"/>
                    </w:rPr>
                  </w:pPr>
                  <w:r>
                    <w:rPr>
                      <w:b/>
                      <w:bCs/>
                      <w:color w:val="auto"/>
                      <w:sz w:val="18"/>
                      <w:szCs w:val="18"/>
                    </w:rPr>
                    <w:t>空间相对位置/m</w:t>
                  </w:r>
                </w:p>
              </w:tc>
              <w:tc>
                <w:tcPr>
                  <w:tcW w:w="551" w:type="pct"/>
                  <w:gridSpan w:val="4"/>
                  <w:tcBorders>
                    <w:tl2br w:val="nil"/>
                    <w:tr2bl w:val="nil"/>
                  </w:tcBorders>
                  <w:vAlign w:val="center"/>
                </w:tcPr>
                <w:p>
                  <w:pPr>
                    <w:adjustRightInd w:val="0"/>
                    <w:snapToGrid w:val="0"/>
                    <w:jc w:val="center"/>
                    <w:rPr>
                      <w:b/>
                      <w:bCs/>
                      <w:color w:val="auto"/>
                      <w:sz w:val="18"/>
                      <w:szCs w:val="18"/>
                    </w:rPr>
                  </w:pPr>
                  <w:r>
                    <w:rPr>
                      <w:b/>
                      <w:bCs/>
                      <w:color w:val="auto"/>
                      <w:sz w:val="18"/>
                      <w:szCs w:val="18"/>
                    </w:rPr>
                    <w:t>距室内边界距离/m</w:t>
                  </w:r>
                </w:p>
              </w:tc>
              <w:tc>
                <w:tcPr>
                  <w:tcW w:w="586" w:type="pct"/>
                  <w:gridSpan w:val="4"/>
                  <w:tcBorders>
                    <w:tl2br w:val="nil"/>
                    <w:tr2bl w:val="nil"/>
                  </w:tcBorders>
                  <w:vAlign w:val="center"/>
                </w:tcPr>
                <w:p>
                  <w:pPr>
                    <w:adjustRightInd w:val="0"/>
                    <w:snapToGrid w:val="0"/>
                    <w:jc w:val="center"/>
                    <w:rPr>
                      <w:b/>
                      <w:bCs/>
                      <w:color w:val="auto"/>
                      <w:sz w:val="18"/>
                      <w:szCs w:val="18"/>
                    </w:rPr>
                  </w:pPr>
                  <w:r>
                    <w:rPr>
                      <w:b/>
                      <w:bCs/>
                      <w:color w:val="auto"/>
                      <w:sz w:val="18"/>
                      <w:szCs w:val="18"/>
                    </w:rPr>
                    <w:t>室内边界声级/dB(A)</w:t>
                  </w:r>
                </w:p>
              </w:tc>
              <w:tc>
                <w:tcPr>
                  <w:tcW w:w="315" w:type="pct"/>
                  <w:vMerge w:val="restart"/>
                  <w:tcBorders>
                    <w:tl2br w:val="nil"/>
                    <w:tr2bl w:val="nil"/>
                  </w:tcBorders>
                  <w:vAlign w:val="center"/>
                </w:tcPr>
                <w:p>
                  <w:pPr>
                    <w:adjustRightInd w:val="0"/>
                    <w:snapToGrid w:val="0"/>
                    <w:jc w:val="center"/>
                    <w:rPr>
                      <w:b/>
                      <w:bCs/>
                      <w:color w:val="auto"/>
                      <w:sz w:val="18"/>
                      <w:szCs w:val="18"/>
                    </w:rPr>
                  </w:pPr>
                  <w:r>
                    <w:rPr>
                      <w:b/>
                      <w:bCs/>
                      <w:color w:val="auto"/>
                      <w:sz w:val="18"/>
                      <w:szCs w:val="18"/>
                    </w:rPr>
                    <w:t>运行</w:t>
                  </w:r>
                </w:p>
                <w:p>
                  <w:pPr>
                    <w:adjustRightInd w:val="0"/>
                    <w:snapToGrid w:val="0"/>
                    <w:jc w:val="center"/>
                    <w:rPr>
                      <w:b/>
                      <w:bCs/>
                      <w:color w:val="auto"/>
                      <w:sz w:val="18"/>
                      <w:szCs w:val="18"/>
                    </w:rPr>
                  </w:pPr>
                  <w:r>
                    <w:rPr>
                      <w:b/>
                      <w:bCs/>
                      <w:color w:val="auto"/>
                      <w:sz w:val="18"/>
                      <w:szCs w:val="18"/>
                    </w:rPr>
                    <w:t>时段</w:t>
                  </w:r>
                </w:p>
              </w:tc>
              <w:tc>
                <w:tcPr>
                  <w:tcW w:w="617" w:type="pct"/>
                  <w:gridSpan w:val="4"/>
                  <w:tcBorders>
                    <w:tl2br w:val="nil"/>
                    <w:tr2bl w:val="nil"/>
                  </w:tcBorders>
                  <w:vAlign w:val="center"/>
                </w:tcPr>
                <w:p>
                  <w:pPr>
                    <w:adjustRightInd w:val="0"/>
                    <w:snapToGrid w:val="0"/>
                    <w:jc w:val="center"/>
                    <w:rPr>
                      <w:b/>
                      <w:bCs/>
                      <w:color w:val="auto"/>
                      <w:sz w:val="18"/>
                      <w:szCs w:val="18"/>
                    </w:rPr>
                  </w:pPr>
                  <w:r>
                    <w:rPr>
                      <w:b/>
                      <w:bCs/>
                      <w:color w:val="auto"/>
                      <w:sz w:val="18"/>
                      <w:szCs w:val="18"/>
                    </w:rPr>
                    <w:t>建筑物插入损失/dB(A)</w:t>
                  </w:r>
                  <w:bookmarkStart w:id="14" w:name="PT_10"/>
                  <w:bookmarkEnd w:id="14"/>
                </w:p>
              </w:tc>
              <w:tc>
                <w:tcPr>
                  <w:tcW w:w="783" w:type="pct"/>
                  <w:gridSpan w:val="5"/>
                  <w:tcBorders>
                    <w:tl2br w:val="nil"/>
                    <w:tr2bl w:val="nil"/>
                  </w:tcBorders>
                  <w:vAlign w:val="center"/>
                </w:tcPr>
                <w:p>
                  <w:pPr>
                    <w:adjustRightInd w:val="0"/>
                    <w:snapToGrid w:val="0"/>
                    <w:jc w:val="center"/>
                    <w:rPr>
                      <w:b/>
                      <w:bCs/>
                      <w:color w:val="auto"/>
                      <w:sz w:val="18"/>
                      <w:szCs w:val="18"/>
                    </w:rPr>
                  </w:pPr>
                  <w:r>
                    <w:rPr>
                      <w:b/>
                      <w:bCs/>
                      <w:color w:val="auto"/>
                      <w:sz w:val="18"/>
                      <w:szCs w:val="18"/>
                    </w:rPr>
                    <w:t>建筑物外噪声声压级/dB(A)</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3" w:hRule="atLeast"/>
                <w:jc w:val="center"/>
              </w:trPr>
              <w:tc>
                <w:tcPr>
                  <w:tcW w:w="161" w:type="pct"/>
                  <w:vMerge w:val="continue"/>
                  <w:tcBorders>
                    <w:tl2br w:val="nil"/>
                    <w:tr2bl w:val="nil"/>
                  </w:tcBorders>
                  <w:vAlign w:val="center"/>
                </w:tcPr>
                <w:p>
                  <w:pPr>
                    <w:widowControl/>
                    <w:jc w:val="left"/>
                    <w:rPr>
                      <w:b/>
                      <w:bCs/>
                      <w:color w:val="auto"/>
                      <w:sz w:val="18"/>
                      <w:szCs w:val="18"/>
                    </w:rPr>
                  </w:pPr>
                </w:p>
              </w:tc>
              <w:tc>
                <w:tcPr>
                  <w:tcW w:w="266" w:type="pct"/>
                  <w:vMerge w:val="continue"/>
                  <w:tcBorders>
                    <w:tl2br w:val="nil"/>
                    <w:tr2bl w:val="nil"/>
                  </w:tcBorders>
                  <w:vAlign w:val="center"/>
                </w:tcPr>
                <w:p>
                  <w:pPr>
                    <w:widowControl/>
                    <w:jc w:val="left"/>
                    <w:rPr>
                      <w:b/>
                      <w:bCs/>
                      <w:color w:val="auto"/>
                      <w:sz w:val="18"/>
                      <w:szCs w:val="18"/>
                    </w:rPr>
                  </w:pPr>
                </w:p>
              </w:tc>
              <w:tc>
                <w:tcPr>
                  <w:tcW w:w="238" w:type="pct"/>
                  <w:vMerge w:val="continue"/>
                  <w:tcBorders>
                    <w:tl2br w:val="nil"/>
                    <w:tr2bl w:val="nil"/>
                  </w:tcBorders>
                  <w:vAlign w:val="center"/>
                </w:tcPr>
                <w:p>
                  <w:pPr>
                    <w:widowControl/>
                    <w:jc w:val="left"/>
                    <w:rPr>
                      <w:b/>
                      <w:bCs/>
                      <w:color w:val="auto"/>
                      <w:sz w:val="18"/>
                      <w:szCs w:val="18"/>
                    </w:rPr>
                  </w:pPr>
                </w:p>
              </w:tc>
              <w:tc>
                <w:tcPr>
                  <w:tcW w:w="260" w:type="pct"/>
                  <w:vMerge w:val="continue"/>
                  <w:tcBorders>
                    <w:tl2br w:val="nil"/>
                    <w:tr2bl w:val="nil"/>
                  </w:tcBorders>
                  <w:vAlign w:val="center"/>
                </w:tcPr>
                <w:p>
                  <w:pPr>
                    <w:widowControl/>
                    <w:jc w:val="left"/>
                    <w:rPr>
                      <w:b/>
                      <w:bCs/>
                      <w:color w:val="auto"/>
                      <w:sz w:val="18"/>
                      <w:szCs w:val="18"/>
                    </w:rPr>
                  </w:pPr>
                </w:p>
              </w:tc>
              <w:tc>
                <w:tcPr>
                  <w:tcW w:w="410"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声功率级/dB(A)</w:t>
                  </w:r>
                </w:p>
              </w:tc>
              <w:tc>
                <w:tcPr>
                  <w:tcW w:w="371" w:type="pct"/>
                  <w:vMerge w:val="continue"/>
                  <w:tcBorders>
                    <w:tl2br w:val="nil"/>
                    <w:tr2bl w:val="nil"/>
                  </w:tcBorders>
                  <w:vAlign w:val="center"/>
                </w:tcPr>
                <w:p>
                  <w:pPr>
                    <w:widowControl/>
                    <w:jc w:val="left"/>
                    <w:rPr>
                      <w:b/>
                      <w:bCs/>
                      <w:color w:val="auto"/>
                      <w:sz w:val="18"/>
                      <w:szCs w:val="18"/>
                    </w:rPr>
                  </w:pPr>
                </w:p>
              </w:tc>
              <w:tc>
                <w:tcPr>
                  <w:tcW w:w="189"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X</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Y</w:t>
                  </w:r>
                </w:p>
              </w:tc>
              <w:tc>
                <w:tcPr>
                  <w:tcW w:w="103"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Z</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东</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南</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西</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北</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东</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南</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西</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北</w:t>
                  </w:r>
                </w:p>
              </w:tc>
              <w:tc>
                <w:tcPr>
                  <w:tcW w:w="315" w:type="pct"/>
                  <w:vMerge w:val="continue"/>
                  <w:tcBorders>
                    <w:tl2br w:val="nil"/>
                    <w:tr2bl w:val="nil"/>
                  </w:tcBorders>
                  <w:vAlign w:val="center"/>
                </w:tcPr>
                <w:p>
                  <w:pPr>
                    <w:widowControl/>
                    <w:jc w:val="left"/>
                    <w:rPr>
                      <w:b/>
                      <w:bCs/>
                      <w:color w:val="auto"/>
                      <w:sz w:val="18"/>
                      <w:szCs w:val="18"/>
                    </w:rPr>
                  </w:pPr>
                </w:p>
              </w:tc>
              <w:tc>
                <w:tcPr>
                  <w:tcW w:w="153"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东</w:t>
                  </w:r>
                </w:p>
              </w:tc>
              <w:tc>
                <w:tcPr>
                  <w:tcW w:w="153"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南</w:t>
                  </w:r>
                </w:p>
              </w:tc>
              <w:tc>
                <w:tcPr>
                  <w:tcW w:w="153"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西</w:t>
                  </w:r>
                </w:p>
              </w:tc>
              <w:tc>
                <w:tcPr>
                  <w:tcW w:w="157"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北</w:t>
                  </w:r>
                </w:p>
              </w:tc>
              <w:tc>
                <w:tcPr>
                  <w:tcW w:w="153"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东</w:t>
                  </w:r>
                </w:p>
              </w:tc>
              <w:tc>
                <w:tcPr>
                  <w:tcW w:w="153"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南</w:t>
                  </w:r>
                </w:p>
              </w:tc>
              <w:tc>
                <w:tcPr>
                  <w:tcW w:w="153"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西</w:t>
                  </w:r>
                </w:p>
              </w:tc>
              <w:tc>
                <w:tcPr>
                  <w:tcW w:w="153"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北</w:t>
                  </w:r>
                </w:p>
              </w:tc>
              <w:tc>
                <w:tcPr>
                  <w:tcW w:w="171" w:type="pct"/>
                  <w:tcBorders>
                    <w:tl2br w:val="nil"/>
                    <w:tr2bl w:val="nil"/>
                  </w:tcBorders>
                  <w:tcMar>
                    <w:top w:w="0" w:type="dxa"/>
                    <w:left w:w="0" w:type="dxa"/>
                    <w:bottom w:w="0" w:type="dxa"/>
                    <w:right w:w="0" w:type="dxa"/>
                  </w:tcMar>
                  <w:vAlign w:val="center"/>
                </w:tcPr>
                <w:p>
                  <w:pPr>
                    <w:adjustRightInd w:val="0"/>
                    <w:snapToGrid w:val="0"/>
                    <w:jc w:val="center"/>
                    <w:rPr>
                      <w:b/>
                      <w:bCs/>
                      <w:color w:val="auto"/>
                      <w:sz w:val="18"/>
                      <w:szCs w:val="18"/>
                    </w:rPr>
                  </w:pPr>
                  <w:r>
                    <w:rPr>
                      <w:b/>
                      <w:bCs/>
                      <w:color w:val="auto"/>
                      <w:sz w:val="18"/>
                      <w:szCs w:val="18"/>
                    </w:rPr>
                    <w:t>建筑物外距离</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161"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1</w:t>
                  </w:r>
                </w:p>
              </w:tc>
              <w:tc>
                <w:tcPr>
                  <w:tcW w:w="266" w:type="pct"/>
                  <w:vMerge w:val="restar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生产车间</w:t>
                  </w:r>
                </w:p>
              </w:tc>
              <w:tc>
                <w:tcPr>
                  <w:tcW w:w="238" w:type="pct"/>
                  <w:tcBorders>
                    <w:tl2br w:val="nil"/>
                    <w:tr2bl w:val="nil"/>
                  </w:tcBorders>
                  <w:tcMar>
                    <w:top w:w="0" w:type="dxa"/>
                    <w:left w:w="0" w:type="dxa"/>
                    <w:bottom w:w="0" w:type="dxa"/>
                    <w:right w:w="0" w:type="dxa"/>
                  </w:tcMar>
                  <w:vAlign w:val="center"/>
                </w:tcPr>
                <w:p>
                  <w:pPr>
                    <w:jc w:val="center"/>
                    <w:rPr>
                      <w:color w:val="auto"/>
                      <w:sz w:val="18"/>
                      <w:szCs w:val="18"/>
                    </w:rPr>
                  </w:pPr>
                  <w:r>
                    <w:rPr>
                      <w:color w:val="auto"/>
                      <w:sz w:val="18"/>
                      <w:szCs w:val="18"/>
                    </w:rPr>
                    <w:t>密炼机</w:t>
                  </w:r>
                </w:p>
              </w:tc>
              <w:tc>
                <w:tcPr>
                  <w:tcW w:w="26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w:t>
                  </w:r>
                </w:p>
              </w:tc>
              <w:tc>
                <w:tcPr>
                  <w:tcW w:w="410"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80</w:t>
                  </w:r>
                </w:p>
              </w:tc>
              <w:tc>
                <w:tcPr>
                  <w:tcW w:w="371" w:type="pct"/>
                  <w:tcBorders>
                    <w:tl2br w:val="nil"/>
                    <w:tr2bl w:val="nil"/>
                  </w:tcBorders>
                  <w:tcMar>
                    <w:top w:w="0" w:type="dxa"/>
                    <w:left w:w="0" w:type="dxa"/>
                    <w:bottom w:w="0" w:type="dxa"/>
                    <w:right w:w="0" w:type="dxa"/>
                  </w:tcMar>
                  <w:vAlign w:val="center"/>
                </w:tcPr>
                <w:p>
                  <w:pPr>
                    <w:snapToGrid w:val="0"/>
                    <w:spacing w:line="240" w:lineRule="atLeast"/>
                    <w:jc w:val="center"/>
                    <w:rPr>
                      <w:color w:val="auto"/>
                      <w:sz w:val="18"/>
                      <w:szCs w:val="18"/>
                    </w:rPr>
                  </w:pPr>
                  <w:r>
                    <w:rPr>
                      <w:color w:val="auto"/>
                      <w:kern w:val="0"/>
                      <w:sz w:val="18"/>
                      <w:szCs w:val="18"/>
                    </w:rPr>
                    <w:t>减振底座</w:t>
                  </w:r>
                </w:p>
              </w:tc>
              <w:tc>
                <w:tcPr>
                  <w:tcW w:w="189"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28</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15</w:t>
                  </w:r>
                </w:p>
              </w:tc>
              <w:tc>
                <w:tcPr>
                  <w:tcW w:w="103"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10</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20</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4</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76.4</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76.1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76.4</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75.9</w:t>
                  </w:r>
                </w:p>
              </w:tc>
              <w:tc>
                <w:tcPr>
                  <w:tcW w:w="315" w:type="pct"/>
                  <w:vMerge w:val="restar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color w:val="auto"/>
                      <w:sz w:val="18"/>
                      <w:szCs w:val="18"/>
                    </w:rPr>
                    <w:t>0:00~24:00</w:t>
                  </w:r>
                </w:p>
              </w:tc>
              <w:tc>
                <w:tcPr>
                  <w:tcW w:w="153" w:type="pct"/>
                  <w:vMerge w:val="restar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21</w:t>
                  </w:r>
                </w:p>
              </w:tc>
              <w:tc>
                <w:tcPr>
                  <w:tcW w:w="153" w:type="pct"/>
                  <w:vMerge w:val="restar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21</w:t>
                  </w:r>
                </w:p>
              </w:tc>
              <w:tc>
                <w:tcPr>
                  <w:tcW w:w="153" w:type="pct"/>
                  <w:vMerge w:val="restar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21</w:t>
                  </w:r>
                </w:p>
              </w:tc>
              <w:tc>
                <w:tcPr>
                  <w:tcW w:w="157" w:type="pct"/>
                  <w:vMerge w:val="restar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21</w:t>
                  </w:r>
                </w:p>
              </w:tc>
              <w:tc>
                <w:tcPr>
                  <w:tcW w:w="153" w:type="pct"/>
                  <w:vMerge w:val="restar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58.7</w:t>
                  </w:r>
                </w:p>
              </w:tc>
              <w:tc>
                <w:tcPr>
                  <w:tcW w:w="153" w:type="pct"/>
                  <w:vMerge w:val="restar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58.8</w:t>
                  </w:r>
                </w:p>
              </w:tc>
              <w:tc>
                <w:tcPr>
                  <w:tcW w:w="153" w:type="pct"/>
                  <w:vMerge w:val="restar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58.8</w:t>
                  </w:r>
                </w:p>
              </w:tc>
              <w:tc>
                <w:tcPr>
                  <w:tcW w:w="153" w:type="pct"/>
                  <w:vMerge w:val="restar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58.8</w:t>
                  </w:r>
                </w:p>
              </w:tc>
              <w:tc>
                <w:tcPr>
                  <w:tcW w:w="17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3" w:hRule="atLeast"/>
                <w:jc w:val="center"/>
              </w:trPr>
              <w:tc>
                <w:tcPr>
                  <w:tcW w:w="161"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2</w:t>
                  </w:r>
                </w:p>
              </w:tc>
              <w:tc>
                <w:tcPr>
                  <w:tcW w:w="266"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238" w:type="pct"/>
                  <w:tcBorders>
                    <w:tl2br w:val="nil"/>
                    <w:tr2bl w:val="nil"/>
                  </w:tcBorders>
                  <w:tcMar>
                    <w:top w:w="0" w:type="dxa"/>
                    <w:left w:w="0" w:type="dxa"/>
                    <w:bottom w:w="0" w:type="dxa"/>
                    <w:right w:w="0" w:type="dxa"/>
                  </w:tcMar>
                  <w:vAlign w:val="center"/>
                </w:tcPr>
                <w:p>
                  <w:pPr>
                    <w:jc w:val="center"/>
                    <w:rPr>
                      <w:color w:val="auto"/>
                      <w:sz w:val="18"/>
                      <w:szCs w:val="18"/>
                    </w:rPr>
                  </w:pPr>
                  <w:r>
                    <w:rPr>
                      <w:color w:val="auto"/>
                      <w:sz w:val="18"/>
                      <w:szCs w:val="18"/>
                    </w:rPr>
                    <w:t>开炼机</w:t>
                  </w:r>
                </w:p>
              </w:tc>
              <w:tc>
                <w:tcPr>
                  <w:tcW w:w="26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w:t>
                  </w:r>
                </w:p>
              </w:tc>
              <w:tc>
                <w:tcPr>
                  <w:tcW w:w="410"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80</w:t>
                  </w:r>
                </w:p>
              </w:tc>
              <w:tc>
                <w:tcPr>
                  <w:tcW w:w="371" w:type="pct"/>
                  <w:tcBorders>
                    <w:tl2br w:val="nil"/>
                    <w:tr2bl w:val="nil"/>
                  </w:tcBorders>
                  <w:tcMar>
                    <w:top w:w="0" w:type="dxa"/>
                    <w:left w:w="0" w:type="dxa"/>
                    <w:bottom w:w="0" w:type="dxa"/>
                    <w:right w:w="0" w:type="dxa"/>
                  </w:tcMar>
                  <w:vAlign w:val="center"/>
                </w:tcPr>
                <w:p>
                  <w:pPr>
                    <w:snapToGrid w:val="0"/>
                    <w:spacing w:line="240" w:lineRule="atLeast"/>
                    <w:jc w:val="center"/>
                    <w:rPr>
                      <w:color w:val="auto"/>
                      <w:sz w:val="18"/>
                      <w:szCs w:val="18"/>
                    </w:rPr>
                  </w:pPr>
                  <w:r>
                    <w:rPr>
                      <w:color w:val="auto"/>
                      <w:kern w:val="0"/>
                      <w:sz w:val="18"/>
                      <w:szCs w:val="18"/>
                    </w:rPr>
                    <w:t>减振底座</w:t>
                  </w:r>
                </w:p>
              </w:tc>
              <w:tc>
                <w:tcPr>
                  <w:tcW w:w="189"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28</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10</w:t>
                  </w:r>
                </w:p>
              </w:tc>
              <w:tc>
                <w:tcPr>
                  <w:tcW w:w="103"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8</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20</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76.3</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76.2</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76.2</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76.4</w:t>
                  </w:r>
                </w:p>
              </w:tc>
              <w:tc>
                <w:tcPr>
                  <w:tcW w:w="315"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7"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7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3" w:hRule="atLeast"/>
                <w:jc w:val="center"/>
              </w:trPr>
              <w:tc>
                <w:tcPr>
                  <w:tcW w:w="161"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3</w:t>
                  </w:r>
                </w:p>
              </w:tc>
              <w:tc>
                <w:tcPr>
                  <w:tcW w:w="266"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238" w:type="pct"/>
                  <w:tcBorders>
                    <w:tl2br w:val="nil"/>
                    <w:tr2bl w:val="nil"/>
                  </w:tcBorders>
                  <w:tcMar>
                    <w:top w:w="0" w:type="dxa"/>
                    <w:left w:w="0" w:type="dxa"/>
                    <w:bottom w:w="0" w:type="dxa"/>
                    <w:right w:w="0" w:type="dxa"/>
                  </w:tcMar>
                  <w:vAlign w:val="center"/>
                </w:tcPr>
                <w:p>
                  <w:pPr>
                    <w:jc w:val="center"/>
                    <w:rPr>
                      <w:color w:val="auto"/>
                      <w:sz w:val="18"/>
                      <w:szCs w:val="18"/>
                    </w:rPr>
                  </w:pPr>
                  <w:r>
                    <w:rPr>
                      <w:color w:val="auto"/>
                      <w:sz w:val="18"/>
                      <w:szCs w:val="18"/>
                    </w:rPr>
                    <w:t>预成型机</w:t>
                  </w:r>
                </w:p>
              </w:tc>
              <w:tc>
                <w:tcPr>
                  <w:tcW w:w="26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w:t>
                  </w:r>
                </w:p>
              </w:tc>
              <w:tc>
                <w:tcPr>
                  <w:tcW w:w="410"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80</w:t>
                  </w:r>
                </w:p>
              </w:tc>
              <w:tc>
                <w:tcPr>
                  <w:tcW w:w="371" w:type="pct"/>
                  <w:tcBorders>
                    <w:tl2br w:val="nil"/>
                    <w:tr2bl w:val="nil"/>
                  </w:tcBorders>
                  <w:tcMar>
                    <w:top w:w="0" w:type="dxa"/>
                    <w:left w:w="0" w:type="dxa"/>
                    <w:bottom w:w="0" w:type="dxa"/>
                    <w:right w:w="0" w:type="dxa"/>
                  </w:tcMar>
                  <w:vAlign w:val="center"/>
                </w:tcPr>
                <w:p>
                  <w:pPr>
                    <w:snapToGrid w:val="0"/>
                    <w:spacing w:line="240" w:lineRule="atLeast"/>
                    <w:jc w:val="center"/>
                    <w:rPr>
                      <w:color w:val="auto"/>
                      <w:sz w:val="18"/>
                      <w:szCs w:val="18"/>
                    </w:rPr>
                  </w:pPr>
                  <w:r>
                    <w:rPr>
                      <w:color w:val="auto"/>
                      <w:kern w:val="0"/>
                      <w:sz w:val="18"/>
                      <w:szCs w:val="18"/>
                    </w:rPr>
                    <w:t>减振底座</w:t>
                  </w:r>
                </w:p>
              </w:tc>
              <w:tc>
                <w:tcPr>
                  <w:tcW w:w="189"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28</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8</w:t>
                  </w:r>
                </w:p>
              </w:tc>
              <w:tc>
                <w:tcPr>
                  <w:tcW w:w="103"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20</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75.8</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75.8</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75.8</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75.9</w:t>
                  </w:r>
                </w:p>
              </w:tc>
              <w:tc>
                <w:tcPr>
                  <w:tcW w:w="315"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7"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7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3" w:hRule="atLeast"/>
                <w:jc w:val="center"/>
              </w:trPr>
              <w:tc>
                <w:tcPr>
                  <w:tcW w:w="161"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4</w:t>
                  </w:r>
                </w:p>
              </w:tc>
              <w:tc>
                <w:tcPr>
                  <w:tcW w:w="266"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238" w:type="pct"/>
                  <w:tcBorders>
                    <w:tl2br w:val="nil"/>
                    <w:tr2bl w:val="nil"/>
                  </w:tcBorders>
                  <w:tcMar>
                    <w:top w:w="0" w:type="dxa"/>
                    <w:left w:w="0" w:type="dxa"/>
                    <w:bottom w:w="0" w:type="dxa"/>
                    <w:right w:w="0" w:type="dxa"/>
                  </w:tcMar>
                  <w:vAlign w:val="center"/>
                </w:tcPr>
                <w:p>
                  <w:pPr>
                    <w:jc w:val="center"/>
                    <w:rPr>
                      <w:color w:val="auto"/>
                      <w:sz w:val="18"/>
                      <w:szCs w:val="18"/>
                    </w:rPr>
                  </w:pPr>
                  <w:r>
                    <w:rPr>
                      <w:color w:val="auto"/>
                      <w:sz w:val="18"/>
                      <w:szCs w:val="18"/>
                    </w:rPr>
                    <w:t>模压成型机</w:t>
                  </w:r>
                </w:p>
              </w:tc>
              <w:tc>
                <w:tcPr>
                  <w:tcW w:w="26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w:t>
                  </w:r>
                </w:p>
              </w:tc>
              <w:tc>
                <w:tcPr>
                  <w:tcW w:w="410"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80</w:t>
                  </w:r>
                </w:p>
              </w:tc>
              <w:tc>
                <w:tcPr>
                  <w:tcW w:w="371" w:type="pct"/>
                  <w:tcBorders>
                    <w:tl2br w:val="nil"/>
                    <w:tr2bl w:val="nil"/>
                  </w:tcBorders>
                  <w:tcMar>
                    <w:top w:w="0" w:type="dxa"/>
                    <w:left w:w="0" w:type="dxa"/>
                    <w:bottom w:w="0" w:type="dxa"/>
                    <w:right w:w="0" w:type="dxa"/>
                  </w:tcMar>
                  <w:vAlign w:val="center"/>
                </w:tcPr>
                <w:p>
                  <w:pPr>
                    <w:snapToGrid w:val="0"/>
                    <w:spacing w:line="240" w:lineRule="atLeast"/>
                    <w:jc w:val="center"/>
                    <w:rPr>
                      <w:color w:val="auto"/>
                      <w:sz w:val="18"/>
                      <w:szCs w:val="18"/>
                    </w:rPr>
                  </w:pPr>
                  <w:r>
                    <w:rPr>
                      <w:color w:val="auto"/>
                      <w:kern w:val="0"/>
                      <w:sz w:val="18"/>
                      <w:szCs w:val="18"/>
                    </w:rPr>
                    <w:t>减振底座</w:t>
                  </w:r>
                </w:p>
              </w:tc>
              <w:tc>
                <w:tcPr>
                  <w:tcW w:w="189"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20</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w:t>
                  </w:r>
                </w:p>
              </w:tc>
              <w:tc>
                <w:tcPr>
                  <w:tcW w:w="103"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10</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18</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76.5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76.6</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76.6</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76.9</w:t>
                  </w:r>
                </w:p>
              </w:tc>
              <w:tc>
                <w:tcPr>
                  <w:tcW w:w="315"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7"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7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3" w:hRule="atLeast"/>
                <w:jc w:val="center"/>
              </w:trPr>
              <w:tc>
                <w:tcPr>
                  <w:tcW w:w="161"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5</w:t>
                  </w:r>
                </w:p>
              </w:tc>
              <w:tc>
                <w:tcPr>
                  <w:tcW w:w="266"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238" w:type="pct"/>
                  <w:tcBorders>
                    <w:tl2br w:val="nil"/>
                    <w:tr2bl w:val="nil"/>
                  </w:tcBorders>
                  <w:tcMar>
                    <w:top w:w="0" w:type="dxa"/>
                    <w:left w:w="0" w:type="dxa"/>
                    <w:bottom w:w="0" w:type="dxa"/>
                    <w:right w:w="0" w:type="dxa"/>
                  </w:tcMar>
                  <w:vAlign w:val="center"/>
                </w:tcPr>
                <w:p>
                  <w:pPr>
                    <w:jc w:val="center"/>
                    <w:rPr>
                      <w:color w:val="auto"/>
                      <w:sz w:val="18"/>
                      <w:szCs w:val="18"/>
                    </w:rPr>
                  </w:pPr>
                  <w:r>
                    <w:rPr>
                      <w:color w:val="auto"/>
                      <w:sz w:val="18"/>
                      <w:szCs w:val="18"/>
                    </w:rPr>
                    <w:t>挤出成型机</w:t>
                  </w:r>
                </w:p>
              </w:tc>
              <w:tc>
                <w:tcPr>
                  <w:tcW w:w="26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w:t>
                  </w:r>
                </w:p>
              </w:tc>
              <w:tc>
                <w:tcPr>
                  <w:tcW w:w="410"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80</w:t>
                  </w:r>
                </w:p>
              </w:tc>
              <w:tc>
                <w:tcPr>
                  <w:tcW w:w="371" w:type="pct"/>
                  <w:tcBorders>
                    <w:tl2br w:val="nil"/>
                    <w:tr2bl w:val="nil"/>
                  </w:tcBorders>
                  <w:tcMar>
                    <w:top w:w="0" w:type="dxa"/>
                    <w:left w:w="0" w:type="dxa"/>
                    <w:bottom w:w="0" w:type="dxa"/>
                    <w:right w:w="0" w:type="dxa"/>
                  </w:tcMar>
                  <w:vAlign w:val="center"/>
                </w:tcPr>
                <w:p>
                  <w:pPr>
                    <w:snapToGrid w:val="0"/>
                    <w:spacing w:line="240" w:lineRule="atLeast"/>
                    <w:jc w:val="center"/>
                    <w:rPr>
                      <w:color w:val="auto"/>
                      <w:sz w:val="18"/>
                      <w:szCs w:val="18"/>
                    </w:rPr>
                  </w:pPr>
                  <w:r>
                    <w:rPr>
                      <w:color w:val="auto"/>
                      <w:kern w:val="0"/>
                      <w:sz w:val="18"/>
                      <w:szCs w:val="18"/>
                    </w:rPr>
                    <w:t>减振底座</w:t>
                  </w:r>
                </w:p>
              </w:tc>
              <w:tc>
                <w:tcPr>
                  <w:tcW w:w="189"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30</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w:t>
                  </w:r>
                </w:p>
              </w:tc>
              <w:tc>
                <w:tcPr>
                  <w:tcW w:w="103"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3</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22</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75.5</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75.8</w:t>
                  </w:r>
                </w:p>
              </w:tc>
              <w:tc>
                <w:tcPr>
                  <w:tcW w:w="315"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7"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7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3" w:hRule="atLeast"/>
                <w:jc w:val="center"/>
              </w:trPr>
              <w:tc>
                <w:tcPr>
                  <w:tcW w:w="161"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6</w:t>
                  </w:r>
                </w:p>
              </w:tc>
              <w:tc>
                <w:tcPr>
                  <w:tcW w:w="266"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238" w:type="pct"/>
                  <w:tcBorders>
                    <w:tl2br w:val="nil"/>
                    <w:tr2bl w:val="nil"/>
                  </w:tcBorders>
                  <w:tcMar>
                    <w:top w:w="0" w:type="dxa"/>
                    <w:left w:w="0" w:type="dxa"/>
                    <w:bottom w:w="0" w:type="dxa"/>
                    <w:right w:w="0" w:type="dxa"/>
                  </w:tcMar>
                  <w:vAlign w:val="center"/>
                </w:tcPr>
                <w:p>
                  <w:pPr>
                    <w:jc w:val="center"/>
                    <w:rPr>
                      <w:color w:val="auto"/>
                      <w:sz w:val="18"/>
                      <w:szCs w:val="18"/>
                    </w:rPr>
                  </w:pPr>
                  <w:r>
                    <w:rPr>
                      <w:color w:val="auto"/>
                      <w:sz w:val="18"/>
                      <w:szCs w:val="18"/>
                    </w:rPr>
                    <w:t>烘箱</w:t>
                  </w:r>
                </w:p>
              </w:tc>
              <w:tc>
                <w:tcPr>
                  <w:tcW w:w="26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w:t>
                  </w:r>
                </w:p>
              </w:tc>
              <w:tc>
                <w:tcPr>
                  <w:tcW w:w="41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w:t>
                  </w:r>
                </w:p>
              </w:tc>
              <w:tc>
                <w:tcPr>
                  <w:tcW w:w="371" w:type="pct"/>
                  <w:tcBorders>
                    <w:tl2br w:val="nil"/>
                    <w:tr2bl w:val="nil"/>
                  </w:tcBorders>
                  <w:tcMar>
                    <w:top w:w="0" w:type="dxa"/>
                    <w:left w:w="0" w:type="dxa"/>
                    <w:bottom w:w="0" w:type="dxa"/>
                    <w:right w:w="0" w:type="dxa"/>
                  </w:tcMar>
                  <w:vAlign w:val="center"/>
                </w:tcPr>
                <w:p>
                  <w:pPr>
                    <w:snapToGrid w:val="0"/>
                    <w:spacing w:line="240" w:lineRule="atLeast"/>
                    <w:jc w:val="center"/>
                    <w:rPr>
                      <w:color w:val="auto"/>
                      <w:sz w:val="18"/>
                      <w:szCs w:val="18"/>
                    </w:rPr>
                  </w:pPr>
                  <w:r>
                    <w:rPr>
                      <w:color w:val="auto"/>
                      <w:kern w:val="0"/>
                      <w:sz w:val="18"/>
                      <w:szCs w:val="18"/>
                    </w:rPr>
                    <w:t>减振底座</w:t>
                  </w:r>
                </w:p>
              </w:tc>
              <w:tc>
                <w:tcPr>
                  <w:tcW w:w="189"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20</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w:t>
                  </w:r>
                </w:p>
              </w:tc>
              <w:tc>
                <w:tcPr>
                  <w:tcW w:w="103"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8</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15</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69.3</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69.2</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69.3</w:t>
                  </w:r>
                </w:p>
              </w:tc>
              <w:tc>
                <w:tcPr>
                  <w:tcW w:w="315"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7"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7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3" w:hRule="atLeast"/>
                <w:jc w:val="center"/>
              </w:trPr>
              <w:tc>
                <w:tcPr>
                  <w:tcW w:w="161"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7</w:t>
                  </w:r>
                </w:p>
              </w:tc>
              <w:tc>
                <w:tcPr>
                  <w:tcW w:w="266"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238" w:type="pct"/>
                  <w:tcBorders>
                    <w:tl2br w:val="nil"/>
                    <w:tr2bl w:val="nil"/>
                  </w:tcBorders>
                  <w:tcMar>
                    <w:top w:w="0" w:type="dxa"/>
                    <w:left w:w="0" w:type="dxa"/>
                    <w:bottom w:w="0" w:type="dxa"/>
                    <w:right w:w="0" w:type="dxa"/>
                  </w:tcMar>
                  <w:vAlign w:val="center"/>
                </w:tcPr>
                <w:p>
                  <w:pPr>
                    <w:jc w:val="center"/>
                    <w:rPr>
                      <w:color w:val="auto"/>
                      <w:sz w:val="18"/>
                      <w:szCs w:val="18"/>
                    </w:rPr>
                  </w:pPr>
                  <w:r>
                    <w:rPr>
                      <w:rFonts w:hint="eastAsia"/>
                      <w:color w:val="auto"/>
                      <w:sz w:val="18"/>
                      <w:szCs w:val="18"/>
                    </w:rPr>
                    <w:t>离心修边机</w:t>
                  </w:r>
                </w:p>
              </w:tc>
              <w:tc>
                <w:tcPr>
                  <w:tcW w:w="26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w:t>
                  </w:r>
                </w:p>
              </w:tc>
              <w:tc>
                <w:tcPr>
                  <w:tcW w:w="410"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75</w:t>
                  </w:r>
                </w:p>
              </w:tc>
              <w:tc>
                <w:tcPr>
                  <w:tcW w:w="371" w:type="pct"/>
                  <w:tcBorders>
                    <w:tl2br w:val="nil"/>
                    <w:tr2bl w:val="nil"/>
                  </w:tcBorders>
                  <w:tcMar>
                    <w:top w:w="0" w:type="dxa"/>
                    <w:left w:w="0" w:type="dxa"/>
                    <w:bottom w:w="0" w:type="dxa"/>
                    <w:right w:w="0" w:type="dxa"/>
                  </w:tcMar>
                  <w:vAlign w:val="center"/>
                </w:tcPr>
                <w:p>
                  <w:pPr>
                    <w:snapToGrid w:val="0"/>
                    <w:spacing w:line="240" w:lineRule="atLeast"/>
                    <w:jc w:val="center"/>
                    <w:rPr>
                      <w:color w:val="auto"/>
                      <w:sz w:val="18"/>
                      <w:szCs w:val="18"/>
                    </w:rPr>
                  </w:pPr>
                  <w:r>
                    <w:rPr>
                      <w:color w:val="auto"/>
                      <w:kern w:val="0"/>
                      <w:sz w:val="18"/>
                      <w:szCs w:val="18"/>
                    </w:rPr>
                    <w:t>减振底座</w:t>
                  </w:r>
                </w:p>
              </w:tc>
              <w:tc>
                <w:tcPr>
                  <w:tcW w:w="189"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20</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4</w:t>
                  </w:r>
                </w:p>
              </w:tc>
              <w:tc>
                <w:tcPr>
                  <w:tcW w:w="103"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15</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8</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69.2</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69.2</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69.2</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69.3</w:t>
                  </w:r>
                </w:p>
              </w:tc>
              <w:tc>
                <w:tcPr>
                  <w:tcW w:w="315"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7"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7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3" w:hRule="atLeast"/>
                <w:jc w:val="center"/>
              </w:trPr>
              <w:tc>
                <w:tcPr>
                  <w:tcW w:w="161"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8</w:t>
                  </w:r>
                </w:p>
              </w:tc>
              <w:tc>
                <w:tcPr>
                  <w:tcW w:w="266"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238" w:type="pct"/>
                  <w:tcBorders>
                    <w:tl2br w:val="nil"/>
                    <w:tr2bl w:val="nil"/>
                  </w:tcBorders>
                  <w:tcMar>
                    <w:top w:w="0" w:type="dxa"/>
                    <w:left w:w="0" w:type="dxa"/>
                    <w:bottom w:w="0" w:type="dxa"/>
                    <w:right w:w="0" w:type="dxa"/>
                  </w:tcMar>
                  <w:vAlign w:val="center"/>
                </w:tcPr>
                <w:p>
                  <w:pPr>
                    <w:jc w:val="center"/>
                    <w:rPr>
                      <w:color w:val="auto"/>
                      <w:sz w:val="18"/>
                      <w:szCs w:val="18"/>
                    </w:rPr>
                  </w:pPr>
                  <w:r>
                    <w:rPr>
                      <w:rFonts w:hint="eastAsia"/>
                      <w:color w:val="auto"/>
                      <w:sz w:val="18"/>
                      <w:szCs w:val="18"/>
                    </w:rPr>
                    <w:t>切条机</w:t>
                  </w:r>
                </w:p>
              </w:tc>
              <w:tc>
                <w:tcPr>
                  <w:tcW w:w="26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w:t>
                  </w:r>
                </w:p>
              </w:tc>
              <w:tc>
                <w:tcPr>
                  <w:tcW w:w="410"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kern w:val="0"/>
                      <w:sz w:val="18"/>
                      <w:szCs w:val="18"/>
                      <w:lang w:bidi="ar"/>
                    </w:rPr>
                    <w:t>75</w:t>
                  </w:r>
                </w:p>
              </w:tc>
              <w:tc>
                <w:tcPr>
                  <w:tcW w:w="371" w:type="pct"/>
                  <w:tcBorders>
                    <w:tl2br w:val="nil"/>
                    <w:tr2bl w:val="nil"/>
                  </w:tcBorders>
                  <w:tcMar>
                    <w:top w:w="0" w:type="dxa"/>
                    <w:left w:w="0" w:type="dxa"/>
                    <w:bottom w:w="0" w:type="dxa"/>
                    <w:right w:w="0" w:type="dxa"/>
                  </w:tcMar>
                  <w:vAlign w:val="center"/>
                </w:tcPr>
                <w:p>
                  <w:pPr>
                    <w:snapToGrid w:val="0"/>
                    <w:spacing w:line="240" w:lineRule="atLeast"/>
                    <w:jc w:val="center"/>
                    <w:rPr>
                      <w:color w:val="auto"/>
                      <w:sz w:val="18"/>
                      <w:szCs w:val="18"/>
                    </w:rPr>
                  </w:pPr>
                  <w:r>
                    <w:rPr>
                      <w:color w:val="auto"/>
                      <w:kern w:val="0"/>
                      <w:sz w:val="18"/>
                      <w:szCs w:val="18"/>
                    </w:rPr>
                    <w:t>减振底座</w:t>
                  </w:r>
                </w:p>
              </w:tc>
              <w:tc>
                <w:tcPr>
                  <w:tcW w:w="189"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25</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4</w:t>
                  </w:r>
                </w:p>
              </w:tc>
              <w:tc>
                <w:tcPr>
                  <w:tcW w:w="103"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kern w:val="0"/>
                      <w:sz w:val="18"/>
                      <w:szCs w:val="18"/>
                      <w:lang w:bidi="ar"/>
                    </w:rPr>
                    <w:t>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20</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10</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69.2</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69.2</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69.1</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69.4</w:t>
                  </w:r>
                </w:p>
              </w:tc>
              <w:tc>
                <w:tcPr>
                  <w:tcW w:w="315"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7"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7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3" w:hRule="atLeast"/>
                <w:jc w:val="center"/>
              </w:trPr>
              <w:tc>
                <w:tcPr>
                  <w:tcW w:w="161"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9</w:t>
                  </w:r>
                </w:p>
              </w:tc>
              <w:tc>
                <w:tcPr>
                  <w:tcW w:w="266"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238" w:type="pct"/>
                  <w:tcBorders>
                    <w:tl2br w:val="nil"/>
                    <w:tr2bl w:val="nil"/>
                  </w:tcBorders>
                  <w:tcMar>
                    <w:top w:w="0" w:type="dxa"/>
                    <w:left w:w="0" w:type="dxa"/>
                    <w:bottom w:w="0" w:type="dxa"/>
                    <w:right w:w="0" w:type="dxa"/>
                  </w:tcMar>
                  <w:vAlign w:val="center"/>
                </w:tcPr>
                <w:p>
                  <w:pPr>
                    <w:jc w:val="center"/>
                    <w:rPr>
                      <w:color w:val="auto"/>
                      <w:sz w:val="18"/>
                      <w:szCs w:val="18"/>
                    </w:rPr>
                  </w:pPr>
                  <w:r>
                    <w:rPr>
                      <w:rFonts w:hint="eastAsia"/>
                      <w:color w:val="auto"/>
                      <w:sz w:val="18"/>
                      <w:szCs w:val="18"/>
                    </w:rPr>
                    <w:t>切胶机</w:t>
                  </w:r>
                </w:p>
              </w:tc>
              <w:tc>
                <w:tcPr>
                  <w:tcW w:w="26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w:t>
                  </w:r>
                </w:p>
              </w:tc>
              <w:tc>
                <w:tcPr>
                  <w:tcW w:w="410"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75</w:t>
                  </w:r>
                </w:p>
              </w:tc>
              <w:tc>
                <w:tcPr>
                  <w:tcW w:w="371" w:type="pct"/>
                  <w:tcBorders>
                    <w:tl2br w:val="nil"/>
                    <w:tr2bl w:val="nil"/>
                  </w:tcBorders>
                  <w:tcMar>
                    <w:top w:w="0" w:type="dxa"/>
                    <w:left w:w="0" w:type="dxa"/>
                    <w:bottom w:w="0" w:type="dxa"/>
                    <w:right w:w="0" w:type="dxa"/>
                  </w:tcMar>
                  <w:vAlign w:val="center"/>
                </w:tcPr>
                <w:p>
                  <w:pPr>
                    <w:snapToGrid w:val="0"/>
                    <w:spacing w:line="240" w:lineRule="atLeast"/>
                    <w:jc w:val="center"/>
                    <w:rPr>
                      <w:color w:val="auto"/>
                      <w:sz w:val="18"/>
                      <w:szCs w:val="18"/>
                    </w:rPr>
                  </w:pPr>
                  <w:r>
                    <w:rPr>
                      <w:color w:val="auto"/>
                      <w:kern w:val="0"/>
                      <w:sz w:val="18"/>
                      <w:szCs w:val="18"/>
                    </w:rPr>
                    <w:t>减振底座</w:t>
                  </w:r>
                </w:p>
              </w:tc>
              <w:tc>
                <w:tcPr>
                  <w:tcW w:w="189"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25</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4</w:t>
                  </w:r>
                </w:p>
              </w:tc>
              <w:tc>
                <w:tcPr>
                  <w:tcW w:w="103"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8</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20</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10</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69.2</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69.2</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69.1</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69.4</w:t>
                  </w:r>
                </w:p>
              </w:tc>
              <w:tc>
                <w:tcPr>
                  <w:tcW w:w="315"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7"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7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1m</w:t>
                  </w:r>
                </w:p>
              </w:tc>
            </w:tr>
            <w:bookmarkEnd w:id="13"/>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3" w:hRule="atLeast"/>
                <w:jc w:val="center"/>
              </w:trPr>
              <w:tc>
                <w:tcPr>
                  <w:tcW w:w="161"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10</w:t>
                  </w:r>
                </w:p>
              </w:tc>
              <w:tc>
                <w:tcPr>
                  <w:tcW w:w="266"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238" w:type="pct"/>
                  <w:tcBorders>
                    <w:tl2br w:val="nil"/>
                    <w:tr2bl w:val="nil"/>
                  </w:tcBorders>
                  <w:tcMar>
                    <w:top w:w="0" w:type="dxa"/>
                    <w:left w:w="0" w:type="dxa"/>
                    <w:bottom w:w="0" w:type="dxa"/>
                    <w:right w:w="0" w:type="dxa"/>
                  </w:tcMar>
                  <w:vAlign w:val="center"/>
                </w:tcPr>
                <w:p>
                  <w:pPr>
                    <w:jc w:val="center"/>
                    <w:rPr>
                      <w:color w:val="auto"/>
                      <w:sz w:val="18"/>
                      <w:szCs w:val="18"/>
                    </w:rPr>
                  </w:pPr>
                  <w:r>
                    <w:rPr>
                      <w:color w:val="auto"/>
                      <w:sz w:val="18"/>
                      <w:szCs w:val="18"/>
                    </w:rPr>
                    <w:t>注塑机</w:t>
                  </w:r>
                </w:p>
              </w:tc>
              <w:tc>
                <w:tcPr>
                  <w:tcW w:w="26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w:t>
                  </w:r>
                </w:p>
              </w:tc>
              <w:tc>
                <w:tcPr>
                  <w:tcW w:w="410"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80</w:t>
                  </w:r>
                </w:p>
              </w:tc>
              <w:tc>
                <w:tcPr>
                  <w:tcW w:w="371" w:type="pct"/>
                  <w:tcBorders>
                    <w:tl2br w:val="nil"/>
                    <w:tr2bl w:val="nil"/>
                  </w:tcBorders>
                  <w:tcMar>
                    <w:top w:w="0" w:type="dxa"/>
                    <w:left w:w="0" w:type="dxa"/>
                    <w:bottom w:w="0" w:type="dxa"/>
                    <w:right w:w="0" w:type="dxa"/>
                  </w:tcMar>
                  <w:vAlign w:val="center"/>
                </w:tcPr>
                <w:p>
                  <w:pPr>
                    <w:snapToGrid w:val="0"/>
                    <w:spacing w:line="240" w:lineRule="atLeast"/>
                    <w:jc w:val="center"/>
                    <w:rPr>
                      <w:color w:val="auto"/>
                      <w:sz w:val="18"/>
                      <w:szCs w:val="18"/>
                    </w:rPr>
                  </w:pPr>
                  <w:r>
                    <w:rPr>
                      <w:color w:val="auto"/>
                      <w:kern w:val="0"/>
                      <w:sz w:val="18"/>
                      <w:szCs w:val="18"/>
                    </w:rPr>
                    <w:t>减振底座</w:t>
                  </w:r>
                </w:p>
              </w:tc>
              <w:tc>
                <w:tcPr>
                  <w:tcW w:w="189"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3</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3</w:t>
                  </w:r>
                </w:p>
              </w:tc>
              <w:tc>
                <w:tcPr>
                  <w:tcW w:w="103"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4</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8</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75.7</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75.7</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75.7</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75.8</w:t>
                  </w:r>
                </w:p>
              </w:tc>
              <w:tc>
                <w:tcPr>
                  <w:tcW w:w="315"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7"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71" w:type="pct"/>
                  <w:vMerge w:val="restar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1m</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3" w:hRule="atLeast"/>
                <w:jc w:val="center"/>
              </w:trPr>
              <w:tc>
                <w:tcPr>
                  <w:tcW w:w="161"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11</w:t>
                  </w:r>
                </w:p>
              </w:tc>
              <w:tc>
                <w:tcPr>
                  <w:tcW w:w="266"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238" w:type="pct"/>
                  <w:tcBorders>
                    <w:tl2br w:val="nil"/>
                    <w:tr2bl w:val="nil"/>
                  </w:tcBorders>
                  <w:tcMar>
                    <w:top w:w="0" w:type="dxa"/>
                    <w:left w:w="0" w:type="dxa"/>
                    <w:bottom w:w="0" w:type="dxa"/>
                    <w:right w:w="0" w:type="dxa"/>
                  </w:tcMar>
                  <w:vAlign w:val="center"/>
                </w:tcPr>
                <w:p>
                  <w:pPr>
                    <w:jc w:val="center"/>
                    <w:rPr>
                      <w:color w:val="auto"/>
                      <w:sz w:val="18"/>
                      <w:szCs w:val="18"/>
                    </w:rPr>
                  </w:pPr>
                  <w:r>
                    <w:rPr>
                      <w:rFonts w:hint="eastAsia"/>
                      <w:color w:val="auto"/>
                      <w:sz w:val="18"/>
                      <w:szCs w:val="18"/>
                    </w:rPr>
                    <w:t>烘干机</w:t>
                  </w:r>
                </w:p>
              </w:tc>
              <w:tc>
                <w:tcPr>
                  <w:tcW w:w="260"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w:t>
                  </w:r>
                </w:p>
              </w:tc>
              <w:tc>
                <w:tcPr>
                  <w:tcW w:w="410" w:type="pct"/>
                  <w:tcBorders>
                    <w:tl2br w:val="nil"/>
                    <w:tr2bl w:val="nil"/>
                  </w:tcBorders>
                  <w:tcMar>
                    <w:top w:w="0" w:type="dxa"/>
                    <w:left w:w="0" w:type="dxa"/>
                    <w:bottom w:w="0" w:type="dxa"/>
                    <w:right w:w="0" w:type="dxa"/>
                  </w:tcMar>
                  <w:vAlign w:val="center"/>
                </w:tcPr>
                <w:p>
                  <w:pPr>
                    <w:pStyle w:val="361"/>
                    <w:rPr>
                      <w:color w:val="auto"/>
                      <w:sz w:val="18"/>
                      <w:szCs w:val="18"/>
                    </w:rPr>
                  </w:pPr>
                  <w:r>
                    <w:rPr>
                      <w:rFonts w:hint="eastAsia" w:eastAsia="宋体"/>
                      <w:color w:val="auto"/>
                      <w:sz w:val="18"/>
                      <w:szCs w:val="18"/>
                    </w:rPr>
                    <w:t>80</w:t>
                  </w:r>
                </w:p>
              </w:tc>
              <w:tc>
                <w:tcPr>
                  <w:tcW w:w="371" w:type="pct"/>
                  <w:tcBorders>
                    <w:tl2br w:val="nil"/>
                    <w:tr2bl w:val="nil"/>
                  </w:tcBorders>
                  <w:tcMar>
                    <w:top w:w="0" w:type="dxa"/>
                    <w:left w:w="0" w:type="dxa"/>
                    <w:bottom w:w="0" w:type="dxa"/>
                    <w:right w:w="0" w:type="dxa"/>
                  </w:tcMar>
                  <w:vAlign w:val="center"/>
                </w:tcPr>
                <w:p>
                  <w:pPr>
                    <w:snapToGrid w:val="0"/>
                    <w:spacing w:line="240" w:lineRule="atLeast"/>
                    <w:jc w:val="center"/>
                    <w:rPr>
                      <w:color w:val="auto"/>
                      <w:sz w:val="18"/>
                      <w:szCs w:val="18"/>
                    </w:rPr>
                  </w:pPr>
                  <w:r>
                    <w:rPr>
                      <w:color w:val="auto"/>
                      <w:kern w:val="0"/>
                      <w:sz w:val="18"/>
                      <w:szCs w:val="18"/>
                    </w:rPr>
                    <w:t>减振底座</w:t>
                  </w:r>
                </w:p>
              </w:tc>
              <w:tc>
                <w:tcPr>
                  <w:tcW w:w="189"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3</w:t>
                  </w:r>
                </w:p>
              </w:tc>
              <w:tc>
                <w:tcPr>
                  <w:tcW w:w="143"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4</w:t>
                  </w:r>
                </w:p>
              </w:tc>
              <w:tc>
                <w:tcPr>
                  <w:tcW w:w="103" w:type="pct"/>
                  <w:tcBorders>
                    <w:tl2br w:val="nil"/>
                    <w:tr2bl w:val="nil"/>
                  </w:tcBorders>
                  <w:tcMar>
                    <w:top w:w="0" w:type="dxa"/>
                    <w:left w:w="0" w:type="dxa"/>
                    <w:bottom w:w="0" w:type="dxa"/>
                    <w:right w:w="0" w:type="dxa"/>
                  </w:tcMar>
                  <w:vAlign w:val="center"/>
                </w:tcPr>
                <w:p>
                  <w:pPr>
                    <w:widowControl/>
                    <w:adjustRightInd w:val="0"/>
                    <w:snapToGrid w:val="0"/>
                    <w:jc w:val="center"/>
                    <w:textAlignment w:val="center"/>
                    <w:rPr>
                      <w:color w:val="auto"/>
                      <w:sz w:val="18"/>
                      <w:szCs w:val="18"/>
                    </w:rPr>
                  </w:pPr>
                  <w:r>
                    <w:rPr>
                      <w:rFonts w:hint="eastAsia"/>
                      <w:color w:val="auto"/>
                      <w:sz w:val="18"/>
                      <w:szCs w:val="18"/>
                    </w:rPr>
                    <w:t>1</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25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4</w:t>
                  </w:r>
                </w:p>
              </w:tc>
              <w:tc>
                <w:tcPr>
                  <w:tcW w:w="147"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8</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75.5</w:t>
                  </w:r>
                </w:p>
              </w:tc>
              <w:tc>
                <w:tcPr>
                  <w:tcW w:w="134"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75.7</w:t>
                  </w:r>
                </w:p>
              </w:tc>
              <w:tc>
                <w:tcPr>
                  <w:tcW w:w="181" w:type="pct"/>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r>
                    <w:rPr>
                      <w:rFonts w:hint="eastAsia"/>
                      <w:color w:val="auto"/>
                      <w:sz w:val="18"/>
                      <w:szCs w:val="18"/>
                    </w:rPr>
                    <w:t>75.9</w:t>
                  </w:r>
                </w:p>
              </w:tc>
              <w:tc>
                <w:tcPr>
                  <w:tcW w:w="315"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7"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53"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c>
                <w:tcPr>
                  <w:tcW w:w="171" w:type="pct"/>
                  <w:vMerge w:val="continue"/>
                  <w:tcBorders>
                    <w:tl2br w:val="nil"/>
                    <w:tr2bl w:val="nil"/>
                  </w:tcBorders>
                  <w:tcMar>
                    <w:top w:w="0" w:type="dxa"/>
                    <w:left w:w="0" w:type="dxa"/>
                    <w:bottom w:w="0" w:type="dxa"/>
                    <w:right w:w="0" w:type="dxa"/>
                  </w:tcMar>
                  <w:vAlign w:val="center"/>
                </w:tcPr>
                <w:p>
                  <w:pPr>
                    <w:adjustRightInd w:val="0"/>
                    <w:snapToGrid w:val="0"/>
                    <w:jc w:val="center"/>
                    <w:rPr>
                      <w:color w:val="auto"/>
                      <w:sz w:val="18"/>
                      <w:szCs w:val="18"/>
                    </w:rPr>
                  </w:pPr>
                </w:p>
              </w:tc>
            </w:tr>
          </w:tbl>
          <w:p>
            <w:pPr>
              <w:pStyle w:val="23"/>
              <w:adjustRightInd w:val="0"/>
              <w:spacing w:line="360" w:lineRule="auto"/>
              <w:ind w:left="0" w:leftChars="0" w:right="0" w:firstLine="0" w:firstLineChars="0"/>
              <w:rPr>
                <w:rFonts w:ascii="Times New Roman" w:hAnsi="Times New Roman"/>
                <w:color w:val="auto"/>
                <w:sz w:val="18"/>
                <w:szCs w:val="18"/>
              </w:rPr>
            </w:pPr>
            <w:r>
              <w:rPr>
                <w:rFonts w:ascii="Times New Roman" w:hAnsi="Times New Roman"/>
                <w:color w:val="auto"/>
                <w:sz w:val="18"/>
                <w:szCs w:val="18"/>
              </w:rPr>
              <w:t>注：选取厂界西南角为0点，XYZ为设备相对0点位置。</w:t>
            </w:r>
          </w:p>
          <w:p>
            <w:pPr>
              <w:pStyle w:val="2"/>
              <w:spacing w:before="0" w:after="0" w:line="360" w:lineRule="auto"/>
              <w:rPr>
                <w:color w:val="auto"/>
                <w:sz w:val="21"/>
                <w:szCs w:val="21"/>
              </w:rPr>
            </w:pPr>
          </w:p>
          <w:p>
            <w:pPr>
              <w:jc w:val="center"/>
              <w:rPr>
                <w:b/>
                <w:bCs/>
                <w:color w:val="auto"/>
              </w:rPr>
            </w:pPr>
            <w:r>
              <w:rPr>
                <w:rFonts w:hint="eastAsia"/>
                <w:b/>
                <w:bCs/>
                <w:color w:val="auto"/>
              </w:rPr>
              <w:t xml:space="preserve">表4-19  </w:t>
            </w:r>
            <w:r>
              <w:rPr>
                <w:b/>
                <w:bCs/>
                <w:color w:val="auto"/>
              </w:rPr>
              <w:t>工业企业噪声源强调查清单（室外声源）</w:t>
            </w:r>
          </w:p>
          <w:tbl>
            <w:tblPr>
              <w:tblStyle w:val="37"/>
              <w:tblW w:w="4997" w:type="pct"/>
              <w:tblInd w:w="0" w:type="dxa"/>
              <w:tblBorders>
                <w:top w:val="single" w:color="auto" w:sz="12" w:space="0"/>
                <w:left w:val="none" w:color="auto" w:sz="0" w:space="0"/>
                <w:bottom w:val="single" w:color="auto" w:sz="12" w:space="0"/>
                <w:right w:val="none" w:color="auto" w:sz="0" w:space="0"/>
                <w:insideH w:val="single" w:color="auto" w:sz="2" w:space="0"/>
                <w:insideV w:val="single" w:color="auto" w:sz="8" w:space="0"/>
              </w:tblBorders>
              <w:tblLayout w:type="fixed"/>
              <w:tblCellMar>
                <w:top w:w="0" w:type="dxa"/>
                <w:left w:w="108" w:type="dxa"/>
                <w:bottom w:w="0" w:type="dxa"/>
                <w:right w:w="108" w:type="dxa"/>
              </w:tblCellMar>
            </w:tblPr>
            <w:tblGrid>
              <w:gridCol w:w="651"/>
              <w:gridCol w:w="750"/>
              <w:gridCol w:w="1789"/>
              <w:gridCol w:w="1205"/>
              <w:gridCol w:w="1091"/>
              <w:gridCol w:w="1088"/>
              <w:gridCol w:w="995"/>
              <w:gridCol w:w="1650"/>
              <w:gridCol w:w="1319"/>
              <w:gridCol w:w="1817"/>
              <w:gridCol w:w="1168"/>
            </w:tblGrid>
            <w:tr>
              <w:tblPrEx>
                <w:tblBorders>
                  <w:top w:val="single" w:color="auto" w:sz="12" w:space="0"/>
                  <w:left w:val="none" w:color="auto" w:sz="0" w:space="0"/>
                  <w:bottom w:val="single" w:color="auto" w:sz="12" w:space="0"/>
                  <w:right w:val="none" w:color="auto" w:sz="0" w:space="0"/>
                  <w:insideH w:val="single" w:color="auto" w:sz="2" w:space="0"/>
                  <w:insideV w:val="single" w:color="auto" w:sz="8" w:space="0"/>
                </w:tblBorders>
                <w:tblCellMar>
                  <w:top w:w="0" w:type="dxa"/>
                  <w:left w:w="108" w:type="dxa"/>
                  <w:bottom w:w="0" w:type="dxa"/>
                  <w:right w:w="108" w:type="dxa"/>
                </w:tblCellMar>
              </w:tblPrEx>
              <w:trPr>
                <w:trHeight w:val="223" w:hRule="atLeast"/>
              </w:trPr>
              <w:tc>
                <w:tcPr>
                  <w:tcW w:w="240" w:type="pct"/>
                  <w:vMerge w:val="restart"/>
                  <w:vAlign w:val="center"/>
                </w:tcPr>
                <w:p>
                  <w:pPr>
                    <w:adjustRightInd w:val="0"/>
                    <w:snapToGrid w:val="0"/>
                    <w:spacing w:before="24" w:beforeLines="10" w:after="24" w:afterLines="10" w:line="256" w:lineRule="auto"/>
                    <w:jc w:val="center"/>
                    <w:textAlignment w:val="baseline"/>
                    <w:rPr>
                      <w:b/>
                      <w:color w:val="auto"/>
                      <w:spacing w:val="-10"/>
                      <w:kern w:val="0"/>
                      <w:sz w:val="18"/>
                      <w:szCs w:val="18"/>
                    </w:rPr>
                  </w:pPr>
                  <w:r>
                    <w:rPr>
                      <w:rFonts w:hint="eastAsia" w:ascii="宋体" w:hAnsi="宋体" w:cs="宋体"/>
                      <w:b/>
                      <w:color w:val="auto"/>
                      <w:spacing w:val="-10"/>
                      <w:kern w:val="0"/>
                      <w:sz w:val="18"/>
                      <w:szCs w:val="18"/>
                      <w:lang w:bidi="ar"/>
                    </w:rPr>
                    <w:t>序号</w:t>
                  </w:r>
                </w:p>
              </w:tc>
              <w:tc>
                <w:tcPr>
                  <w:tcW w:w="277" w:type="pct"/>
                  <w:vMerge w:val="restart"/>
                  <w:vAlign w:val="center"/>
                </w:tcPr>
                <w:p>
                  <w:pPr>
                    <w:adjustRightInd w:val="0"/>
                    <w:snapToGrid w:val="0"/>
                    <w:spacing w:before="24" w:beforeLines="10" w:after="24" w:afterLines="10" w:line="256" w:lineRule="auto"/>
                    <w:jc w:val="center"/>
                    <w:textAlignment w:val="baseline"/>
                    <w:rPr>
                      <w:b/>
                      <w:color w:val="auto"/>
                      <w:spacing w:val="-10"/>
                      <w:kern w:val="0"/>
                      <w:sz w:val="18"/>
                      <w:szCs w:val="18"/>
                    </w:rPr>
                  </w:pPr>
                  <w:r>
                    <w:rPr>
                      <w:rFonts w:hint="eastAsia" w:ascii="宋体" w:hAnsi="宋体" w:cs="宋体"/>
                      <w:b/>
                      <w:color w:val="auto"/>
                      <w:spacing w:val="-10"/>
                      <w:kern w:val="0"/>
                      <w:sz w:val="18"/>
                      <w:szCs w:val="18"/>
                      <w:lang w:bidi="ar"/>
                    </w:rPr>
                    <w:t>建筑物名称</w:t>
                  </w:r>
                </w:p>
              </w:tc>
              <w:tc>
                <w:tcPr>
                  <w:tcW w:w="660" w:type="pct"/>
                  <w:vMerge w:val="restart"/>
                  <w:vAlign w:val="center"/>
                </w:tcPr>
                <w:p>
                  <w:pPr>
                    <w:adjustRightInd w:val="0"/>
                    <w:snapToGrid w:val="0"/>
                    <w:spacing w:before="24" w:beforeLines="10" w:after="24" w:afterLines="10" w:line="256" w:lineRule="auto"/>
                    <w:jc w:val="center"/>
                    <w:textAlignment w:val="baseline"/>
                    <w:rPr>
                      <w:b/>
                      <w:color w:val="auto"/>
                      <w:spacing w:val="-10"/>
                      <w:kern w:val="0"/>
                      <w:sz w:val="18"/>
                      <w:szCs w:val="18"/>
                    </w:rPr>
                  </w:pPr>
                  <w:r>
                    <w:rPr>
                      <w:rFonts w:hint="eastAsia" w:ascii="宋体" w:hAnsi="宋体" w:cs="宋体"/>
                      <w:b/>
                      <w:color w:val="auto"/>
                      <w:spacing w:val="-10"/>
                      <w:kern w:val="0"/>
                      <w:sz w:val="18"/>
                      <w:szCs w:val="18"/>
                      <w:lang w:bidi="ar"/>
                    </w:rPr>
                    <w:t>声源名称</w:t>
                  </w:r>
                </w:p>
              </w:tc>
              <w:tc>
                <w:tcPr>
                  <w:tcW w:w="445" w:type="pct"/>
                  <w:vMerge w:val="restart"/>
                  <w:vAlign w:val="center"/>
                </w:tcPr>
                <w:p>
                  <w:pPr>
                    <w:adjustRightInd w:val="0"/>
                    <w:snapToGrid w:val="0"/>
                    <w:spacing w:before="24" w:beforeLines="10" w:after="24" w:afterLines="10" w:line="256" w:lineRule="auto"/>
                    <w:jc w:val="center"/>
                    <w:textAlignment w:val="baseline"/>
                    <w:rPr>
                      <w:b/>
                      <w:color w:val="auto"/>
                      <w:spacing w:val="-10"/>
                      <w:kern w:val="0"/>
                      <w:sz w:val="18"/>
                      <w:szCs w:val="18"/>
                    </w:rPr>
                  </w:pPr>
                  <w:r>
                    <w:rPr>
                      <w:rFonts w:hint="eastAsia" w:ascii="宋体" w:hAnsi="宋体" w:cs="宋体"/>
                      <w:b/>
                      <w:color w:val="auto"/>
                      <w:spacing w:val="-10"/>
                      <w:kern w:val="0"/>
                      <w:sz w:val="18"/>
                      <w:szCs w:val="18"/>
                      <w:lang w:bidi="ar"/>
                    </w:rPr>
                    <w:t>型号</w:t>
                  </w:r>
                </w:p>
              </w:tc>
              <w:tc>
                <w:tcPr>
                  <w:tcW w:w="1173" w:type="pct"/>
                  <w:gridSpan w:val="3"/>
                </w:tcPr>
                <w:p>
                  <w:pPr>
                    <w:adjustRightInd w:val="0"/>
                    <w:snapToGrid w:val="0"/>
                    <w:spacing w:before="24" w:beforeLines="10" w:after="24" w:afterLines="10" w:line="256" w:lineRule="auto"/>
                    <w:jc w:val="center"/>
                    <w:textAlignment w:val="baseline"/>
                    <w:rPr>
                      <w:b/>
                      <w:color w:val="auto"/>
                      <w:spacing w:val="-10"/>
                      <w:kern w:val="0"/>
                      <w:sz w:val="18"/>
                      <w:szCs w:val="18"/>
                    </w:rPr>
                  </w:pPr>
                  <w:r>
                    <w:rPr>
                      <w:rFonts w:hint="eastAsia" w:ascii="宋体" w:hAnsi="宋体" w:cs="宋体"/>
                      <w:b/>
                      <w:color w:val="auto"/>
                      <w:spacing w:val="-10"/>
                      <w:kern w:val="0"/>
                      <w:sz w:val="18"/>
                      <w:szCs w:val="18"/>
                      <w:lang w:bidi="ar"/>
                    </w:rPr>
                    <w:t>空间相对位置</w:t>
                  </w:r>
                  <w:r>
                    <w:rPr>
                      <w:b/>
                      <w:color w:val="auto"/>
                      <w:spacing w:val="-10"/>
                      <w:kern w:val="0"/>
                      <w:sz w:val="18"/>
                      <w:szCs w:val="18"/>
                      <w:lang w:bidi="ar"/>
                    </w:rPr>
                    <w:t>/m</w:t>
                  </w:r>
                </w:p>
              </w:tc>
              <w:tc>
                <w:tcPr>
                  <w:tcW w:w="1098" w:type="pct"/>
                  <w:gridSpan w:val="2"/>
                  <w:vAlign w:val="center"/>
                </w:tcPr>
                <w:p>
                  <w:pPr>
                    <w:adjustRightInd w:val="0"/>
                    <w:snapToGrid w:val="0"/>
                    <w:spacing w:before="24" w:beforeLines="10" w:after="24" w:afterLines="10" w:line="256" w:lineRule="auto"/>
                    <w:jc w:val="center"/>
                    <w:textAlignment w:val="baseline"/>
                    <w:rPr>
                      <w:b/>
                      <w:color w:val="auto"/>
                      <w:spacing w:val="-10"/>
                      <w:kern w:val="0"/>
                      <w:sz w:val="18"/>
                      <w:szCs w:val="18"/>
                    </w:rPr>
                  </w:pPr>
                  <w:r>
                    <w:rPr>
                      <w:rFonts w:hint="eastAsia" w:ascii="宋体" w:hAnsi="宋体" w:cs="宋体"/>
                      <w:b/>
                      <w:color w:val="auto"/>
                      <w:spacing w:val="-10"/>
                      <w:kern w:val="0"/>
                      <w:sz w:val="18"/>
                      <w:szCs w:val="18"/>
                      <w:lang w:bidi="ar"/>
                    </w:rPr>
                    <w:t>声源源强</w:t>
                  </w:r>
                </w:p>
              </w:tc>
              <w:tc>
                <w:tcPr>
                  <w:tcW w:w="671" w:type="pct"/>
                  <w:vMerge w:val="restart"/>
                  <w:vAlign w:val="center"/>
                </w:tcPr>
                <w:p>
                  <w:pPr>
                    <w:adjustRightInd w:val="0"/>
                    <w:snapToGrid w:val="0"/>
                    <w:spacing w:before="24" w:beforeLines="10" w:after="24" w:afterLines="10" w:line="256" w:lineRule="auto"/>
                    <w:jc w:val="center"/>
                    <w:textAlignment w:val="baseline"/>
                    <w:rPr>
                      <w:b/>
                      <w:color w:val="auto"/>
                      <w:spacing w:val="-10"/>
                      <w:kern w:val="0"/>
                      <w:sz w:val="18"/>
                      <w:szCs w:val="18"/>
                    </w:rPr>
                  </w:pPr>
                  <w:r>
                    <w:rPr>
                      <w:rFonts w:hint="eastAsia" w:ascii="宋体" w:hAnsi="宋体" w:cs="宋体"/>
                      <w:b/>
                      <w:color w:val="auto"/>
                      <w:spacing w:val="-10"/>
                      <w:kern w:val="0"/>
                      <w:sz w:val="18"/>
                      <w:szCs w:val="18"/>
                      <w:lang w:bidi="ar"/>
                    </w:rPr>
                    <w:t>声源控制措施</w:t>
                  </w:r>
                </w:p>
              </w:tc>
              <w:tc>
                <w:tcPr>
                  <w:tcW w:w="432" w:type="pct"/>
                  <w:vMerge w:val="restart"/>
                  <w:vAlign w:val="center"/>
                </w:tcPr>
                <w:p>
                  <w:pPr>
                    <w:adjustRightInd w:val="0"/>
                    <w:snapToGrid w:val="0"/>
                    <w:spacing w:before="24" w:beforeLines="10" w:after="24" w:afterLines="10" w:line="256" w:lineRule="auto"/>
                    <w:jc w:val="center"/>
                    <w:textAlignment w:val="baseline"/>
                    <w:rPr>
                      <w:b/>
                      <w:color w:val="auto"/>
                      <w:spacing w:val="-10"/>
                      <w:kern w:val="0"/>
                      <w:sz w:val="18"/>
                      <w:szCs w:val="18"/>
                    </w:rPr>
                  </w:pPr>
                  <w:r>
                    <w:rPr>
                      <w:rFonts w:hint="eastAsia" w:ascii="宋体" w:hAnsi="宋体" w:cs="宋体"/>
                      <w:b/>
                      <w:color w:val="auto"/>
                      <w:spacing w:val="-10"/>
                      <w:kern w:val="0"/>
                      <w:sz w:val="18"/>
                      <w:szCs w:val="18"/>
                      <w:lang w:bidi="ar"/>
                    </w:rPr>
                    <w:t>运行时段</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8" w:space="0"/>
                </w:tblBorders>
                <w:tblCellMar>
                  <w:top w:w="0" w:type="dxa"/>
                  <w:left w:w="108" w:type="dxa"/>
                  <w:bottom w:w="0" w:type="dxa"/>
                  <w:right w:w="108" w:type="dxa"/>
                </w:tblCellMar>
              </w:tblPrEx>
              <w:trPr>
                <w:trHeight w:val="223" w:hRule="atLeast"/>
              </w:trPr>
              <w:tc>
                <w:tcPr>
                  <w:tcW w:w="240" w:type="pct"/>
                  <w:vMerge w:val="continue"/>
                  <w:vAlign w:val="center"/>
                </w:tcPr>
                <w:p>
                  <w:pPr>
                    <w:rPr>
                      <w:color w:val="auto"/>
                      <w:sz w:val="18"/>
                      <w:szCs w:val="18"/>
                    </w:rPr>
                  </w:pPr>
                </w:p>
              </w:tc>
              <w:tc>
                <w:tcPr>
                  <w:tcW w:w="277" w:type="pct"/>
                  <w:vMerge w:val="continue"/>
                  <w:vAlign w:val="center"/>
                </w:tcPr>
                <w:p>
                  <w:pPr>
                    <w:rPr>
                      <w:color w:val="auto"/>
                      <w:sz w:val="18"/>
                      <w:szCs w:val="18"/>
                    </w:rPr>
                  </w:pPr>
                </w:p>
              </w:tc>
              <w:tc>
                <w:tcPr>
                  <w:tcW w:w="660" w:type="pct"/>
                  <w:vMerge w:val="continue"/>
                  <w:vAlign w:val="center"/>
                </w:tcPr>
                <w:p>
                  <w:pPr>
                    <w:rPr>
                      <w:color w:val="auto"/>
                      <w:sz w:val="18"/>
                      <w:szCs w:val="18"/>
                    </w:rPr>
                  </w:pPr>
                </w:p>
              </w:tc>
              <w:tc>
                <w:tcPr>
                  <w:tcW w:w="445" w:type="pct"/>
                  <w:vMerge w:val="continue"/>
                  <w:vAlign w:val="center"/>
                </w:tcPr>
                <w:p>
                  <w:pPr>
                    <w:rPr>
                      <w:color w:val="auto"/>
                      <w:sz w:val="18"/>
                      <w:szCs w:val="18"/>
                    </w:rPr>
                  </w:pPr>
                </w:p>
              </w:tc>
              <w:tc>
                <w:tcPr>
                  <w:tcW w:w="403" w:type="pct"/>
                  <w:vAlign w:val="center"/>
                </w:tcPr>
                <w:p>
                  <w:pPr>
                    <w:adjustRightInd w:val="0"/>
                    <w:snapToGrid w:val="0"/>
                    <w:spacing w:before="24" w:beforeLines="10" w:after="24" w:afterLines="10" w:line="256" w:lineRule="auto"/>
                    <w:jc w:val="center"/>
                    <w:textAlignment w:val="baseline"/>
                    <w:rPr>
                      <w:b/>
                      <w:color w:val="auto"/>
                      <w:spacing w:val="-10"/>
                      <w:kern w:val="0"/>
                      <w:sz w:val="18"/>
                      <w:szCs w:val="18"/>
                    </w:rPr>
                  </w:pPr>
                  <w:r>
                    <w:rPr>
                      <w:b/>
                      <w:color w:val="auto"/>
                      <w:spacing w:val="-10"/>
                      <w:kern w:val="0"/>
                      <w:sz w:val="18"/>
                      <w:szCs w:val="18"/>
                      <w:lang w:bidi="ar"/>
                    </w:rPr>
                    <w:t>X</w:t>
                  </w:r>
                </w:p>
              </w:tc>
              <w:tc>
                <w:tcPr>
                  <w:tcW w:w="402" w:type="pct"/>
                  <w:vAlign w:val="center"/>
                </w:tcPr>
                <w:p>
                  <w:pPr>
                    <w:adjustRightInd w:val="0"/>
                    <w:snapToGrid w:val="0"/>
                    <w:spacing w:before="24" w:beforeLines="10" w:after="24" w:afterLines="10" w:line="256" w:lineRule="auto"/>
                    <w:jc w:val="center"/>
                    <w:textAlignment w:val="baseline"/>
                    <w:rPr>
                      <w:b/>
                      <w:color w:val="auto"/>
                      <w:spacing w:val="-10"/>
                      <w:kern w:val="0"/>
                      <w:sz w:val="18"/>
                      <w:szCs w:val="18"/>
                    </w:rPr>
                  </w:pPr>
                  <w:r>
                    <w:rPr>
                      <w:b/>
                      <w:color w:val="auto"/>
                      <w:spacing w:val="-10"/>
                      <w:kern w:val="0"/>
                      <w:sz w:val="18"/>
                      <w:szCs w:val="18"/>
                      <w:lang w:bidi="ar"/>
                    </w:rPr>
                    <w:t>Y</w:t>
                  </w:r>
                </w:p>
              </w:tc>
              <w:tc>
                <w:tcPr>
                  <w:tcW w:w="367" w:type="pct"/>
                  <w:vAlign w:val="center"/>
                </w:tcPr>
                <w:p>
                  <w:pPr>
                    <w:adjustRightInd w:val="0"/>
                    <w:snapToGrid w:val="0"/>
                    <w:spacing w:before="24" w:beforeLines="10" w:after="24" w:afterLines="10" w:line="256" w:lineRule="auto"/>
                    <w:jc w:val="center"/>
                    <w:textAlignment w:val="baseline"/>
                    <w:rPr>
                      <w:b/>
                      <w:color w:val="auto"/>
                      <w:spacing w:val="-10"/>
                      <w:kern w:val="0"/>
                      <w:sz w:val="18"/>
                      <w:szCs w:val="18"/>
                    </w:rPr>
                  </w:pPr>
                  <w:r>
                    <w:rPr>
                      <w:b/>
                      <w:color w:val="auto"/>
                      <w:spacing w:val="-10"/>
                      <w:kern w:val="0"/>
                      <w:sz w:val="18"/>
                      <w:szCs w:val="18"/>
                      <w:lang w:bidi="ar"/>
                    </w:rPr>
                    <w:t>Z</w:t>
                  </w:r>
                </w:p>
              </w:tc>
              <w:tc>
                <w:tcPr>
                  <w:tcW w:w="610" w:type="pct"/>
                  <w:vAlign w:val="center"/>
                </w:tcPr>
                <w:p>
                  <w:pPr>
                    <w:jc w:val="center"/>
                    <w:rPr>
                      <w:color w:val="auto"/>
                      <w:sz w:val="18"/>
                      <w:szCs w:val="18"/>
                    </w:rPr>
                  </w:pPr>
                  <w:r>
                    <w:rPr>
                      <w:rFonts w:hint="eastAsia"/>
                      <w:b/>
                      <w:color w:val="auto"/>
                      <w:spacing w:val="-10"/>
                      <w:kern w:val="0"/>
                      <w:sz w:val="18"/>
                      <w:szCs w:val="18"/>
                      <w:lang w:bidi="ar"/>
                    </w:rPr>
                    <w:t>声功率级</w:t>
                  </w:r>
                  <w:r>
                    <w:rPr>
                      <w:b/>
                      <w:color w:val="auto"/>
                      <w:spacing w:val="-10"/>
                      <w:kern w:val="0"/>
                      <w:sz w:val="18"/>
                      <w:szCs w:val="18"/>
                      <w:lang w:bidi="ar"/>
                    </w:rPr>
                    <w:t>/dB</w:t>
                  </w:r>
                  <w:r>
                    <w:rPr>
                      <w:rFonts w:hint="eastAsia" w:ascii="宋体" w:hAnsi="宋体" w:cs="宋体"/>
                      <w:b/>
                      <w:color w:val="auto"/>
                      <w:spacing w:val="-10"/>
                      <w:kern w:val="0"/>
                      <w:sz w:val="18"/>
                      <w:szCs w:val="18"/>
                      <w:lang w:bidi="ar"/>
                    </w:rPr>
                    <w:t>（</w:t>
                  </w:r>
                  <w:r>
                    <w:rPr>
                      <w:b/>
                      <w:color w:val="auto"/>
                      <w:spacing w:val="-10"/>
                      <w:kern w:val="0"/>
                      <w:sz w:val="18"/>
                      <w:szCs w:val="18"/>
                      <w:lang w:bidi="ar"/>
                    </w:rPr>
                    <w:t>A</w:t>
                  </w:r>
                  <w:r>
                    <w:rPr>
                      <w:rFonts w:hint="eastAsia" w:ascii="宋体" w:hAnsi="宋体" w:cs="宋体"/>
                      <w:b/>
                      <w:color w:val="auto"/>
                      <w:spacing w:val="-10"/>
                      <w:kern w:val="0"/>
                      <w:sz w:val="18"/>
                      <w:szCs w:val="18"/>
                      <w:lang w:bidi="ar"/>
                    </w:rPr>
                    <w:t>）</w:t>
                  </w:r>
                </w:p>
              </w:tc>
              <w:tc>
                <w:tcPr>
                  <w:tcW w:w="1320" w:type="dxa"/>
                  <w:vAlign w:val="center"/>
                </w:tcPr>
                <w:p>
                  <w:pPr>
                    <w:jc w:val="center"/>
                    <w:rPr>
                      <w:b/>
                      <w:color w:val="auto"/>
                      <w:spacing w:val="-10"/>
                      <w:kern w:val="0"/>
                      <w:sz w:val="18"/>
                      <w:szCs w:val="18"/>
                      <w:lang w:bidi="ar"/>
                    </w:rPr>
                  </w:pPr>
                  <w:r>
                    <w:rPr>
                      <w:b/>
                      <w:bCs/>
                      <w:color w:val="auto"/>
                      <w:sz w:val="18"/>
                      <w:szCs w:val="18"/>
                    </w:rPr>
                    <w:t>距声源距离</w:t>
                  </w:r>
                </w:p>
              </w:tc>
              <w:tc>
                <w:tcPr>
                  <w:tcW w:w="671" w:type="pct"/>
                  <w:vMerge w:val="continue"/>
                  <w:vAlign w:val="center"/>
                </w:tcPr>
                <w:p>
                  <w:pPr>
                    <w:rPr>
                      <w:color w:val="auto"/>
                      <w:sz w:val="18"/>
                      <w:szCs w:val="18"/>
                    </w:rPr>
                  </w:pPr>
                </w:p>
              </w:tc>
              <w:tc>
                <w:tcPr>
                  <w:tcW w:w="432" w:type="pct"/>
                  <w:vMerge w:val="continue"/>
                  <w:vAlign w:val="center"/>
                </w:tcPr>
                <w:p>
                  <w:pP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8" w:space="0"/>
                </w:tblBorders>
                <w:tblCellMar>
                  <w:top w:w="0" w:type="dxa"/>
                  <w:left w:w="108" w:type="dxa"/>
                  <w:bottom w:w="0" w:type="dxa"/>
                  <w:right w:w="108" w:type="dxa"/>
                </w:tblCellMar>
              </w:tblPrEx>
              <w:tc>
                <w:tcPr>
                  <w:tcW w:w="240" w:type="pct"/>
                  <w:vAlign w:val="center"/>
                </w:tcPr>
                <w:p>
                  <w:pPr>
                    <w:adjustRightInd w:val="0"/>
                    <w:snapToGrid w:val="0"/>
                    <w:spacing w:before="24" w:beforeLines="10" w:after="24" w:afterLines="10" w:line="256" w:lineRule="auto"/>
                    <w:jc w:val="center"/>
                    <w:textAlignment w:val="baseline"/>
                    <w:rPr>
                      <w:color w:val="auto"/>
                      <w:spacing w:val="-10"/>
                      <w:kern w:val="0"/>
                      <w:sz w:val="18"/>
                      <w:szCs w:val="18"/>
                    </w:rPr>
                  </w:pPr>
                  <w:r>
                    <w:rPr>
                      <w:rFonts w:hint="eastAsia"/>
                      <w:color w:val="auto"/>
                      <w:spacing w:val="-10"/>
                      <w:kern w:val="0"/>
                      <w:sz w:val="18"/>
                      <w:szCs w:val="18"/>
                    </w:rPr>
                    <w:t>1</w:t>
                  </w:r>
                </w:p>
              </w:tc>
              <w:tc>
                <w:tcPr>
                  <w:tcW w:w="277" w:type="pct"/>
                  <w:vMerge w:val="restart"/>
                  <w:vAlign w:val="center"/>
                </w:tcPr>
                <w:p>
                  <w:pPr>
                    <w:jc w:val="center"/>
                    <w:rPr>
                      <w:color w:val="auto"/>
                      <w:spacing w:val="-10"/>
                      <w:kern w:val="0"/>
                      <w:sz w:val="18"/>
                      <w:szCs w:val="18"/>
                    </w:rPr>
                  </w:pPr>
                  <w:r>
                    <w:rPr>
                      <w:rFonts w:hint="eastAsia"/>
                      <w:color w:val="auto"/>
                      <w:spacing w:val="-10"/>
                      <w:kern w:val="0"/>
                      <w:sz w:val="18"/>
                      <w:szCs w:val="18"/>
                    </w:rPr>
                    <w:t>生产车间</w:t>
                  </w:r>
                </w:p>
              </w:tc>
              <w:tc>
                <w:tcPr>
                  <w:tcW w:w="660" w:type="pct"/>
                  <w:vAlign w:val="center"/>
                </w:tcPr>
                <w:p>
                  <w:pPr>
                    <w:jc w:val="center"/>
                    <w:rPr>
                      <w:color w:val="auto"/>
                      <w:spacing w:val="-10"/>
                      <w:kern w:val="0"/>
                      <w:sz w:val="18"/>
                      <w:szCs w:val="18"/>
                      <w:lang w:bidi="ar"/>
                    </w:rPr>
                  </w:pPr>
                  <w:r>
                    <w:rPr>
                      <w:rFonts w:hint="eastAsia"/>
                      <w:color w:val="auto"/>
                      <w:spacing w:val="-10"/>
                      <w:kern w:val="0"/>
                      <w:sz w:val="18"/>
                      <w:szCs w:val="18"/>
                      <w:lang w:bidi="ar"/>
                    </w:rPr>
                    <w:t>空压机1</w:t>
                  </w:r>
                </w:p>
              </w:tc>
              <w:tc>
                <w:tcPr>
                  <w:tcW w:w="445" w:type="pct"/>
                  <w:vAlign w:val="center"/>
                </w:tcPr>
                <w:p>
                  <w:pPr>
                    <w:jc w:val="center"/>
                    <w:rPr>
                      <w:color w:val="auto"/>
                      <w:kern w:val="0"/>
                      <w:sz w:val="18"/>
                      <w:szCs w:val="18"/>
                    </w:rPr>
                  </w:pPr>
                  <w:r>
                    <w:rPr>
                      <w:rFonts w:hint="eastAsia"/>
                      <w:color w:val="auto"/>
                      <w:kern w:val="0"/>
                      <w:sz w:val="18"/>
                      <w:szCs w:val="18"/>
                    </w:rPr>
                    <w:t>/</w:t>
                  </w:r>
                </w:p>
              </w:tc>
              <w:tc>
                <w:tcPr>
                  <w:tcW w:w="403" w:type="pct"/>
                  <w:vAlign w:val="center"/>
                </w:tcPr>
                <w:p>
                  <w:pPr>
                    <w:adjustRightInd w:val="0"/>
                    <w:snapToGrid w:val="0"/>
                    <w:jc w:val="center"/>
                    <w:rPr>
                      <w:color w:val="auto"/>
                      <w:kern w:val="0"/>
                      <w:sz w:val="18"/>
                      <w:szCs w:val="18"/>
                    </w:rPr>
                  </w:pPr>
                  <w:r>
                    <w:rPr>
                      <w:rFonts w:hint="eastAsia"/>
                      <w:color w:val="auto"/>
                      <w:sz w:val="18"/>
                      <w:szCs w:val="18"/>
                    </w:rPr>
                    <w:t>20</w:t>
                  </w:r>
                </w:p>
              </w:tc>
              <w:tc>
                <w:tcPr>
                  <w:tcW w:w="402" w:type="pct"/>
                  <w:vAlign w:val="center"/>
                </w:tcPr>
                <w:p>
                  <w:pPr>
                    <w:adjustRightInd w:val="0"/>
                    <w:snapToGrid w:val="0"/>
                    <w:jc w:val="center"/>
                    <w:rPr>
                      <w:color w:val="auto"/>
                      <w:kern w:val="0"/>
                      <w:sz w:val="18"/>
                      <w:szCs w:val="18"/>
                    </w:rPr>
                  </w:pPr>
                  <w:r>
                    <w:rPr>
                      <w:rFonts w:hint="eastAsia"/>
                      <w:color w:val="auto"/>
                      <w:sz w:val="18"/>
                      <w:szCs w:val="18"/>
                    </w:rPr>
                    <w:t>15</w:t>
                  </w:r>
                </w:p>
              </w:tc>
              <w:tc>
                <w:tcPr>
                  <w:tcW w:w="367" w:type="pct"/>
                  <w:vAlign w:val="center"/>
                </w:tcPr>
                <w:p>
                  <w:pPr>
                    <w:jc w:val="center"/>
                    <w:rPr>
                      <w:color w:val="auto"/>
                      <w:kern w:val="0"/>
                      <w:sz w:val="18"/>
                      <w:szCs w:val="18"/>
                    </w:rPr>
                  </w:pPr>
                  <w:r>
                    <w:rPr>
                      <w:rFonts w:hint="eastAsia"/>
                      <w:color w:val="auto"/>
                      <w:sz w:val="18"/>
                      <w:szCs w:val="18"/>
                    </w:rPr>
                    <w:t>1</w:t>
                  </w:r>
                </w:p>
              </w:tc>
              <w:tc>
                <w:tcPr>
                  <w:tcW w:w="610" w:type="pct"/>
                  <w:vAlign w:val="center"/>
                </w:tcPr>
                <w:p>
                  <w:pPr>
                    <w:widowControl/>
                    <w:jc w:val="center"/>
                    <w:textAlignment w:val="bottom"/>
                    <w:rPr>
                      <w:b/>
                      <w:bCs/>
                      <w:color w:val="auto"/>
                      <w:sz w:val="18"/>
                      <w:szCs w:val="18"/>
                    </w:rPr>
                  </w:pPr>
                  <w:r>
                    <w:rPr>
                      <w:rFonts w:hint="eastAsia"/>
                      <w:b/>
                      <w:bCs/>
                      <w:color w:val="auto"/>
                      <w:sz w:val="18"/>
                      <w:szCs w:val="18"/>
                    </w:rPr>
                    <w:t>95</w:t>
                  </w:r>
                </w:p>
              </w:tc>
              <w:tc>
                <w:tcPr>
                  <w:tcW w:w="1320" w:type="dxa"/>
                  <w:vAlign w:val="center"/>
                </w:tcPr>
                <w:p>
                  <w:pPr>
                    <w:jc w:val="center"/>
                    <w:rPr>
                      <w:b/>
                      <w:bCs/>
                      <w:color w:val="auto"/>
                      <w:sz w:val="18"/>
                      <w:szCs w:val="18"/>
                    </w:rPr>
                  </w:pPr>
                  <w:r>
                    <w:rPr>
                      <w:color w:val="auto"/>
                      <w:sz w:val="18"/>
                      <w:szCs w:val="18"/>
                    </w:rPr>
                    <w:t>1m</w:t>
                  </w:r>
                </w:p>
              </w:tc>
              <w:tc>
                <w:tcPr>
                  <w:tcW w:w="671" w:type="pct"/>
                  <w:vMerge w:val="restart"/>
                  <w:vAlign w:val="center"/>
                </w:tcPr>
                <w:p>
                  <w:pPr>
                    <w:jc w:val="center"/>
                    <w:rPr>
                      <w:b/>
                      <w:bCs/>
                      <w:color w:val="auto"/>
                      <w:spacing w:val="-10"/>
                      <w:kern w:val="0"/>
                      <w:sz w:val="18"/>
                      <w:szCs w:val="18"/>
                    </w:rPr>
                  </w:pPr>
                  <w:r>
                    <w:rPr>
                      <w:color w:val="auto"/>
                      <w:sz w:val="18"/>
                      <w:szCs w:val="18"/>
                    </w:rPr>
                    <w:t>电机隔声，减振底座、消音器</w:t>
                  </w:r>
                </w:p>
              </w:tc>
              <w:tc>
                <w:tcPr>
                  <w:tcW w:w="432" w:type="pct"/>
                  <w:vMerge w:val="restart"/>
                  <w:vAlign w:val="center"/>
                </w:tcPr>
                <w:p>
                  <w:pPr>
                    <w:jc w:val="center"/>
                    <w:rPr>
                      <w:b/>
                      <w:bCs/>
                      <w:color w:val="auto"/>
                      <w:sz w:val="18"/>
                      <w:szCs w:val="18"/>
                    </w:rPr>
                  </w:pPr>
                  <w:r>
                    <w:rPr>
                      <w:color w:val="auto"/>
                      <w:sz w:val="18"/>
                      <w:szCs w:val="18"/>
                    </w:rPr>
                    <w:t>0:00~24:00</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8" w:space="0"/>
                </w:tblBorders>
                <w:tblCellMar>
                  <w:top w:w="0" w:type="dxa"/>
                  <w:left w:w="108" w:type="dxa"/>
                  <w:bottom w:w="0" w:type="dxa"/>
                  <w:right w:w="108" w:type="dxa"/>
                </w:tblCellMar>
              </w:tblPrEx>
              <w:tc>
                <w:tcPr>
                  <w:tcW w:w="240" w:type="pct"/>
                  <w:vAlign w:val="center"/>
                </w:tcPr>
                <w:p>
                  <w:pPr>
                    <w:adjustRightInd w:val="0"/>
                    <w:snapToGrid w:val="0"/>
                    <w:spacing w:before="24" w:beforeLines="10" w:after="24" w:afterLines="10" w:line="256" w:lineRule="auto"/>
                    <w:jc w:val="center"/>
                    <w:textAlignment w:val="baseline"/>
                    <w:rPr>
                      <w:color w:val="auto"/>
                      <w:spacing w:val="-10"/>
                      <w:kern w:val="0"/>
                      <w:sz w:val="18"/>
                      <w:szCs w:val="18"/>
                    </w:rPr>
                  </w:pPr>
                  <w:r>
                    <w:rPr>
                      <w:rFonts w:hint="eastAsia"/>
                      <w:color w:val="auto"/>
                      <w:spacing w:val="-10"/>
                      <w:kern w:val="0"/>
                      <w:sz w:val="18"/>
                      <w:szCs w:val="18"/>
                    </w:rPr>
                    <w:t>2</w:t>
                  </w:r>
                </w:p>
              </w:tc>
              <w:tc>
                <w:tcPr>
                  <w:tcW w:w="277" w:type="pct"/>
                  <w:vMerge w:val="continue"/>
                  <w:vAlign w:val="center"/>
                </w:tcPr>
                <w:p>
                  <w:pPr>
                    <w:jc w:val="center"/>
                    <w:rPr>
                      <w:color w:val="auto"/>
                      <w:spacing w:val="-10"/>
                      <w:kern w:val="0"/>
                      <w:sz w:val="18"/>
                      <w:szCs w:val="18"/>
                    </w:rPr>
                  </w:pPr>
                </w:p>
              </w:tc>
              <w:tc>
                <w:tcPr>
                  <w:tcW w:w="660" w:type="pct"/>
                  <w:vAlign w:val="center"/>
                </w:tcPr>
                <w:p>
                  <w:pPr>
                    <w:jc w:val="center"/>
                    <w:rPr>
                      <w:color w:val="auto"/>
                      <w:spacing w:val="-10"/>
                      <w:kern w:val="0"/>
                      <w:sz w:val="18"/>
                      <w:szCs w:val="18"/>
                      <w:lang w:bidi="ar"/>
                    </w:rPr>
                  </w:pPr>
                  <w:r>
                    <w:rPr>
                      <w:rFonts w:hint="eastAsia"/>
                      <w:color w:val="auto"/>
                      <w:spacing w:val="-10"/>
                      <w:kern w:val="0"/>
                      <w:sz w:val="18"/>
                      <w:szCs w:val="18"/>
                      <w:lang w:bidi="ar"/>
                    </w:rPr>
                    <w:t>空压机2</w:t>
                  </w:r>
                </w:p>
              </w:tc>
              <w:tc>
                <w:tcPr>
                  <w:tcW w:w="445" w:type="pct"/>
                  <w:vAlign w:val="center"/>
                </w:tcPr>
                <w:p>
                  <w:pPr>
                    <w:jc w:val="center"/>
                    <w:rPr>
                      <w:color w:val="auto"/>
                      <w:kern w:val="0"/>
                      <w:sz w:val="18"/>
                      <w:szCs w:val="18"/>
                    </w:rPr>
                  </w:pPr>
                  <w:r>
                    <w:rPr>
                      <w:rFonts w:hint="eastAsia"/>
                      <w:color w:val="auto"/>
                      <w:kern w:val="0"/>
                      <w:sz w:val="18"/>
                      <w:szCs w:val="18"/>
                    </w:rPr>
                    <w:t>/</w:t>
                  </w:r>
                </w:p>
              </w:tc>
              <w:tc>
                <w:tcPr>
                  <w:tcW w:w="403" w:type="pct"/>
                  <w:vAlign w:val="center"/>
                </w:tcPr>
                <w:p>
                  <w:pPr>
                    <w:adjustRightInd w:val="0"/>
                    <w:snapToGrid w:val="0"/>
                    <w:jc w:val="center"/>
                    <w:rPr>
                      <w:color w:val="auto"/>
                      <w:kern w:val="0"/>
                      <w:sz w:val="18"/>
                      <w:szCs w:val="18"/>
                    </w:rPr>
                  </w:pPr>
                  <w:r>
                    <w:rPr>
                      <w:rFonts w:hint="eastAsia"/>
                      <w:color w:val="auto"/>
                      <w:sz w:val="18"/>
                      <w:szCs w:val="18"/>
                    </w:rPr>
                    <w:t>22</w:t>
                  </w:r>
                </w:p>
              </w:tc>
              <w:tc>
                <w:tcPr>
                  <w:tcW w:w="402" w:type="pct"/>
                  <w:vAlign w:val="center"/>
                </w:tcPr>
                <w:p>
                  <w:pPr>
                    <w:adjustRightInd w:val="0"/>
                    <w:snapToGrid w:val="0"/>
                    <w:jc w:val="center"/>
                    <w:rPr>
                      <w:color w:val="auto"/>
                      <w:kern w:val="0"/>
                      <w:sz w:val="18"/>
                      <w:szCs w:val="18"/>
                    </w:rPr>
                  </w:pPr>
                  <w:r>
                    <w:rPr>
                      <w:rFonts w:hint="eastAsia"/>
                      <w:color w:val="auto"/>
                      <w:sz w:val="18"/>
                      <w:szCs w:val="18"/>
                    </w:rPr>
                    <w:t>13</w:t>
                  </w:r>
                </w:p>
              </w:tc>
              <w:tc>
                <w:tcPr>
                  <w:tcW w:w="367" w:type="pct"/>
                  <w:vAlign w:val="center"/>
                </w:tcPr>
                <w:p>
                  <w:pPr>
                    <w:jc w:val="center"/>
                    <w:rPr>
                      <w:color w:val="auto"/>
                      <w:kern w:val="0"/>
                      <w:sz w:val="18"/>
                      <w:szCs w:val="18"/>
                    </w:rPr>
                  </w:pPr>
                  <w:r>
                    <w:rPr>
                      <w:rFonts w:hint="eastAsia"/>
                      <w:color w:val="auto"/>
                      <w:sz w:val="18"/>
                      <w:szCs w:val="18"/>
                    </w:rPr>
                    <w:t>1</w:t>
                  </w:r>
                </w:p>
              </w:tc>
              <w:tc>
                <w:tcPr>
                  <w:tcW w:w="610" w:type="pct"/>
                  <w:vAlign w:val="center"/>
                </w:tcPr>
                <w:p>
                  <w:pPr>
                    <w:widowControl/>
                    <w:jc w:val="center"/>
                    <w:textAlignment w:val="bottom"/>
                    <w:rPr>
                      <w:b/>
                      <w:bCs/>
                      <w:color w:val="auto"/>
                      <w:sz w:val="18"/>
                      <w:szCs w:val="18"/>
                    </w:rPr>
                  </w:pPr>
                  <w:r>
                    <w:rPr>
                      <w:rFonts w:hint="eastAsia"/>
                      <w:b/>
                      <w:bCs/>
                      <w:color w:val="auto"/>
                      <w:sz w:val="18"/>
                      <w:szCs w:val="18"/>
                    </w:rPr>
                    <w:t>95</w:t>
                  </w:r>
                </w:p>
              </w:tc>
              <w:tc>
                <w:tcPr>
                  <w:tcW w:w="488" w:type="pct"/>
                  <w:vAlign w:val="center"/>
                </w:tcPr>
                <w:p>
                  <w:pPr>
                    <w:widowControl/>
                    <w:jc w:val="center"/>
                    <w:textAlignment w:val="bottom"/>
                    <w:rPr>
                      <w:b/>
                      <w:bCs/>
                      <w:color w:val="auto"/>
                      <w:sz w:val="18"/>
                      <w:szCs w:val="18"/>
                    </w:rPr>
                  </w:pPr>
                  <w:r>
                    <w:rPr>
                      <w:color w:val="auto"/>
                      <w:sz w:val="18"/>
                      <w:szCs w:val="18"/>
                    </w:rPr>
                    <w:t>1m</w:t>
                  </w:r>
                </w:p>
              </w:tc>
              <w:tc>
                <w:tcPr>
                  <w:tcW w:w="671" w:type="pct"/>
                  <w:vMerge w:val="continue"/>
                  <w:vAlign w:val="center"/>
                </w:tcPr>
                <w:p>
                  <w:pPr>
                    <w:adjustRightInd w:val="0"/>
                    <w:snapToGrid w:val="0"/>
                    <w:spacing w:before="24" w:beforeLines="10" w:after="24" w:afterLines="10" w:line="256" w:lineRule="auto"/>
                    <w:jc w:val="center"/>
                    <w:textAlignment w:val="baseline"/>
                    <w:rPr>
                      <w:b/>
                      <w:bCs/>
                      <w:color w:val="auto"/>
                      <w:spacing w:val="-10"/>
                      <w:kern w:val="0"/>
                      <w:sz w:val="18"/>
                      <w:szCs w:val="18"/>
                    </w:rPr>
                  </w:pPr>
                </w:p>
              </w:tc>
              <w:tc>
                <w:tcPr>
                  <w:tcW w:w="432" w:type="pct"/>
                  <w:vMerge w:val="continue"/>
                  <w:vAlign w:val="center"/>
                </w:tcPr>
                <w:p>
                  <w:pPr>
                    <w:widowControl/>
                    <w:jc w:val="center"/>
                    <w:textAlignment w:val="bottom"/>
                    <w:rPr>
                      <w:b/>
                      <w:bCs/>
                      <w:color w:val="auto"/>
                      <w:sz w:val="18"/>
                      <w:szCs w:val="18"/>
                    </w:rPr>
                  </w:pPr>
                </w:p>
              </w:tc>
            </w:tr>
          </w:tbl>
          <w:p>
            <w:pPr>
              <w:ind w:firstLine="482"/>
              <w:jc w:val="center"/>
              <w:rPr>
                <w:bCs/>
                <w:color w:val="auto"/>
                <w:szCs w:val="21"/>
              </w:rPr>
            </w:pPr>
          </w:p>
          <w:p>
            <w:pPr>
              <w:ind w:firstLine="482"/>
              <w:jc w:val="center"/>
              <w:rPr>
                <w:bCs/>
                <w:color w:val="auto"/>
                <w:szCs w:val="21"/>
              </w:rPr>
            </w:pPr>
          </w:p>
          <w:p>
            <w:pPr>
              <w:pStyle w:val="2"/>
              <w:spacing w:before="0" w:after="0" w:line="360" w:lineRule="auto"/>
              <w:rPr>
                <w:color w:val="auto"/>
                <w:sz w:val="21"/>
                <w:szCs w:val="21"/>
              </w:rPr>
            </w:pPr>
          </w:p>
          <w:p>
            <w:pPr>
              <w:pStyle w:val="23"/>
              <w:adjustRightInd w:val="0"/>
              <w:spacing w:line="360" w:lineRule="auto"/>
              <w:ind w:left="0" w:leftChars="0" w:right="0" w:firstLine="0" w:firstLineChars="0"/>
              <w:rPr>
                <w:rFonts w:ascii="Times New Roman" w:hAnsi="Times New Roman"/>
                <w:color w:val="auto"/>
                <w:sz w:val="18"/>
                <w:szCs w:val="18"/>
              </w:rPr>
            </w:pPr>
          </w:p>
        </w:tc>
      </w:tr>
    </w:tbl>
    <w:p>
      <w:pPr>
        <w:spacing w:line="360" w:lineRule="auto"/>
        <w:jc w:val="center"/>
        <w:outlineLvl w:val="0"/>
        <w:rPr>
          <w:rFonts w:eastAsia="黑体"/>
          <w:snapToGrid w:val="0"/>
          <w:color w:val="auto"/>
          <w:sz w:val="30"/>
          <w:szCs w:val="30"/>
        </w:rPr>
        <w:sectPr>
          <w:pgSz w:w="16838" w:h="11906" w:orient="landscape"/>
          <w:pgMar w:top="1080" w:right="1440" w:bottom="1080" w:left="1440" w:header="851" w:footer="851" w:gutter="0"/>
          <w:cols w:space="720" w:num="1"/>
          <w:docGrid w:linePitch="312" w:charSpace="0"/>
        </w:sectPr>
      </w:pPr>
    </w:p>
    <w:tbl>
      <w:tblPr>
        <w:tblStyle w:val="3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426"/>
        <w:gridCol w:w="931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943" w:hRule="atLeast"/>
        </w:trPr>
        <w:tc>
          <w:tcPr>
            <w:tcW w:w="421" w:type="dxa"/>
            <w:vAlign w:val="center"/>
          </w:tcPr>
          <w:p>
            <w:pPr>
              <w:adjustRightInd w:val="0"/>
              <w:snapToGrid w:val="0"/>
              <w:jc w:val="center"/>
              <w:rPr>
                <w:bCs/>
                <w:color w:val="auto"/>
                <w:szCs w:val="21"/>
              </w:rPr>
            </w:pPr>
            <w:r>
              <w:rPr>
                <w:bCs/>
                <w:color w:val="auto"/>
                <w:szCs w:val="21"/>
              </w:rPr>
              <w:t>运营期环境影响和保护施</w:t>
            </w:r>
          </w:p>
        </w:tc>
        <w:tc>
          <w:tcPr>
            <w:tcW w:w="9315" w:type="dxa"/>
          </w:tcPr>
          <w:p>
            <w:pPr>
              <w:adjustRightInd w:val="0"/>
              <w:snapToGrid w:val="0"/>
              <w:spacing w:line="324" w:lineRule="auto"/>
              <w:ind w:firstLine="422" w:firstLineChars="200"/>
              <w:rPr>
                <w:b/>
                <w:bCs/>
                <w:color w:val="auto"/>
                <w:kern w:val="0"/>
                <w:szCs w:val="21"/>
              </w:rPr>
            </w:pPr>
            <w:r>
              <w:rPr>
                <w:b/>
                <w:bCs/>
                <w:color w:val="auto"/>
                <w:kern w:val="0"/>
                <w:szCs w:val="21"/>
              </w:rPr>
              <w:t>（</w:t>
            </w:r>
            <w:r>
              <w:rPr>
                <w:rFonts w:hint="eastAsia"/>
                <w:b/>
                <w:bCs/>
                <w:color w:val="auto"/>
                <w:kern w:val="0"/>
                <w:szCs w:val="21"/>
              </w:rPr>
              <w:t>3</w:t>
            </w:r>
            <w:r>
              <w:rPr>
                <w:b/>
                <w:bCs/>
                <w:color w:val="auto"/>
                <w:kern w:val="0"/>
                <w:szCs w:val="21"/>
              </w:rPr>
              <w:t>）厂界达标情况分析</w:t>
            </w:r>
          </w:p>
          <w:p>
            <w:pPr>
              <w:adjustRightInd w:val="0"/>
              <w:snapToGrid w:val="0"/>
              <w:spacing w:line="324" w:lineRule="auto"/>
              <w:ind w:firstLine="420" w:firstLineChars="200"/>
              <w:rPr>
                <w:snapToGrid w:val="0"/>
                <w:color w:val="auto"/>
                <w:kern w:val="0"/>
                <w:szCs w:val="21"/>
              </w:rPr>
            </w:pPr>
            <w:r>
              <w:rPr>
                <w:snapToGrid w:val="0"/>
                <w:color w:val="auto"/>
                <w:kern w:val="0"/>
                <w:szCs w:val="21"/>
              </w:rPr>
              <w:t>建设项目建成后，厂界噪声贡献值预测结果与达标分析见表4-</w:t>
            </w:r>
            <w:r>
              <w:rPr>
                <w:rFonts w:hint="eastAsia"/>
                <w:snapToGrid w:val="0"/>
                <w:color w:val="auto"/>
                <w:kern w:val="0"/>
                <w:szCs w:val="21"/>
              </w:rPr>
              <w:t>20</w:t>
            </w:r>
            <w:r>
              <w:rPr>
                <w:snapToGrid w:val="0"/>
                <w:color w:val="auto"/>
                <w:kern w:val="0"/>
                <w:szCs w:val="21"/>
              </w:rPr>
              <w:t>。</w:t>
            </w:r>
          </w:p>
          <w:p>
            <w:pPr>
              <w:pStyle w:val="106"/>
              <w:adjustRightInd w:val="0"/>
              <w:snapToGrid w:val="0"/>
              <w:spacing w:before="31" w:after="31"/>
              <w:ind w:firstLine="0" w:firstLineChars="0"/>
              <w:jc w:val="center"/>
              <w:rPr>
                <w:rFonts w:eastAsia="宋体" w:cs="Times New Roman"/>
                <w:b/>
                <w:bCs/>
                <w:snapToGrid w:val="0"/>
                <w:color w:val="auto"/>
                <w:kern w:val="0"/>
                <w:szCs w:val="21"/>
              </w:rPr>
            </w:pPr>
            <w:r>
              <w:rPr>
                <w:rFonts w:eastAsia="宋体" w:cs="Times New Roman"/>
                <w:b/>
                <w:bCs/>
                <w:snapToGrid w:val="0"/>
                <w:color w:val="auto"/>
                <w:kern w:val="0"/>
                <w:szCs w:val="21"/>
              </w:rPr>
              <w:t>表4-</w:t>
            </w:r>
            <w:r>
              <w:rPr>
                <w:rFonts w:hint="eastAsia" w:eastAsia="宋体" w:cs="Times New Roman"/>
                <w:b/>
                <w:bCs/>
                <w:snapToGrid w:val="0"/>
                <w:color w:val="auto"/>
                <w:kern w:val="0"/>
                <w:szCs w:val="21"/>
              </w:rPr>
              <w:t>20</w:t>
            </w:r>
            <w:r>
              <w:rPr>
                <w:rFonts w:eastAsia="宋体" w:cs="Times New Roman"/>
                <w:b/>
                <w:bCs/>
                <w:snapToGrid w:val="0"/>
                <w:color w:val="auto"/>
                <w:kern w:val="0"/>
                <w:szCs w:val="21"/>
              </w:rPr>
              <w:t xml:space="preserve"> 厂界噪声贡献值预测结果达标分析</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890"/>
              <w:gridCol w:w="674"/>
              <w:gridCol w:w="903"/>
              <w:gridCol w:w="748"/>
              <w:gridCol w:w="838"/>
              <w:gridCol w:w="2653"/>
              <w:gridCol w:w="1371"/>
              <w:gridCol w:w="102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exact"/>
                <w:jc w:val="center"/>
              </w:trPr>
              <w:tc>
                <w:tcPr>
                  <w:tcW w:w="489" w:type="pct"/>
                  <w:vMerge w:val="restart"/>
                  <w:tcBorders>
                    <w:tl2br w:val="nil"/>
                    <w:tr2bl w:val="nil"/>
                  </w:tcBorders>
                  <w:shd w:val="clear" w:color="auto" w:fill="auto"/>
                  <w:vAlign w:val="center"/>
                </w:tcPr>
                <w:p>
                  <w:pPr>
                    <w:adjustRightInd w:val="0"/>
                    <w:snapToGrid w:val="0"/>
                    <w:jc w:val="center"/>
                    <w:rPr>
                      <w:b/>
                      <w:bCs/>
                      <w:color w:val="auto"/>
                      <w:sz w:val="18"/>
                      <w:szCs w:val="18"/>
                    </w:rPr>
                  </w:pPr>
                  <w:r>
                    <w:rPr>
                      <w:b/>
                      <w:bCs/>
                      <w:color w:val="auto"/>
                      <w:sz w:val="18"/>
                      <w:szCs w:val="18"/>
                    </w:rPr>
                    <w:t>预测方位</w:t>
                  </w:r>
                </w:p>
              </w:tc>
              <w:tc>
                <w:tcPr>
                  <w:tcW w:w="1277" w:type="pct"/>
                  <w:gridSpan w:val="3"/>
                  <w:tcBorders>
                    <w:tl2br w:val="nil"/>
                    <w:tr2bl w:val="nil"/>
                  </w:tcBorders>
                  <w:shd w:val="clear" w:color="auto" w:fill="auto"/>
                  <w:vAlign w:val="center"/>
                </w:tcPr>
                <w:p>
                  <w:pPr>
                    <w:adjustRightInd w:val="0"/>
                    <w:snapToGrid w:val="0"/>
                    <w:jc w:val="center"/>
                    <w:rPr>
                      <w:b/>
                      <w:bCs/>
                      <w:color w:val="auto"/>
                      <w:sz w:val="18"/>
                      <w:szCs w:val="18"/>
                    </w:rPr>
                  </w:pPr>
                  <w:r>
                    <w:rPr>
                      <w:rFonts w:hint="eastAsia"/>
                      <w:b/>
                      <w:bCs/>
                      <w:color w:val="auto"/>
                      <w:sz w:val="18"/>
                      <w:szCs w:val="18"/>
                    </w:rPr>
                    <w:t>厂界点坐标</w:t>
                  </w:r>
                  <w:r>
                    <w:rPr>
                      <w:b/>
                      <w:bCs/>
                      <w:color w:val="auto"/>
                      <w:sz w:val="18"/>
                      <w:szCs w:val="18"/>
                    </w:rPr>
                    <w:t>m</w:t>
                  </w:r>
                </w:p>
              </w:tc>
              <w:tc>
                <w:tcPr>
                  <w:tcW w:w="460" w:type="pct"/>
                  <w:vMerge w:val="restart"/>
                  <w:tcBorders>
                    <w:tl2br w:val="nil"/>
                    <w:tr2bl w:val="nil"/>
                  </w:tcBorders>
                  <w:shd w:val="clear" w:color="auto" w:fill="auto"/>
                  <w:vAlign w:val="center"/>
                </w:tcPr>
                <w:p>
                  <w:pPr>
                    <w:adjustRightInd w:val="0"/>
                    <w:snapToGrid w:val="0"/>
                    <w:jc w:val="center"/>
                    <w:rPr>
                      <w:b/>
                      <w:bCs/>
                      <w:color w:val="auto"/>
                      <w:sz w:val="18"/>
                      <w:szCs w:val="18"/>
                    </w:rPr>
                  </w:pPr>
                  <w:r>
                    <w:rPr>
                      <w:b/>
                      <w:bCs/>
                      <w:color w:val="auto"/>
                      <w:sz w:val="18"/>
                      <w:szCs w:val="18"/>
                    </w:rPr>
                    <w:t>时段</w:t>
                  </w:r>
                </w:p>
              </w:tc>
              <w:tc>
                <w:tcPr>
                  <w:tcW w:w="1457" w:type="pct"/>
                  <w:vMerge w:val="restart"/>
                  <w:tcBorders>
                    <w:tl2br w:val="nil"/>
                    <w:tr2bl w:val="nil"/>
                  </w:tcBorders>
                  <w:vAlign w:val="center"/>
                </w:tcPr>
                <w:p>
                  <w:pPr>
                    <w:adjustRightInd w:val="0"/>
                    <w:snapToGrid w:val="0"/>
                    <w:jc w:val="center"/>
                    <w:rPr>
                      <w:b/>
                      <w:bCs/>
                      <w:color w:val="auto"/>
                      <w:sz w:val="18"/>
                      <w:szCs w:val="18"/>
                    </w:rPr>
                  </w:pPr>
                  <w:r>
                    <w:rPr>
                      <w:rFonts w:hint="eastAsia"/>
                      <w:b/>
                      <w:bCs/>
                      <w:color w:val="auto"/>
                      <w:sz w:val="18"/>
                      <w:szCs w:val="18"/>
                    </w:rPr>
                    <w:t>预测</w:t>
                  </w:r>
                  <w:r>
                    <w:rPr>
                      <w:b/>
                      <w:bCs/>
                      <w:color w:val="auto"/>
                      <w:sz w:val="18"/>
                      <w:szCs w:val="18"/>
                    </w:rPr>
                    <w:t>值（dB(A)）</w:t>
                  </w:r>
                </w:p>
              </w:tc>
              <w:tc>
                <w:tcPr>
                  <w:tcW w:w="753" w:type="pct"/>
                  <w:vMerge w:val="restart"/>
                  <w:tcBorders>
                    <w:tl2br w:val="nil"/>
                    <w:tr2bl w:val="nil"/>
                  </w:tcBorders>
                  <w:shd w:val="clear" w:color="auto" w:fill="auto"/>
                  <w:vAlign w:val="center"/>
                </w:tcPr>
                <w:p>
                  <w:pPr>
                    <w:adjustRightInd w:val="0"/>
                    <w:snapToGrid w:val="0"/>
                    <w:jc w:val="center"/>
                    <w:rPr>
                      <w:b/>
                      <w:bCs/>
                      <w:color w:val="auto"/>
                      <w:sz w:val="18"/>
                      <w:szCs w:val="18"/>
                    </w:rPr>
                  </w:pPr>
                  <w:r>
                    <w:rPr>
                      <w:b/>
                      <w:bCs/>
                      <w:color w:val="auto"/>
                      <w:sz w:val="18"/>
                      <w:szCs w:val="18"/>
                    </w:rPr>
                    <w:t>标准限值（dB(A)）</w:t>
                  </w:r>
                </w:p>
              </w:tc>
              <w:tc>
                <w:tcPr>
                  <w:tcW w:w="561" w:type="pct"/>
                  <w:vMerge w:val="restart"/>
                  <w:tcBorders>
                    <w:tl2br w:val="nil"/>
                    <w:tr2bl w:val="nil"/>
                  </w:tcBorders>
                  <w:shd w:val="clear" w:color="auto" w:fill="auto"/>
                  <w:vAlign w:val="center"/>
                </w:tcPr>
                <w:p>
                  <w:pPr>
                    <w:adjustRightInd w:val="0"/>
                    <w:snapToGrid w:val="0"/>
                    <w:jc w:val="center"/>
                    <w:rPr>
                      <w:b/>
                      <w:bCs/>
                      <w:color w:val="auto"/>
                      <w:sz w:val="18"/>
                      <w:szCs w:val="18"/>
                    </w:rPr>
                  </w:pPr>
                  <w:r>
                    <w:rPr>
                      <w:b/>
                      <w:bCs/>
                      <w:color w:val="auto"/>
                      <w:sz w:val="18"/>
                      <w:szCs w:val="18"/>
                    </w:rPr>
                    <w:t>达标情况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489" w:type="pct"/>
                  <w:vMerge w:val="continue"/>
                  <w:tcBorders>
                    <w:tl2br w:val="nil"/>
                    <w:tr2bl w:val="nil"/>
                  </w:tcBorders>
                  <w:shd w:val="clear" w:color="auto" w:fill="auto"/>
                  <w:vAlign w:val="center"/>
                </w:tcPr>
                <w:p>
                  <w:pPr>
                    <w:adjustRightInd w:val="0"/>
                    <w:snapToGrid w:val="0"/>
                    <w:jc w:val="center"/>
                    <w:rPr>
                      <w:color w:val="auto"/>
                      <w:sz w:val="18"/>
                      <w:szCs w:val="18"/>
                    </w:rPr>
                  </w:pPr>
                </w:p>
              </w:tc>
              <w:tc>
                <w:tcPr>
                  <w:tcW w:w="370" w:type="pct"/>
                  <w:tcBorders>
                    <w:tl2br w:val="nil"/>
                    <w:tr2bl w:val="nil"/>
                  </w:tcBorders>
                  <w:shd w:val="clear" w:color="auto" w:fill="auto"/>
                  <w:vAlign w:val="center"/>
                </w:tcPr>
                <w:p>
                  <w:pPr>
                    <w:adjustRightInd w:val="0"/>
                    <w:snapToGrid w:val="0"/>
                    <w:jc w:val="center"/>
                    <w:rPr>
                      <w:b/>
                      <w:bCs/>
                      <w:color w:val="auto"/>
                      <w:sz w:val="18"/>
                      <w:szCs w:val="18"/>
                    </w:rPr>
                  </w:pPr>
                  <w:r>
                    <w:rPr>
                      <w:b/>
                      <w:bCs/>
                      <w:color w:val="auto"/>
                      <w:sz w:val="18"/>
                      <w:szCs w:val="18"/>
                    </w:rPr>
                    <w:t>X</w:t>
                  </w:r>
                </w:p>
              </w:tc>
              <w:tc>
                <w:tcPr>
                  <w:tcW w:w="496" w:type="pct"/>
                  <w:tcBorders>
                    <w:tl2br w:val="nil"/>
                    <w:tr2bl w:val="nil"/>
                  </w:tcBorders>
                  <w:shd w:val="clear" w:color="auto" w:fill="auto"/>
                  <w:vAlign w:val="center"/>
                </w:tcPr>
                <w:p>
                  <w:pPr>
                    <w:adjustRightInd w:val="0"/>
                    <w:snapToGrid w:val="0"/>
                    <w:jc w:val="center"/>
                    <w:rPr>
                      <w:b/>
                      <w:bCs/>
                      <w:color w:val="auto"/>
                      <w:sz w:val="18"/>
                      <w:szCs w:val="18"/>
                    </w:rPr>
                  </w:pPr>
                  <w:r>
                    <w:rPr>
                      <w:b/>
                      <w:bCs/>
                      <w:color w:val="auto"/>
                      <w:sz w:val="18"/>
                      <w:szCs w:val="18"/>
                    </w:rPr>
                    <w:t>Y</w:t>
                  </w:r>
                </w:p>
              </w:tc>
              <w:tc>
                <w:tcPr>
                  <w:tcW w:w="411" w:type="pct"/>
                  <w:tcBorders>
                    <w:tl2br w:val="nil"/>
                    <w:tr2bl w:val="nil"/>
                  </w:tcBorders>
                  <w:shd w:val="clear" w:color="auto" w:fill="auto"/>
                  <w:vAlign w:val="center"/>
                </w:tcPr>
                <w:p>
                  <w:pPr>
                    <w:adjustRightInd w:val="0"/>
                    <w:snapToGrid w:val="0"/>
                    <w:jc w:val="center"/>
                    <w:rPr>
                      <w:b/>
                      <w:bCs/>
                      <w:color w:val="auto"/>
                      <w:sz w:val="18"/>
                      <w:szCs w:val="18"/>
                    </w:rPr>
                  </w:pPr>
                  <w:r>
                    <w:rPr>
                      <w:b/>
                      <w:bCs/>
                      <w:color w:val="auto"/>
                      <w:sz w:val="18"/>
                      <w:szCs w:val="18"/>
                    </w:rPr>
                    <w:t>Z</w:t>
                  </w:r>
                </w:p>
              </w:tc>
              <w:tc>
                <w:tcPr>
                  <w:tcW w:w="460" w:type="pct"/>
                  <w:vMerge w:val="continue"/>
                  <w:tcBorders>
                    <w:tl2br w:val="nil"/>
                    <w:tr2bl w:val="nil"/>
                  </w:tcBorders>
                  <w:shd w:val="clear" w:color="auto" w:fill="auto"/>
                  <w:vAlign w:val="center"/>
                </w:tcPr>
                <w:p>
                  <w:pPr>
                    <w:adjustRightInd w:val="0"/>
                    <w:snapToGrid w:val="0"/>
                    <w:jc w:val="center"/>
                    <w:rPr>
                      <w:color w:val="auto"/>
                      <w:sz w:val="18"/>
                      <w:szCs w:val="18"/>
                    </w:rPr>
                  </w:pPr>
                </w:p>
              </w:tc>
              <w:tc>
                <w:tcPr>
                  <w:tcW w:w="1457" w:type="pct"/>
                  <w:vMerge w:val="continue"/>
                  <w:tcBorders>
                    <w:tl2br w:val="nil"/>
                    <w:tr2bl w:val="nil"/>
                  </w:tcBorders>
                  <w:vAlign w:val="center"/>
                </w:tcPr>
                <w:p>
                  <w:pPr>
                    <w:adjustRightInd w:val="0"/>
                    <w:snapToGrid w:val="0"/>
                    <w:jc w:val="center"/>
                    <w:rPr>
                      <w:color w:val="auto"/>
                      <w:sz w:val="18"/>
                      <w:szCs w:val="18"/>
                    </w:rPr>
                  </w:pPr>
                </w:p>
              </w:tc>
              <w:tc>
                <w:tcPr>
                  <w:tcW w:w="753" w:type="pct"/>
                  <w:vMerge w:val="continue"/>
                  <w:tcBorders>
                    <w:tl2br w:val="nil"/>
                    <w:tr2bl w:val="nil"/>
                  </w:tcBorders>
                  <w:shd w:val="clear" w:color="auto" w:fill="auto"/>
                  <w:vAlign w:val="center"/>
                </w:tcPr>
                <w:p>
                  <w:pPr>
                    <w:adjustRightInd w:val="0"/>
                    <w:snapToGrid w:val="0"/>
                    <w:jc w:val="center"/>
                    <w:rPr>
                      <w:color w:val="auto"/>
                      <w:sz w:val="18"/>
                      <w:szCs w:val="18"/>
                    </w:rPr>
                  </w:pPr>
                </w:p>
              </w:tc>
              <w:tc>
                <w:tcPr>
                  <w:tcW w:w="561" w:type="pct"/>
                  <w:vMerge w:val="continue"/>
                  <w:tcBorders>
                    <w:tl2br w:val="nil"/>
                    <w:tr2bl w:val="nil"/>
                  </w:tcBorders>
                  <w:shd w:val="clear" w:color="auto" w:fill="auto"/>
                  <w:vAlign w:val="center"/>
                </w:tcPr>
                <w:p>
                  <w:pPr>
                    <w:adjustRightInd w:val="0"/>
                    <w:snapToGrid w:val="0"/>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exact"/>
                <w:jc w:val="center"/>
              </w:trPr>
              <w:tc>
                <w:tcPr>
                  <w:tcW w:w="489"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东侧</w:t>
                  </w:r>
                </w:p>
              </w:tc>
              <w:tc>
                <w:tcPr>
                  <w:tcW w:w="370"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48.6</w:t>
                  </w:r>
                </w:p>
              </w:tc>
              <w:tc>
                <w:tcPr>
                  <w:tcW w:w="496"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16.2</w:t>
                  </w:r>
                </w:p>
              </w:tc>
              <w:tc>
                <w:tcPr>
                  <w:tcW w:w="411" w:type="pct"/>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1</w:t>
                  </w:r>
                </w:p>
              </w:tc>
              <w:tc>
                <w:tcPr>
                  <w:tcW w:w="460" w:type="pct"/>
                  <w:vMerge w:val="restart"/>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昼间</w:t>
                  </w:r>
                </w:p>
              </w:tc>
              <w:tc>
                <w:tcPr>
                  <w:tcW w:w="1457"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55</w:t>
                  </w:r>
                  <w:r>
                    <w:rPr>
                      <w:color w:val="auto"/>
                      <w:sz w:val="18"/>
                      <w:szCs w:val="18"/>
                    </w:rPr>
                    <w:t>.1</w:t>
                  </w:r>
                </w:p>
              </w:tc>
              <w:tc>
                <w:tcPr>
                  <w:tcW w:w="753"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65</w:t>
                  </w:r>
                </w:p>
              </w:tc>
              <w:tc>
                <w:tcPr>
                  <w:tcW w:w="561"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exact"/>
                <w:jc w:val="center"/>
              </w:trPr>
              <w:tc>
                <w:tcPr>
                  <w:tcW w:w="489"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南侧</w:t>
                  </w:r>
                </w:p>
              </w:tc>
              <w:tc>
                <w:tcPr>
                  <w:tcW w:w="370"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48.9</w:t>
                  </w:r>
                </w:p>
              </w:tc>
              <w:tc>
                <w:tcPr>
                  <w:tcW w:w="496"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0.1</w:t>
                  </w:r>
                </w:p>
              </w:tc>
              <w:tc>
                <w:tcPr>
                  <w:tcW w:w="411" w:type="pct"/>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1</w:t>
                  </w:r>
                </w:p>
              </w:tc>
              <w:tc>
                <w:tcPr>
                  <w:tcW w:w="460" w:type="pct"/>
                  <w:vMerge w:val="continue"/>
                  <w:tcBorders>
                    <w:tl2br w:val="nil"/>
                    <w:tr2bl w:val="nil"/>
                  </w:tcBorders>
                  <w:shd w:val="clear" w:color="auto" w:fill="auto"/>
                  <w:vAlign w:val="center"/>
                </w:tcPr>
                <w:p>
                  <w:pPr>
                    <w:adjustRightInd w:val="0"/>
                    <w:snapToGrid w:val="0"/>
                    <w:jc w:val="center"/>
                    <w:rPr>
                      <w:color w:val="auto"/>
                      <w:sz w:val="18"/>
                      <w:szCs w:val="18"/>
                    </w:rPr>
                  </w:pPr>
                </w:p>
              </w:tc>
              <w:tc>
                <w:tcPr>
                  <w:tcW w:w="1457"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54</w:t>
                  </w:r>
                  <w:r>
                    <w:rPr>
                      <w:color w:val="auto"/>
                      <w:sz w:val="18"/>
                      <w:szCs w:val="18"/>
                    </w:rPr>
                    <w:t>.2</w:t>
                  </w:r>
                </w:p>
              </w:tc>
              <w:tc>
                <w:tcPr>
                  <w:tcW w:w="753"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65</w:t>
                  </w:r>
                </w:p>
              </w:tc>
              <w:tc>
                <w:tcPr>
                  <w:tcW w:w="561"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exact"/>
                <w:jc w:val="center"/>
              </w:trPr>
              <w:tc>
                <w:tcPr>
                  <w:tcW w:w="489"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西侧</w:t>
                  </w:r>
                </w:p>
              </w:tc>
              <w:tc>
                <w:tcPr>
                  <w:tcW w:w="370"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0.4</w:t>
                  </w:r>
                </w:p>
              </w:tc>
              <w:tc>
                <w:tcPr>
                  <w:tcW w:w="496"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0.9</w:t>
                  </w:r>
                </w:p>
              </w:tc>
              <w:tc>
                <w:tcPr>
                  <w:tcW w:w="411" w:type="pct"/>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1</w:t>
                  </w:r>
                </w:p>
              </w:tc>
              <w:tc>
                <w:tcPr>
                  <w:tcW w:w="460" w:type="pct"/>
                  <w:vMerge w:val="continue"/>
                  <w:tcBorders>
                    <w:tl2br w:val="nil"/>
                    <w:tr2bl w:val="nil"/>
                  </w:tcBorders>
                  <w:shd w:val="clear" w:color="auto" w:fill="auto"/>
                  <w:vAlign w:val="center"/>
                </w:tcPr>
                <w:p>
                  <w:pPr>
                    <w:adjustRightInd w:val="0"/>
                    <w:snapToGrid w:val="0"/>
                    <w:jc w:val="center"/>
                    <w:rPr>
                      <w:color w:val="auto"/>
                      <w:sz w:val="18"/>
                      <w:szCs w:val="18"/>
                    </w:rPr>
                  </w:pPr>
                </w:p>
              </w:tc>
              <w:tc>
                <w:tcPr>
                  <w:tcW w:w="1457"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53</w:t>
                  </w:r>
                  <w:r>
                    <w:rPr>
                      <w:color w:val="auto"/>
                      <w:sz w:val="18"/>
                      <w:szCs w:val="18"/>
                    </w:rPr>
                    <w:t>.2</w:t>
                  </w:r>
                </w:p>
              </w:tc>
              <w:tc>
                <w:tcPr>
                  <w:tcW w:w="753"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65</w:t>
                  </w:r>
                </w:p>
              </w:tc>
              <w:tc>
                <w:tcPr>
                  <w:tcW w:w="561"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exact"/>
                <w:jc w:val="center"/>
              </w:trPr>
              <w:tc>
                <w:tcPr>
                  <w:tcW w:w="489"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北侧</w:t>
                  </w:r>
                </w:p>
              </w:tc>
              <w:tc>
                <w:tcPr>
                  <w:tcW w:w="370"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47.6</w:t>
                  </w:r>
                </w:p>
              </w:tc>
              <w:tc>
                <w:tcPr>
                  <w:tcW w:w="496"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64.2</w:t>
                  </w:r>
                </w:p>
              </w:tc>
              <w:tc>
                <w:tcPr>
                  <w:tcW w:w="411" w:type="pct"/>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1</w:t>
                  </w:r>
                </w:p>
              </w:tc>
              <w:tc>
                <w:tcPr>
                  <w:tcW w:w="460" w:type="pct"/>
                  <w:vMerge w:val="continue"/>
                  <w:tcBorders>
                    <w:tl2br w:val="nil"/>
                    <w:tr2bl w:val="nil"/>
                  </w:tcBorders>
                  <w:shd w:val="clear" w:color="auto" w:fill="auto"/>
                  <w:vAlign w:val="center"/>
                </w:tcPr>
                <w:p>
                  <w:pPr>
                    <w:adjustRightInd w:val="0"/>
                    <w:snapToGrid w:val="0"/>
                    <w:jc w:val="center"/>
                    <w:rPr>
                      <w:color w:val="auto"/>
                      <w:sz w:val="18"/>
                      <w:szCs w:val="18"/>
                    </w:rPr>
                  </w:pPr>
                </w:p>
              </w:tc>
              <w:tc>
                <w:tcPr>
                  <w:tcW w:w="1457"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52</w:t>
                  </w:r>
                  <w:r>
                    <w:rPr>
                      <w:color w:val="auto"/>
                      <w:sz w:val="18"/>
                      <w:szCs w:val="18"/>
                    </w:rPr>
                    <w:t>.4</w:t>
                  </w:r>
                </w:p>
              </w:tc>
              <w:tc>
                <w:tcPr>
                  <w:tcW w:w="753"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65</w:t>
                  </w:r>
                </w:p>
              </w:tc>
              <w:tc>
                <w:tcPr>
                  <w:tcW w:w="561"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exact"/>
                <w:jc w:val="center"/>
              </w:trPr>
              <w:tc>
                <w:tcPr>
                  <w:tcW w:w="890"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东侧</w:t>
                  </w:r>
                </w:p>
              </w:tc>
              <w:tc>
                <w:tcPr>
                  <w:tcW w:w="674"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48.6</w:t>
                  </w:r>
                </w:p>
              </w:tc>
              <w:tc>
                <w:tcPr>
                  <w:tcW w:w="903"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16.2</w:t>
                  </w:r>
                </w:p>
              </w:tc>
              <w:tc>
                <w:tcPr>
                  <w:tcW w:w="748" w:type="dxa"/>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1</w:t>
                  </w:r>
                </w:p>
              </w:tc>
              <w:tc>
                <w:tcPr>
                  <w:tcW w:w="460" w:type="pct"/>
                  <w:vMerge w:val="restart"/>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夜间</w:t>
                  </w:r>
                </w:p>
              </w:tc>
              <w:tc>
                <w:tcPr>
                  <w:tcW w:w="1457"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49.6</w:t>
                  </w:r>
                </w:p>
              </w:tc>
              <w:tc>
                <w:tcPr>
                  <w:tcW w:w="753" w:type="pct"/>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55</w:t>
                  </w:r>
                </w:p>
              </w:tc>
              <w:tc>
                <w:tcPr>
                  <w:tcW w:w="561" w:type="pct"/>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exact"/>
                <w:jc w:val="center"/>
              </w:trPr>
              <w:tc>
                <w:tcPr>
                  <w:tcW w:w="890"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南侧</w:t>
                  </w:r>
                </w:p>
              </w:tc>
              <w:tc>
                <w:tcPr>
                  <w:tcW w:w="674"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48.9</w:t>
                  </w:r>
                </w:p>
              </w:tc>
              <w:tc>
                <w:tcPr>
                  <w:tcW w:w="903"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0.1</w:t>
                  </w:r>
                </w:p>
              </w:tc>
              <w:tc>
                <w:tcPr>
                  <w:tcW w:w="748" w:type="dxa"/>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1</w:t>
                  </w:r>
                </w:p>
              </w:tc>
              <w:tc>
                <w:tcPr>
                  <w:tcW w:w="460" w:type="pct"/>
                  <w:vMerge w:val="continue"/>
                  <w:tcBorders>
                    <w:tl2br w:val="nil"/>
                    <w:tr2bl w:val="nil"/>
                  </w:tcBorders>
                  <w:shd w:val="clear" w:color="auto" w:fill="auto"/>
                  <w:vAlign w:val="center"/>
                </w:tcPr>
                <w:p>
                  <w:pPr>
                    <w:adjustRightInd w:val="0"/>
                    <w:snapToGrid w:val="0"/>
                    <w:jc w:val="center"/>
                    <w:rPr>
                      <w:color w:val="auto"/>
                      <w:sz w:val="18"/>
                      <w:szCs w:val="18"/>
                    </w:rPr>
                  </w:pPr>
                </w:p>
              </w:tc>
              <w:tc>
                <w:tcPr>
                  <w:tcW w:w="1457"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49.1</w:t>
                  </w:r>
                </w:p>
              </w:tc>
              <w:tc>
                <w:tcPr>
                  <w:tcW w:w="1371" w:type="dxa"/>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55</w:t>
                  </w:r>
                </w:p>
              </w:tc>
              <w:tc>
                <w:tcPr>
                  <w:tcW w:w="1022"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exact"/>
                <w:jc w:val="center"/>
              </w:trPr>
              <w:tc>
                <w:tcPr>
                  <w:tcW w:w="890"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西侧</w:t>
                  </w:r>
                </w:p>
              </w:tc>
              <w:tc>
                <w:tcPr>
                  <w:tcW w:w="674"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0.4</w:t>
                  </w:r>
                </w:p>
              </w:tc>
              <w:tc>
                <w:tcPr>
                  <w:tcW w:w="903"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0.9</w:t>
                  </w:r>
                </w:p>
              </w:tc>
              <w:tc>
                <w:tcPr>
                  <w:tcW w:w="748" w:type="dxa"/>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1</w:t>
                  </w:r>
                </w:p>
              </w:tc>
              <w:tc>
                <w:tcPr>
                  <w:tcW w:w="460" w:type="pct"/>
                  <w:vMerge w:val="continue"/>
                  <w:tcBorders>
                    <w:tl2br w:val="nil"/>
                    <w:tr2bl w:val="nil"/>
                  </w:tcBorders>
                  <w:shd w:val="clear" w:color="auto" w:fill="auto"/>
                  <w:vAlign w:val="center"/>
                </w:tcPr>
                <w:p>
                  <w:pPr>
                    <w:adjustRightInd w:val="0"/>
                    <w:snapToGrid w:val="0"/>
                    <w:jc w:val="center"/>
                    <w:rPr>
                      <w:color w:val="auto"/>
                      <w:sz w:val="18"/>
                      <w:szCs w:val="18"/>
                    </w:rPr>
                  </w:pPr>
                </w:p>
              </w:tc>
              <w:tc>
                <w:tcPr>
                  <w:tcW w:w="1457"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48.8</w:t>
                  </w:r>
                </w:p>
              </w:tc>
              <w:tc>
                <w:tcPr>
                  <w:tcW w:w="1371" w:type="dxa"/>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55</w:t>
                  </w:r>
                </w:p>
              </w:tc>
              <w:tc>
                <w:tcPr>
                  <w:tcW w:w="1022"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达标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exact"/>
                <w:jc w:val="center"/>
              </w:trPr>
              <w:tc>
                <w:tcPr>
                  <w:tcW w:w="890"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北侧</w:t>
                  </w:r>
                </w:p>
              </w:tc>
              <w:tc>
                <w:tcPr>
                  <w:tcW w:w="674"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47.6</w:t>
                  </w:r>
                </w:p>
              </w:tc>
              <w:tc>
                <w:tcPr>
                  <w:tcW w:w="903"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64.2</w:t>
                  </w:r>
                </w:p>
              </w:tc>
              <w:tc>
                <w:tcPr>
                  <w:tcW w:w="748" w:type="dxa"/>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1</w:t>
                  </w:r>
                </w:p>
              </w:tc>
              <w:tc>
                <w:tcPr>
                  <w:tcW w:w="460" w:type="pct"/>
                  <w:vMerge w:val="continue"/>
                  <w:tcBorders>
                    <w:tl2br w:val="nil"/>
                    <w:tr2bl w:val="nil"/>
                  </w:tcBorders>
                  <w:shd w:val="clear" w:color="auto" w:fill="auto"/>
                  <w:vAlign w:val="center"/>
                </w:tcPr>
                <w:p>
                  <w:pPr>
                    <w:adjustRightInd w:val="0"/>
                    <w:snapToGrid w:val="0"/>
                    <w:jc w:val="center"/>
                    <w:rPr>
                      <w:color w:val="auto"/>
                      <w:sz w:val="18"/>
                      <w:szCs w:val="18"/>
                    </w:rPr>
                  </w:pPr>
                </w:p>
              </w:tc>
              <w:tc>
                <w:tcPr>
                  <w:tcW w:w="1457" w:type="pct"/>
                  <w:tcBorders>
                    <w:tl2br w:val="nil"/>
                    <w:tr2bl w:val="nil"/>
                  </w:tcBorders>
                  <w:vAlign w:val="center"/>
                </w:tcPr>
                <w:p>
                  <w:pPr>
                    <w:adjustRightInd w:val="0"/>
                    <w:snapToGrid w:val="0"/>
                    <w:jc w:val="center"/>
                    <w:rPr>
                      <w:color w:val="auto"/>
                      <w:sz w:val="18"/>
                      <w:szCs w:val="18"/>
                    </w:rPr>
                  </w:pPr>
                  <w:r>
                    <w:rPr>
                      <w:rFonts w:hint="eastAsia"/>
                      <w:color w:val="auto"/>
                      <w:sz w:val="18"/>
                      <w:szCs w:val="18"/>
                    </w:rPr>
                    <w:t>48.5</w:t>
                  </w:r>
                </w:p>
              </w:tc>
              <w:tc>
                <w:tcPr>
                  <w:tcW w:w="1371" w:type="dxa"/>
                  <w:tcBorders>
                    <w:tl2br w:val="nil"/>
                    <w:tr2bl w:val="nil"/>
                  </w:tcBorders>
                  <w:shd w:val="clear" w:color="auto" w:fill="auto"/>
                  <w:vAlign w:val="center"/>
                </w:tcPr>
                <w:p>
                  <w:pPr>
                    <w:adjustRightInd w:val="0"/>
                    <w:snapToGrid w:val="0"/>
                    <w:jc w:val="center"/>
                    <w:rPr>
                      <w:color w:val="auto"/>
                      <w:sz w:val="18"/>
                      <w:szCs w:val="18"/>
                    </w:rPr>
                  </w:pPr>
                  <w:r>
                    <w:rPr>
                      <w:rFonts w:hint="eastAsia"/>
                      <w:color w:val="auto"/>
                      <w:sz w:val="18"/>
                      <w:szCs w:val="18"/>
                    </w:rPr>
                    <w:t>55</w:t>
                  </w:r>
                </w:p>
              </w:tc>
              <w:tc>
                <w:tcPr>
                  <w:tcW w:w="1022" w:type="dxa"/>
                  <w:tcBorders>
                    <w:tl2br w:val="nil"/>
                    <w:tr2bl w:val="nil"/>
                  </w:tcBorders>
                  <w:shd w:val="clear" w:color="auto" w:fill="auto"/>
                  <w:vAlign w:val="center"/>
                </w:tcPr>
                <w:p>
                  <w:pPr>
                    <w:adjustRightInd w:val="0"/>
                    <w:snapToGrid w:val="0"/>
                    <w:jc w:val="center"/>
                    <w:rPr>
                      <w:color w:val="auto"/>
                      <w:sz w:val="18"/>
                      <w:szCs w:val="18"/>
                    </w:rPr>
                  </w:pPr>
                  <w:r>
                    <w:rPr>
                      <w:color w:val="auto"/>
                      <w:sz w:val="18"/>
                      <w:szCs w:val="18"/>
                    </w:rPr>
                    <w:t>达标</w:t>
                  </w:r>
                </w:p>
              </w:tc>
            </w:tr>
          </w:tbl>
          <w:p>
            <w:pPr>
              <w:adjustRightInd w:val="0"/>
              <w:snapToGrid w:val="0"/>
              <w:spacing w:before="120" w:beforeLines="50" w:line="360" w:lineRule="auto"/>
              <w:ind w:firstLine="420" w:firstLineChars="200"/>
              <w:rPr>
                <w:bCs/>
                <w:color w:val="auto"/>
                <w:kern w:val="0"/>
                <w:szCs w:val="21"/>
              </w:rPr>
            </w:pPr>
            <w:r>
              <w:rPr>
                <w:snapToGrid w:val="0"/>
                <w:color w:val="auto"/>
                <w:szCs w:val="21"/>
              </w:rPr>
              <w:t>本项目建成后，高噪声设备经厂房隔声和距离衰减，全厂东、南、西、北厂界的噪声影响预测值满足《工业企业厂界环境噪声排放标准》（GB12348-2008）3类区昼间噪声值≤65dB(A)，夜间噪声值≤55dB(A)的标准要求，厂界50m内没有噪声敏感目标，因此，本项目对周围环境影响较小，噪声防治措施可行。</w:t>
            </w:r>
          </w:p>
          <w:p>
            <w:pPr>
              <w:spacing w:line="360" w:lineRule="auto"/>
              <w:ind w:firstLine="422" w:firstLineChars="200"/>
              <w:rPr>
                <w:b/>
                <w:color w:val="auto"/>
                <w:kern w:val="0"/>
                <w:szCs w:val="21"/>
              </w:rPr>
            </w:pPr>
            <w:r>
              <w:rPr>
                <w:b/>
                <w:color w:val="auto"/>
                <w:kern w:val="0"/>
                <w:szCs w:val="21"/>
              </w:rPr>
              <w:t>（</w:t>
            </w:r>
            <w:r>
              <w:rPr>
                <w:rFonts w:hint="eastAsia"/>
                <w:b/>
                <w:color w:val="auto"/>
                <w:kern w:val="0"/>
                <w:szCs w:val="21"/>
              </w:rPr>
              <w:t>4</w:t>
            </w:r>
            <w:r>
              <w:rPr>
                <w:b/>
                <w:color w:val="auto"/>
                <w:kern w:val="0"/>
                <w:szCs w:val="21"/>
              </w:rPr>
              <w:t>）噪声监测计划</w:t>
            </w:r>
          </w:p>
          <w:p>
            <w:pPr>
              <w:pStyle w:val="106"/>
              <w:adjustRightInd w:val="0"/>
              <w:snapToGrid w:val="0"/>
              <w:spacing w:line="360" w:lineRule="auto"/>
              <w:ind w:firstLine="420"/>
              <w:rPr>
                <w:rFonts w:eastAsia="宋体" w:cs="Times New Roman"/>
                <w:snapToGrid w:val="0"/>
                <w:color w:val="auto"/>
                <w:szCs w:val="21"/>
              </w:rPr>
            </w:pPr>
            <w:r>
              <w:rPr>
                <w:rFonts w:eastAsia="宋体" w:cs="Times New Roman"/>
                <w:snapToGrid w:val="0"/>
                <w:color w:val="auto"/>
                <w:szCs w:val="21"/>
              </w:rPr>
              <w:t>根据《排污单位自行监测技术指南 总则》（HJ819-2017），厂界噪声最低监测频次为季度，本项目</w:t>
            </w:r>
            <w:r>
              <w:rPr>
                <w:rFonts w:hint="eastAsia" w:eastAsia="宋体" w:cs="Times New Roman"/>
                <w:snapToGrid w:val="0"/>
                <w:color w:val="auto"/>
                <w:szCs w:val="21"/>
              </w:rPr>
              <w:t>昼间、夜间均</w:t>
            </w:r>
            <w:r>
              <w:rPr>
                <w:rFonts w:eastAsia="宋体" w:cs="Times New Roman"/>
                <w:snapToGrid w:val="0"/>
                <w:color w:val="auto"/>
                <w:szCs w:val="21"/>
              </w:rPr>
              <w:t>进行生产，厂界噪声监测频次为一季度开展一次，并在噪声监测点附近醒目处设置环境保护图形标志牌。</w:t>
            </w:r>
          </w:p>
          <w:p>
            <w:pPr>
              <w:pStyle w:val="106"/>
              <w:adjustRightInd w:val="0"/>
              <w:snapToGrid w:val="0"/>
              <w:ind w:firstLine="0" w:firstLineChars="0"/>
              <w:jc w:val="center"/>
              <w:rPr>
                <w:rFonts w:eastAsia="宋体" w:cs="Times New Roman"/>
                <w:snapToGrid w:val="0"/>
                <w:color w:val="auto"/>
                <w:kern w:val="0"/>
                <w:szCs w:val="21"/>
              </w:rPr>
            </w:pPr>
            <w:r>
              <w:rPr>
                <w:rFonts w:eastAsia="宋体" w:cs="Times New Roman"/>
                <w:b/>
                <w:bCs/>
                <w:snapToGrid w:val="0"/>
                <w:color w:val="auto"/>
                <w:kern w:val="0"/>
                <w:szCs w:val="21"/>
              </w:rPr>
              <w:t>表4-</w:t>
            </w:r>
            <w:r>
              <w:rPr>
                <w:rFonts w:hint="eastAsia" w:eastAsia="宋体" w:cs="Times New Roman"/>
                <w:b/>
                <w:bCs/>
                <w:snapToGrid w:val="0"/>
                <w:color w:val="auto"/>
                <w:kern w:val="0"/>
                <w:szCs w:val="21"/>
              </w:rPr>
              <w:t>21</w:t>
            </w:r>
            <w:r>
              <w:rPr>
                <w:rFonts w:eastAsia="宋体" w:cs="Times New Roman"/>
                <w:b/>
                <w:bCs/>
                <w:snapToGrid w:val="0"/>
                <w:color w:val="auto"/>
                <w:kern w:val="0"/>
                <w:szCs w:val="21"/>
              </w:rPr>
              <w:t xml:space="preserve"> 噪声环境监测计划</w:t>
            </w:r>
          </w:p>
          <w:tbl>
            <w:tblPr>
              <w:tblStyle w:val="37"/>
              <w:tblpPr w:leftFromText="180" w:rightFromText="180" w:vertAnchor="text" w:tblpXSpec="center" w:tblpY="1"/>
              <w:tblOverlap w:val="never"/>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535"/>
              <w:gridCol w:w="1929"/>
              <w:gridCol w:w="1538"/>
              <w:gridCol w:w="1092"/>
              <w:gridCol w:w="400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94" w:type="pct"/>
                  <w:vAlign w:val="center"/>
                </w:tcPr>
                <w:p>
                  <w:pPr>
                    <w:pStyle w:val="106"/>
                    <w:ind w:firstLine="0" w:firstLineChars="0"/>
                    <w:jc w:val="center"/>
                    <w:rPr>
                      <w:rFonts w:eastAsia="宋体" w:cs="Times New Roman"/>
                      <w:b/>
                      <w:bCs/>
                      <w:snapToGrid w:val="0"/>
                      <w:color w:val="auto"/>
                      <w:kern w:val="0"/>
                      <w:sz w:val="18"/>
                      <w:szCs w:val="18"/>
                    </w:rPr>
                  </w:pPr>
                  <w:r>
                    <w:rPr>
                      <w:rFonts w:eastAsia="宋体" w:cs="Times New Roman"/>
                      <w:b/>
                      <w:bCs/>
                      <w:snapToGrid w:val="0"/>
                      <w:color w:val="auto"/>
                      <w:kern w:val="0"/>
                      <w:sz w:val="18"/>
                      <w:szCs w:val="18"/>
                    </w:rPr>
                    <w:t>类别</w:t>
                  </w:r>
                </w:p>
              </w:tc>
              <w:tc>
                <w:tcPr>
                  <w:tcW w:w="1060" w:type="pct"/>
                  <w:vAlign w:val="center"/>
                </w:tcPr>
                <w:p>
                  <w:pPr>
                    <w:pStyle w:val="106"/>
                    <w:ind w:firstLine="0" w:firstLineChars="0"/>
                    <w:jc w:val="center"/>
                    <w:rPr>
                      <w:rFonts w:eastAsia="宋体" w:cs="Times New Roman"/>
                      <w:b/>
                      <w:bCs/>
                      <w:snapToGrid w:val="0"/>
                      <w:color w:val="auto"/>
                      <w:kern w:val="0"/>
                      <w:sz w:val="18"/>
                      <w:szCs w:val="18"/>
                    </w:rPr>
                  </w:pPr>
                  <w:r>
                    <w:rPr>
                      <w:rFonts w:eastAsia="宋体" w:cs="Times New Roman"/>
                      <w:b/>
                      <w:bCs/>
                      <w:snapToGrid w:val="0"/>
                      <w:color w:val="auto"/>
                      <w:kern w:val="0"/>
                      <w:sz w:val="18"/>
                      <w:szCs w:val="18"/>
                    </w:rPr>
                    <w:t>监测位置</w:t>
                  </w:r>
                </w:p>
              </w:tc>
              <w:tc>
                <w:tcPr>
                  <w:tcW w:w="845" w:type="pct"/>
                  <w:vAlign w:val="center"/>
                </w:tcPr>
                <w:p>
                  <w:pPr>
                    <w:pStyle w:val="106"/>
                    <w:ind w:firstLine="0" w:firstLineChars="0"/>
                    <w:jc w:val="center"/>
                    <w:rPr>
                      <w:rFonts w:eastAsia="宋体" w:cs="Times New Roman"/>
                      <w:b/>
                      <w:bCs/>
                      <w:snapToGrid w:val="0"/>
                      <w:color w:val="auto"/>
                      <w:kern w:val="0"/>
                      <w:sz w:val="18"/>
                      <w:szCs w:val="18"/>
                    </w:rPr>
                  </w:pPr>
                  <w:r>
                    <w:rPr>
                      <w:rFonts w:eastAsia="宋体" w:cs="Times New Roman"/>
                      <w:b/>
                      <w:bCs/>
                      <w:snapToGrid w:val="0"/>
                      <w:color w:val="auto"/>
                      <w:kern w:val="0"/>
                      <w:sz w:val="18"/>
                      <w:szCs w:val="18"/>
                    </w:rPr>
                    <w:t>监测项目</w:t>
                  </w:r>
                </w:p>
              </w:tc>
              <w:tc>
                <w:tcPr>
                  <w:tcW w:w="600" w:type="pct"/>
                  <w:vAlign w:val="center"/>
                </w:tcPr>
                <w:p>
                  <w:pPr>
                    <w:pStyle w:val="106"/>
                    <w:ind w:firstLine="0" w:firstLineChars="0"/>
                    <w:jc w:val="center"/>
                    <w:rPr>
                      <w:rFonts w:eastAsia="宋体" w:cs="Times New Roman"/>
                      <w:b/>
                      <w:bCs/>
                      <w:snapToGrid w:val="0"/>
                      <w:color w:val="auto"/>
                      <w:kern w:val="0"/>
                      <w:sz w:val="18"/>
                      <w:szCs w:val="18"/>
                    </w:rPr>
                  </w:pPr>
                  <w:r>
                    <w:rPr>
                      <w:rFonts w:eastAsia="宋体" w:cs="Times New Roman"/>
                      <w:b/>
                      <w:bCs/>
                      <w:snapToGrid w:val="0"/>
                      <w:color w:val="auto"/>
                      <w:kern w:val="0"/>
                      <w:sz w:val="18"/>
                      <w:szCs w:val="18"/>
                    </w:rPr>
                    <w:t>监测频次</w:t>
                  </w:r>
                </w:p>
              </w:tc>
              <w:tc>
                <w:tcPr>
                  <w:tcW w:w="2201" w:type="pct"/>
                  <w:vAlign w:val="center"/>
                </w:tcPr>
                <w:p>
                  <w:pPr>
                    <w:pStyle w:val="106"/>
                    <w:ind w:firstLine="0" w:firstLineChars="0"/>
                    <w:jc w:val="center"/>
                    <w:rPr>
                      <w:rFonts w:eastAsia="宋体" w:cs="Times New Roman"/>
                      <w:b/>
                      <w:bCs/>
                      <w:snapToGrid w:val="0"/>
                      <w:color w:val="auto"/>
                      <w:kern w:val="0"/>
                      <w:sz w:val="18"/>
                      <w:szCs w:val="18"/>
                    </w:rPr>
                  </w:pPr>
                  <w:r>
                    <w:rPr>
                      <w:rFonts w:eastAsia="宋体" w:cs="Times New Roman"/>
                      <w:b/>
                      <w:bCs/>
                      <w:snapToGrid w:val="0"/>
                      <w:color w:val="auto"/>
                      <w:kern w:val="0"/>
                      <w:sz w:val="18"/>
                      <w:szCs w:val="18"/>
                    </w:rPr>
                    <w:t>执行排放标准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294" w:type="pct"/>
                  <w:vAlign w:val="center"/>
                </w:tcPr>
                <w:p>
                  <w:pPr>
                    <w:pStyle w:val="106"/>
                    <w:ind w:firstLine="0" w:firstLineChars="0"/>
                    <w:jc w:val="center"/>
                    <w:rPr>
                      <w:rFonts w:eastAsia="宋体" w:cs="Times New Roman"/>
                      <w:snapToGrid w:val="0"/>
                      <w:color w:val="auto"/>
                      <w:kern w:val="0"/>
                      <w:sz w:val="18"/>
                      <w:szCs w:val="18"/>
                    </w:rPr>
                  </w:pPr>
                  <w:r>
                    <w:rPr>
                      <w:rFonts w:eastAsia="宋体" w:cs="Times New Roman"/>
                      <w:snapToGrid w:val="0"/>
                      <w:color w:val="auto"/>
                      <w:kern w:val="0"/>
                      <w:sz w:val="18"/>
                      <w:szCs w:val="18"/>
                    </w:rPr>
                    <w:t>噪声</w:t>
                  </w:r>
                </w:p>
              </w:tc>
              <w:tc>
                <w:tcPr>
                  <w:tcW w:w="1060" w:type="pct"/>
                  <w:vAlign w:val="center"/>
                </w:tcPr>
                <w:p>
                  <w:pPr>
                    <w:pStyle w:val="106"/>
                    <w:ind w:firstLine="0" w:firstLineChars="0"/>
                    <w:jc w:val="center"/>
                    <w:rPr>
                      <w:rFonts w:eastAsia="宋体" w:cs="Times New Roman"/>
                      <w:snapToGrid w:val="0"/>
                      <w:color w:val="auto"/>
                      <w:kern w:val="0"/>
                      <w:sz w:val="18"/>
                      <w:szCs w:val="18"/>
                    </w:rPr>
                  </w:pPr>
                  <w:r>
                    <w:rPr>
                      <w:rFonts w:eastAsia="宋体" w:cs="Times New Roman"/>
                      <w:snapToGrid w:val="0"/>
                      <w:color w:val="auto"/>
                      <w:kern w:val="0"/>
                      <w:sz w:val="18"/>
                      <w:szCs w:val="18"/>
                    </w:rPr>
                    <w:t>四周厂界外1m</w:t>
                  </w:r>
                </w:p>
              </w:tc>
              <w:tc>
                <w:tcPr>
                  <w:tcW w:w="845" w:type="pct"/>
                  <w:vAlign w:val="center"/>
                </w:tcPr>
                <w:p>
                  <w:pPr>
                    <w:pStyle w:val="14"/>
                    <w:spacing w:after="0"/>
                    <w:ind w:firstLine="0" w:firstLineChars="0"/>
                    <w:jc w:val="center"/>
                    <w:rPr>
                      <w:snapToGrid w:val="0"/>
                      <w:color w:val="auto"/>
                      <w:kern w:val="0"/>
                      <w:sz w:val="18"/>
                      <w:szCs w:val="18"/>
                    </w:rPr>
                  </w:pPr>
                  <w:r>
                    <w:rPr>
                      <w:snapToGrid w:val="0"/>
                      <w:color w:val="auto"/>
                      <w:kern w:val="0"/>
                      <w:sz w:val="18"/>
                      <w:szCs w:val="18"/>
                    </w:rPr>
                    <w:t>连续等效A声级</w:t>
                  </w:r>
                </w:p>
              </w:tc>
              <w:tc>
                <w:tcPr>
                  <w:tcW w:w="600" w:type="pct"/>
                  <w:vAlign w:val="center"/>
                </w:tcPr>
                <w:p>
                  <w:pPr>
                    <w:pStyle w:val="106"/>
                    <w:ind w:firstLine="0" w:firstLineChars="0"/>
                    <w:jc w:val="center"/>
                    <w:rPr>
                      <w:rFonts w:eastAsia="宋体" w:cs="Times New Roman"/>
                      <w:snapToGrid w:val="0"/>
                      <w:color w:val="auto"/>
                      <w:kern w:val="0"/>
                      <w:sz w:val="18"/>
                      <w:szCs w:val="18"/>
                    </w:rPr>
                  </w:pPr>
                  <w:r>
                    <w:rPr>
                      <w:rFonts w:eastAsia="宋体" w:cs="Times New Roman"/>
                      <w:snapToGrid w:val="0"/>
                      <w:color w:val="auto"/>
                      <w:kern w:val="0"/>
                      <w:sz w:val="18"/>
                      <w:szCs w:val="18"/>
                    </w:rPr>
                    <w:t>一</w:t>
                  </w:r>
                  <w:r>
                    <w:rPr>
                      <w:rFonts w:hint="eastAsia" w:eastAsia="宋体" w:cs="Times New Roman"/>
                      <w:snapToGrid w:val="0"/>
                      <w:color w:val="auto"/>
                      <w:kern w:val="0"/>
                      <w:sz w:val="18"/>
                      <w:szCs w:val="18"/>
                    </w:rPr>
                    <w:t>季度</w:t>
                  </w:r>
                  <w:r>
                    <w:rPr>
                      <w:rFonts w:eastAsia="宋体" w:cs="Times New Roman"/>
                      <w:snapToGrid w:val="0"/>
                      <w:color w:val="auto"/>
                      <w:kern w:val="0"/>
                      <w:sz w:val="18"/>
                      <w:szCs w:val="18"/>
                    </w:rPr>
                    <w:t>一次</w:t>
                  </w:r>
                </w:p>
              </w:tc>
              <w:tc>
                <w:tcPr>
                  <w:tcW w:w="2201" w:type="pct"/>
                  <w:vAlign w:val="center"/>
                </w:tcPr>
                <w:p>
                  <w:pPr>
                    <w:pStyle w:val="106"/>
                    <w:ind w:firstLine="0" w:firstLineChars="0"/>
                    <w:jc w:val="center"/>
                    <w:rPr>
                      <w:rFonts w:eastAsia="宋体" w:cs="Times New Roman"/>
                      <w:snapToGrid w:val="0"/>
                      <w:color w:val="auto"/>
                      <w:kern w:val="0"/>
                      <w:sz w:val="18"/>
                      <w:szCs w:val="18"/>
                    </w:rPr>
                  </w:pPr>
                  <w:r>
                    <w:rPr>
                      <w:rFonts w:eastAsia="宋体" w:cs="Times New Roman"/>
                      <w:snapToGrid w:val="0"/>
                      <w:color w:val="auto"/>
                      <w:kern w:val="0"/>
                      <w:sz w:val="18"/>
                      <w:szCs w:val="18"/>
                    </w:rPr>
                    <w:t>《工业企业厂界环境噪声排放标准》</w:t>
                  </w:r>
                </w:p>
                <w:p>
                  <w:pPr>
                    <w:pStyle w:val="106"/>
                    <w:ind w:firstLine="0" w:firstLineChars="0"/>
                    <w:jc w:val="center"/>
                    <w:rPr>
                      <w:rFonts w:eastAsia="宋体" w:cs="Times New Roman"/>
                      <w:snapToGrid w:val="0"/>
                      <w:color w:val="auto"/>
                      <w:kern w:val="0"/>
                      <w:sz w:val="18"/>
                      <w:szCs w:val="18"/>
                    </w:rPr>
                  </w:pPr>
                  <w:r>
                    <w:rPr>
                      <w:rFonts w:eastAsia="宋体" w:cs="Times New Roman"/>
                      <w:snapToGrid w:val="0"/>
                      <w:color w:val="auto"/>
                      <w:kern w:val="0"/>
                      <w:sz w:val="18"/>
                      <w:szCs w:val="18"/>
                    </w:rPr>
                    <w:t>（GB12348-2008）3类标准</w:t>
                  </w:r>
                </w:p>
              </w:tc>
            </w:tr>
          </w:tbl>
          <w:p>
            <w:pPr>
              <w:adjustRightInd w:val="0"/>
              <w:snapToGrid w:val="0"/>
              <w:spacing w:before="120" w:beforeLines="50" w:line="360" w:lineRule="auto"/>
              <w:ind w:firstLine="422" w:firstLineChars="200"/>
              <w:rPr>
                <w:b/>
                <w:bCs/>
                <w:color w:val="auto"/>
                <w:kern w:val="0"/>
                <w:szCs w:val="21"/>
              </w:rPr>
            </w:pPr>
            <w:r>
              <w:rPr>
                <w:b/>
                <w:bCs/>
                <w:color w:val="auto"/>
                <w:kern w:val="0"/>
                <w:szCs w:val="21"/>
              </w:rPr>
              <w:t>4、固体废物</w:t>
            </w:r>
          </w:p>
          <w:p>
            <w:pPr>
              <w:spacing w:line="360" w:lineRule="auto"/>
              <w:ind w:firstLine="422" w:firstLineChars="200"/>
              <w:rPr>
                <w:b/>
                <w:bCs/>
                <w:snapToGrid w:val="0"/>
                <w:color w:val="auto"/>
                <w:kern w:val="0"/>
                <w:szCs w:val="21"/>
              </w:rPr>
            </w:pPr>
            <w:r>
              <w:rPr>
                <w:b/>
                <w:bCs/>
                <w:snapToGrid w:val="0"/>
                <w:color w:val="auto"/>
                <w:kern w:val="0"/>
                <w:szCs w:val="21"/>
              </w:rPr>
              <w:t>（1）固体废物产生情况</w:t>
            </w:r>
          </w:p>
          <w:p>
            <w:pPr>
              <w:spacing w:line="360" w:lineRule="auto"/>
              <w:ind w:firstLine="420" w:firstLineChars="200"/>
              <w:rPr>
                <w:color w:val="auto"/>
                <w:szCs w:val="21"/>
              </w:rPr>
            </w:pPr>
            <w:r>
              <w:rPr>
                <w:color w:val="auto"/>
                <w:szCs w:val="21"/>
              </w:rPr>
              <w:t>根据项目工程分析，本项目固废主要为：生活垃圾、</w:t>
            </w:r>
            <w:r>
              <w:rPr>
                <w:rFonts w:hint="eastAsia"/>
                <w:color w:val="auto"/>
                <w:szCs w:val="21"/>
              </w:rPr>
              <w:t>废清洗液、废漂洗液、废油、废滤膜、废包装材料、废包装桶、废活性炭</w:t>
            </w:r>
            <w:r>
              <w:rPr>
                <w:color w:val="auto"/>
                <w:szCs w:val="21"/>
              </w:rPr>
              <w:t>等。</w:t>
            </w:r>
          </w:p>
          <w:p>
            <w:pPr>
              <w:numPr>
                <w:ilvl w:val="0"/>
                <w:numId w:val="6"/>
              </w:numPr>
              <w:snapToGrid w:val="0"/>
              <w:spacing w:line="360" w:lineRule="auto"/>
              <w:ind w:left="0" w:firstLine="459"/>
              <w:rPr>
                <w:color w:val="auto"/>
                <w:szCs w:val="21"/>
              </w:rPr>
            </w:pPr>
            <w:r>
              <w:rPr>
                <w:color w:val="auto"/>
                <w:szCs w:val="21"/>
              </w:rPr>
              <w:t>生活垃圾</w:t>
            </w:r>
            <w:r>
              <w:rPr>
                <w:rFonts w:hint="eastAsia"/>
                <w:color w:val="auto"/>
                <w:szCs w:val="21"/>
              </w:rPr>
              <w:t>S4</w:t>
            </w:r>
            <w:r>
              <w:rPr>
                <w:color w:val="auto"/>
                <w:szCs w:val="21"/>
              </w:rPr>
              <w:t>：本项目</w:t>
            </w:r>
            <w:r>
              <w:rPr>
                <w:rFonts w:hint="eastAsia"/>
                <w:color w:val="auto"/>
                <w:szCs w:val="21"/>
              </w:rPr>
              <w:t>新增</w:t>
            </w:r>
            <w:r>
              <w:rPr>
                <w:color w:val="auto"/>
                <w:szCs w:val="21"/>
              </w:rPr>
              <w:t>职工</w:t>
            </w:r>
            <w:r>
              <w:rPr>
                <w:rFonts w:hint="eastAsia"/>
                <w:color w:val="auto"/>
                <w:szCs w:val="21"/>
              </w:rPr>
              <w:t>20</w:t>
            </w:r>
            <w:r>
              <w:rPr>
                <w:color w:val="auto"/>
                <w:szCs w:val="21"/>
              </w:rPr>
              <w:t>人，职工生活垃圾产生量按人均0.5kg/d计，年工作300天，则职工生活垃圾为</w:t>
            </w:r>
            <w:r>
              <w:rPr>
                <w:rFonts w:hint="eastAsia"/>
                <w:color w:val="auto"/>
                <w:szCs w:val="21"/>
              </w:rPr>
              <w:t>3</w:t>
            </w:r>
            <w:r>
              <w:rPr>
                <w:color w:val="auto"/>
                <w:szCs w:val="21"/>
              </w:rPr>
              <w:t>t/a，由环卫部门定期清运。</w:t>
            </w:r>
          </w:p>
          <w:p>
            <w:pPr>
              <w:numPr>
                <w:ilvl w:val="0"/>
                <w:numId w:val="6"/>
              </w:numPr>
              <w:snapToGrid w:val="0"/>
              <w:spacing w:line="360" w:lineRule="auto"/>
              <w:ind w:left="41" w:firstLine="439"/>
              <w:rPr>
                <w:color w:val="auto"/>
                <w:szCs w:val="21"/>
              </w:rPr>
            </w:pPr>
            <w:r>
              <w:rPr>
                <w:rFonts w:hint="eastAsia"/>
                <w:color w:val="auto"/>
                <w:szCs w:val="21"/>
              </w:rPr>
              <w:t>废边角料S1-1：项目橡胶件修边过程中，会产生部分废弃边角料，根据企业生产经验预估，修边过程产生的边角料年产量约为7.5t/a</w:t>
            </w:r>
            <w:r>
              <w:rPr>
                <w:color w:val="auto"/>
                <w:szCs w:val="21"/>
              </w:rPr>
              <w:t>。</w:t>
            </w:r>
          </w:p>
          <w:p>
            <w:pPr>
              <w:numPr>
                <w:ilvl w:val="0"/>
                <w:numId w:val="6"/>
              </w:numPr>
              <w:snapToGrid w:val="0"/>
              <w:spacing w:line="360" w:lineRule="auto"/>
              <w:ind w:left="41" w:firstLine="439"/>
              <w:rPr>
                <w:color w:val="auto"/>
                <w:szCs w:val="21"/>
              </w:rPr>
            </w:pPr>
            <w:r>
              <w:rPr>
                <w:rFonts w:hint="eastAsia"/>
                <w:color w:val="auto"/>
                <w:szCs w:val="21"/>
              </w:rPr>
              <w:t>不合格品S1-2：企业橡胶件生产过程中产生部分不合格品，根据企业生产经验预估，产生的不合格品年产量约为2t/a</w:t>
            </w:r>
            <w:r>
              <w:rPr>
                <w:color w:val="auto"/>
                <w:szCs w:val="21"/>
              </w:rPr>
              <w:t>。</w:t>
            </w:r>
          </w:p>
          <w:p>
            <w:pPr>
              <w:numPr>
                <w:ilvl w:val="0"/>
                <w:numId w:val="6"/>
              </w:numPr>
              <w:snapToGrid w:val="0"/>
              <w:spacing w:line="360" w:lineRule="auto"/>
              <w:ind w:left="41" w:firstLine="439"/>
              <w:rPr>
                <w:color w:val="auto"/>
                <w:szCs w:val="21"/>
              </w:rPr>
            </w:pPr>
            <w:r>
              <w:rPr>
                <w:rFonts w:hint="eastAsia"/>
                <w:color w:val="auto"/>
                <w:szCs w:val="21"/>
              </w:rPr>
              <w:t>废边角料S2-1：项目塑料件修边过程中，会产生部分废弃边角料，根据生产经验预估，修边过程产生的边角料年产量约为0.8t/a</w:t>
            </w:r>
            <w:r>
              <w:rPr>
                <w:color w:val="auto"/>
                <w:szCs w:val="21"/>
              </w:rPr>
              <w:t>。</w:t>
            </w:r>
          </w:p>
          <w:p>
            <w:pPr>
              <w:numPr>
                <w:ilvl w:val="0"/>
                <w:numId w:val="6"/>
              </w:numPr>
              <w:snapToGrid w:val="0"/>
              <w:spacing w:line="360" w:lineRule="auto"/>
              <w:ind w:left="41" w:firstLine="439"/>
              <w:rPr>
                <w:color w:val="auto"/>
                <w:szCs w:val="21"/>
              </w:rPr>
            </w:pPr>
            <w:r>
              <w:rPr>
                <w:rFonts w:hint="eastAsia"/>
                <w:color w:val="auto"/>
                <w:szCs w:val="21"/>
              </w:rPr>
              <w:t>不合格品S2-2：企业生产过程中产生部分不合格品，根据企业生产经验预估，产生的不合格品年产量约为0.2t/a</w:t>
            </w:r>
            <w:r>
              <w:rPr>
                <w:color w:val="auto"/>
                <w:szCs w:val="21"/>
              </w:rPr>
              <w:t>。</w:t>
            </w:r>
          </w:p>
          <w:p>
            <w:pPr>
              <w:numPr>
                <w:ilvl w:val="0"/>
                <w:numId w:val="6"/>
              </w:numPr>
              <w:spacing w:line="360" w:lineRule="auto"/>
              <w:ind w:left="40" w:firstLine="437"/>
              <w:rPr>
                <w:color w:val="auto"/>
                <w:szCs w:val="21"/>
              </w:rPr>
            </w:pPr>
            <w:r>
              <w:rPr>
                <w:rFonts w:hint="eastAsia"/>
                <w:color w:val="auto"/>
                <w:szCs w:val="21"/>
              </w:rPr>
              <w:t>废包装材S3料：本项目在产品包装过程中产生废包装材料，产生约为3t</w:t>
            </w:r>
            <w:r>
              <w:rPr>
                <w:color w:val="auto"/>
                <w:szCs w:val="21"/>
              </w:rPr>
              <w:t>/</w:t>
            </w:r>
            <w:r>
              <w:rPr>
                <w:rFonts w:hint="eastAsia"/>
                <w:color w:val="auto"/>
                <w:szCs w:val="21"/>
              </w:rPr>
              <w:t>a，收集后外售处理。</w:t>
            </w:r>
          </w:p>
          <w:p>
            <w:pPr>
              <w:numPr>
                <w:ilvl w:val="0"/>
                <w:numId w:val="6"/>
              </w:numPr>
              <w:snapToGrid w:val="0"/>
              <w:spacing w:line="360" w:lineRule="auto"/>
              <w:ind w:left="41" w:firstLine="439"/>
              <w:rPr>
                <w:color w:val="auto"/>
                <w:szCs w:val="21"/>
              </w:rPr>
            </w:pPr>
            <w:r>
              <w:rPr>
                <w:color w:val="auto"/>
                <w:szCs w:val="21"/>
              </w:rPr>
              <w:t>废</w:t>
            </w:r>
            <w:r>
              <w:rPr>
                <w:rFonts w:hint="eastAsia"/>
                <w:color w:val="auto"/>
                <w:szCs w:val="21"/>
              </w:rPr>
              <w:t>包装桶S6</w:t>
            </w:r>
            <w:r>
              <w:rPr>
                <w:color w:val="auto"/>
                <w:szCs w:val="21"/>
              </w:rPr>
              <w:t>：根据建设单位提供</w:t>
            </w:r>
            <w:r>
              <w:rPr>
                <w:rFonts w:hint="eastAsia"/>
                <w:color w:val="auto"/>
                <w:szCs w:val="21"/>
              </w:rPr>
              <w:t>的</w:t>
            </w:r>
            <w:r>
              <w:rPr>
                <w:color w:val="auto"/>
                <w:szCs w:val="21"/>
              </w:rPr>
              <w:t>资料，</w:t>
            </w:r>
            <w:r>
              <w:rPr>
                <w:rFonts w:hint="eastAsia"/>
                <w:color w:val="auto"/>
                <w:szCs w:val="21"/>
              </w:rPr>
              <w:t>存储硫化剂的废包装桶</w:t>
            </w:r>
            <w:r>
              <w:rPr>
                <w:color w:val="auto"/>
                <w:szCs w:val="21"/>
              </w:rPr>
              <w:t>产生</w:t>
            </w:r>
            <w:r>
              <w:rPr>
                <w:rFonts w:hint="eastAsia"/>
                <w:color w:val="auto"/>
                <w:szCs w:val="21"/>
              </w:rPr>
              <w:t>共计2</w:t>
            </w:r>
            <w:r>
              <w:rPr>
                <w:color w:val="auto"/>
                <w:szCs w:val="21"/>
              </w:rPr>
              <w:t>0</w:t>
            </w:r>
            <w:r>
              <w:rPr>
                <w:rFonts w:hint="eastAsia"/>
                <w:color w:val="auto"/>
                <w:szCs w:val="21"/>
              </w:rPr>
              <w:t>只</w:t>
            </w:r>
            <w:r>
              <w:rPr>
                <w:color w:val="auto"/>
                <w:szCs w:val="21"/>
              </w:rPr>
              <w:t>，</w:t>
            </w:r>
            <w:r>
              <w:rPr>
                <w:rFonts w:hint="eastAsia"/>
                <w:color w:val="auto"/>
                <w:szCs w:val="21"/>
              </w:rPr>
              <w:t>产生量约计0.04t/a，属于危险废物，危废类别为H</w:t>
            </w:r>
            <w:r>
              <w:rPr>
                <w:color w:val="auto"/>
                <w:szCs w:val="21"/>
              </w:rPr>
              <w:t>W</w:t>
            </w:r>
            <w:r>
              <w:rPr>
                <w:rFonts w:hint="eastAsia"/>
                <w:color w:val="auto"/>
                <w:szCs w:val="21"/>
              </w:rPr>
              <w:t>49，废物代码为9</w:t>
            </w:r>
            <w:r>
              <w:rPr>
                <w:color w:val="auto"/>
                <w:szCs w:val="21"/>
              </w:rPr>
              <w:t>00-</w:t>
            </w:r>
            <w:r>
              <w:rPr>
                <w:rFonts w:hint="eastAsia"/>
                <w:color w:val="auto"/>
                <w:szCs w:val="21"/>
              </w:rPr>
              <w:t>041</w:t>
            </w:r>
            <w:r>
              <w:rPr>
                <w:color w:val="auto"/>
                <w:szCs w:val="21"/>
              </w:rPr>
              <w:t>-</w:t>
            </w:r>
            <w:r>
              <w:rPr>
                <w:rFonts w:hint="eastAsia"/>
                <w:color w:val="auto"/>
                <w:szCs w:val="21"/>
              </w:rPr>
              <w:t>49，</w:t>
            </w:r>
            <w:r>
              <w:rPr>
                <w:color w:val="auto"/>
                <w:szCs w:val="21"/>
              </w:rPr>
              <w:t>收集后暂存于危废仓库中，定期委托有资质单位处理</w:t>
            </w:r>
            <w:r>
              <w:rPr>
                <w:color w:val="auto"/>
                <w:szCs w:val="21"/>
              </w:rPr>
              <w:t>处置。</w:t>
            </w:r>
          </w:p>
          <w:p>
            <w:pPr>
              <w:numPr>
                <w:ilvl w:val="0"/>
                <w:numId w:val="6"/>
              </w:numPr>
              <w:spacing w:line="360" w:lineRule="auto"/>
              <w:ind w:left="40" w:firstLine="437"/>
              <w:rPr>
                <w:color w:val="auto"/>
                <w:szCs w:val="21"/>
              </w:rPr>
            </w:pPr>
            <w:r>
              <w:rPr>
                <w:color w:val="auto"/>
                <w:szCs w:val="21"/>
              </w:rPr>
              <w:t>废活性炭</w:t>
            </w:r>
            <w:r>
              <w:rPr>
                <w:rFonts w:hint="eastAsia"/>
                <w:color w:val="auto"/>
                <w:szCs w:val="21"/>
              </w:rPr>
              <w:t>S5</w:t>
            </w:r>
            <w:r>
              <w:rPr>
                <w:color w:val="auto"/>
                <w:szCs w:val="21"/>
              </w:rPr>
              <w:t>：</w:t>
            </w:r>
            <w:r>
              <w:rPr>
                <w:bCs/>
                <w:snapToGrid w:val="0"/>
                <w:color w:val="auto"/>
                <w:kern w:val="0"/>
                <w:szCs w:val="21"/>
              </w:rPr>
              <w:t>本项目使用二级活性炭吸附装置吸附产生非甲烷总烃。根据前文计算，本项目活性炭使用量为</w:t>
            </w:r>
            <w:r>
              <w:rPr>
                <w:rFonts w:hint="eastAsia"/>
                <w:bCs/>
                <w:snapToGrid w:val="0"/>
                <w:color w:val="auto"/>
                <w:kern w:val="0"/>
                <w:szCs w:val="21"/>
              </w:rPr>
              <w:t>1.6</w:t>
            </w:r>
            <w:r>
              <w:rPr>
                <w:bCs/>
                <w:snapToGrid w:val="0"/>
                <w:color w:val="auto"/>
                <w:kern w:val="0"/>
                <w:szCs w:val="21"/>
              </w:rPr>
              <w:t>t/a，有组织非甲烷总烃削减量为0.</w:t>
            </w:r>
            <w:r>
              <w:rPr>
                <w:rFonts w:hint="eastAsia"/>
                <w:bCs/>
                <w:snapToGrid w:val="0"/>
                <w:color w:val="auto"/>
                <w:kern w:val="0"/>
                <w:szCs w:val="21"/>
              </w:rPr>
              <w:t>0</w:t>
            </w:r>
            <w:r>
              <w:rPr>
                <w:rFonts w:hint="eastAsia"/>
                <w:bCs/>
                <w:snapToGrid w:val="0"/>
                <w:color w:val="auto"/>
                <w:kern w:val="0"/>
                <w:szCs w:val="21"/>
                <w:lang w:val="en-US" w:eastAsia="zh-CN"/>
              </w:rPr>
              <w:t>09</w:t>
            </w:r>
            <w:r>
              <w:rPr>
                <w:rFonts w:hint="eastAsia"/>
                <w:bCs/>
                <w:snapToGrid w:val="0"/>
                <w:color w:val="auto"/>
                <w:kern w:val="0"/>
                <w:szCs w:val="21"/>
              </w:rPr>
              <w:t>6</w:t>
            </w:r>
            <w:r>
              <w:rPr>
                <w:bCs/>
                <w:snapToGrid w:val="0"/>
                <w:color w:val="auto"/>
                <w:kern w:val="0"/>
                <w:szCs w:val="21"/>
              </w:rPr>
              <w:t>t/a，则废活性炭产生量为</w:t>
            </w:r>
            <w:r>
              <w:rPr>
                <w:rFonts w:hint="eastAsia"/>
                <w:bCs/>
                <w:snapToGrid w:val="0"/>
                <w:color w:val="auto"/>
                <w:kern w:val="0"/>
                <w:szCs w:val="21"/>
              </w:rPr>
              <w:t>1.6456</w:t>
            </w:r>
            <w:r>
              <w:rPr>
                <w:bCs/>
                <w:snapToGrid w:val="0"/>
                <w:color w:val="auto"/>
                <w:kern w:val="0"/>
                <w:szCs w:val="21"/>
              </w:rPr>
              <w:t>t/a，</w:t>
            </w:r>
            <w:r>
              <w:rPr>
                <w:color w:val="auto"/>
                <w:szCs w:val="21"/>
              </w:rPr>
              <w:t>属于危险废物，危废类别为HW49，废物代码为</w:t>
            </w:r>
            <w:r>
              <w:rPr>
                <w:color w:val="auto"/>
                <w:kern w:val="0"/>
                <w:szCs w:val="21"/>
              </w:rPr>
              <w:t>900-039-49</w:t>
            </w:r>
            <w:r>
              <w:rPr>
                <w:color w:val="auto"/>
                <w:szCs w:val="21"/>
              </w:rPr>
              <w:t>，收集后暂存于危废仓库，委托有资质单位处理处置。</w:t>
            </w:r>
          </w:p>
          <w:p>
            <w:pPr>
              <w:numPr>
                <w:ilvl w:val="0"/>
                <w:numId w:val="6"/>
              </w:numPr>
              <w:spacing w:line="360" w:lineRule="auto"/>
              <w:ind w:left="40" w:firstLine="437"/>
              <w:rPr>
                <w:color w:val="auto"/>
                <w:szCs w:val="21"/>
              </w:rPr>
            </w:pPr>
            <w:r>
              <w:rPr>
                <w:rFonts w:hint="eastAsia"/>
                <w:color w:val="auto"/>
                <w:szCs w:val="21"/>
              </w:rPr>
              <w:t>除尘灰S7：项目废气处理过程中会产生除尘灰，根据计算，除尘灰年产量约计0.0742t/a，外售处置。</w:t>
            </w:r>
          </w:p>
          <w:p>
            <w:pPr>
              <w:numPr>
                <w:ilvl w:val="0"/>
                <w:numId w:val="6"/>
              </w:numPr>
              <w:spacing w:line="360" w:lineRule="auto"/>
              <w:ind w:left="40" w:firstLine="437"/>
              <w:rPr>
                <w:color w:val="auto"/>
                <w:szCs w:val="21"/>
              </w:rPr>
            </w:pPr>
            <w:r>
              <w:rPr>
                <w:rFonts w:hint="eastAsia"/>
                <w:color w:val="auto"/>
                <w:szCs w:val="21"/>
              </w:rPr>
              <w:t>除尘灰S8：项目废气处理过程中会产生废旧布袋，年产量约计0.02t/a，外售处置。</w:t>
            </w:r>
          </w:p>
          <w:p>
            <w:pPr>
              <w:adjustRightInd w:val="0"/>
              <w:snapToGrid w:val="0"/>
              <w:spacing w:line="360" w:lineRule="auto"/>
              <w:ind w:left="460"/>
              <w:rPr>
                <w:b/>
                <w:color w:val="auto"/>
                <w:kern w:val="0"/>
                <w:szCs w:val="21"/>
              </w:rPr>
            </w:pPr>
            <w:r>
              <w:rPr>
                <w:b/>
                <w:color w:val="auto"/>
                <w:kern w:val="0"/>
                <w:szCs w:val="21"/>
              </w:rPr>
              <w:t>（2）固体废物处置利用情况</w:t>
            </w:r>
          </w:p>
          <w:p>
            <w:pPr>
              <w:adjustRightInd w:val="0"/>
              <w:snapToGrid w:val="0"/>
              <w:spacing w:line="360" w:lineRule="auto"/>
              <w:ind w:firstLine="420" w:firstLineChars="200"/>
              <w:rPr>
                <w:snapToGrid w:val="0"/>
                <w:color w:val="auto"/>
                <w:kern w:val="0"/>
                <w:szCs w:val="21"/>
              </w:rPr>
            </w:pPr>
            <w:r>
              <w:rPr>
                <w:snapToGrid w:val="0"/>
                <w:color w:val="auto"/>
                <w:kern w:val="0"/>
                <w:szCs w:val="21"/>
              </w:rPr>
              <w:t>本项目固体废物利用处置方式见表4-</w:t>
            </w:r>
            <w:r>
              <w:rPr>
                <w:rFonts w:hint="eastAsia"/>
                <w:snapToGrid w:val="0"/>
                <w:color w:val="auto"/>
                <w:kern w:val="0"/>
                <w:szCs w:val="21"/>
              </w:rPr>
              <w:t>22</w:t>
            </w:r>
            <w:r>
              <w:rPr>
                <w:snapToGrid w:val="0"/>
                <w:color w:val="auto"/>
                <w:kern w:val="0"/>
                <w:szCs w:val="21"/>
              </w:rPr>
              <w:t>。</w:t>
            </w:r>
          </w:p>
          <w:p>
            <w:pPr>
              <w:adjustRightInd w:val="0"/>
              <w:snapToGrid w:val="0"/>
              <w:jc w:val="center"/>
              <w:rPr>
                <w:b/>
                <w:snapToGrid w:val="0"/>
                <w:color w:val="auto"/>
                <w:kern w:val="0"/>
                <w:szCs w:val="21"/>
              </w:rPr>
            </w:pPr>
            <w:r>
              <w:rPr>
                <w:b/>
                <w:snapToGrid w:val="0"/>
                <w:color w:val="auto"/>
                <w:kern w:val="0"/>
                <w:szCs w:val="21"/>
              </w:rPr>
              <w:t>表4-</w:t>
            </w:r>
            <w:r>
              <w:rPr>
                <w:rFonts w:hint="eastAsia"/>
                <w:b/>
                <w:snapToGrid w:val="0"/>
                <w:color w:val="auto"/>
                <w:kern w:val="0"/>
                <w:szCs w:val="21"/>
              </w:rPr>
              <w:t>22</w:t>
            </w:r>
            <w:r>
              <w:rPr>
                <w:b/>
                <w:snapToGrid w:val="0"/>
                <w:color w:val="auto"/>
                <w:kern w:val="0"/>
                <w:szCs w:val="21"/>
              </w:rPr>
              <w:t xml:space="preserve">  本项目固体废物利用处置方式一览表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477"/>
              <w:gridCol w:w="1877"/>
              <w:gridCol w:w="1085"/>
              <w:gridCol w:w="1238"/>
              <w:gridCol w:w="462"/>
              <w:gridCol w:w="843"/>
              <w:gridCol w:w="1116"/>
              <w:gridCol w:w="1048"/>
              <w:gridCol w:w="95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62" w:type="pct"/>
                  <w:vAlign w:val="center"/>
                </w:tcPr>
                <w:p>
                  <w:pPr>
                    <w:pStyle w:val="87"/>
                    <w:adjustRightInd w:val="0"/>
                    <w:snapToGrid w:val="0"/>
                    <w:spacing w:line="240" w:lineRule="auto"/>
                    <w:rPr>
                      <w:b/>
                      <w:bCs w:val="0"/>
                      <w:color w:val="auto"/>
                      <w:sz w:val="18"/>
                      <w:szCs w:val="18"/>
                    </w:rPr>
                  </w:pPr>
                  <w:r>
                    <w:rPr>
                      <w:b/>
                      <w:bCs w:val="0"/>
                      <w:color w:val="auto"/>
                      <w:sz w:val="18"/>
                      <w:szCs w:val="18"/>
                    </w:rPr>
                    <w:t>序号</w:t>
                  </w:r>
                </w:p>
              </w:tc>
              <w:tc>
                <w:tcPr>
                  <w:tcW w:w="1031" w:type="pct"/>
                  <w:vAlign w:val="center"/>
                </w:tcPr>
                <w:p>
                  <w:pPr>
                    <w:pStyle w:val="87"/>
                    <w:adjustRightInd w:val="0"/>
                    <w:snapToGrid w:val="0"/>
                    <w:spacing w:line="240" w:lineRule="auto"/>
                    <w:rPr>
                      <w:b/>
                      <w:bCs w:val="0"/>
                      <w:color w:val="auto"/>
                      <w:sz w:val="18"/>
                      <w:szCs w:val="18"/>
                    </w:rPr>
                  </w:pPr>
                  <w:r>
                    <w:rPr>
                      <w:b/>
                      <w:bCs w:val="0"/>
                      <w:color w:val="auto"/>
                      <w:sz w:val="18"/>
                      <w:szCs w:val="18"/>
                    </w:rPr>
                    <w:t>固废名称</w:t>
                  </w:r>
                </w:p>
              </w:tc>
              <w:tc>
                <w:tcPr>
                  <w:tcW w:w="596" w:type="pct"/>
                  <w:vAlign w:val="center"/>
                </w:tcPr>
                <w:p>
                  <w:pPr>
                    <w:pStyle w:val="87"/>
                    <w:adjustRightInd w:val="0"/>
                    <w:snapToGrid w:val="0"/>
                    <w:spacing w:line="240" w:lineRule="auto"/>
                    <w:rPr>
                      <w:b/>
                      <w:bCs w:val="0"/>
                      <w:color w:val="auto"/>
                      <w:sz w:val="18"/>
                      <w:szCs w:val="18"/>
                    </w:rPr>
                  </w:pPr>
                  <w:r>
                    <w:rPr>
                      <w:b/>
                      <w:bCs w:val="0"/>
                      <w:color w:val="auto"/>
                      <w:sz w:val="18"/>
                      <w:szCs w:val="18"/>
                    </w:rPr>
                    <w:t>产生工序</w:t>
                  </w:r>
                </w:p>
              </w:tc>
              <w:tc>
                <w:tcPr>
                  <w:tcW w:w="680" w:type="pct"/>
                  <w:vAlign w:val="center"/>
                </w:tcPr>
                <w:p>
                  <w:pPr>
                    <w:pStyle w:val="87"/>
                    <w:adjustRightInd w:val="0"/>
                    <w:snapToGrid w:val="0"/>
                    <w:spacing w:line="240" w:lineRule="auto"/>
                    <w:rPr>
                      <w:b/>
                      <w:bCs w:val="0"/>
                      <w:color w:val="auto"/>
                      <w:sz w:val="18"/>
                      <w:szCs w:val="18"/>
                    </w:rPr>
                  </w:pPr>
                  <w:r>
                    <w:rPr>
                      <w:b/>
                      <w:bCs w:val="0"/>
                      <w:color w:val="auto"/>
                      <w:sz w:val="18"/>
                      <w:szCs w:val="18"/>
                    </w:rPr>
                    <w:t>属性</w:t>
                  </w:r>
                </w:p>
              </w:tc>
              <w:tc>
                <w:tcPr>
                  <w:tcW w:w="254" w:type="pct"/>
                  <w:vAlign w:val="center"/>
                </w:tcPr>
                <w:p>
                  <w:pPr>
                    <w:pStyle w:val="87"/>
                    <w:adjustRightInd w:val="0"/>
                    <w:snapToGrid w:val="0"/>
                    <w:spacing w:line="240" w:lineRule="auto"/>
                    <w:rPr>
                      <w:b/>
                      <w:bCs w:val="0"/>
                      <w:color w:val="auto"/>
                      <w:sz w:val="18"/>
                      <w:szCs w:val="18"/>
                    </w:rPr>
                  </w:pPr>
                  <w:r>
                    <w:rPr>
                      <w:b/>
                      <w:bCs w:val="0"/>
                      <w:color w:val="auto"/>
                      <w:sz w:val="18"/>
                      <w:szCs w:val="18"/>
                    </w:rPr>
                    <w:t>形态</w:t>
                  </w:r>
                </w:p>
              </w:tc>
              <w:tc>
                <w:tcPr>
                  <w:tcW w:w="463" w:type="pct"/>
                  <w:vAlign w:val="center"/>
                </w:tcPr>
                <w:p>
                  <w:pPr>
                    <w:pStyle w:val="87"/>
                    <w:adjustRightInd w:val="0"/>
                    <w:snapToGrid w:val="0"/>
                    <w:spacing w:line="240" w:lineRule="auto"/>
                    <w:rPr>
                      <w:b/>
                      <w:bCs w:val="0"/>
                      <w:color w:val="auto"/>
                      <w:sz w:val="18"/>
                      <w:szCs w:val="18"/>
                    </w:rPr>
                  </w:pPr>
                  <w:r>
                    <w:rPr>
                      <w:b/>
                      <w:bCs w:val="0"/>
                      <w:color w:val="auto"/>
                      <w:sz w:val="18"/>
                      <w:szCs w:val="18"/>
                    </w:rPr>
                    <w:t>废物类别</w:t>
                  </w:r>
                </w:p>
              </w:tc>
              <w:tc>
                <w:tcPr>
                  <w:tcW w:w="613" w:type="pct"/>
                  <w:vAlign w:val="center"/>
                </w:tcPr>
                <w:p>
                  <w:pPr>
                    <w:pStyle w:val="87"/>
                    <w:adjustRightInd w:val="0"/>
                    <w:snapToGrid w:val="0"/>
                    <w:spacing w:line="240" w:lineRule="auto"/>
                    <w:rPr>
                      <w:b/>
                      <w:bCs w:val="0"/>
                      <w:color w:val="auto"/>
                      <w:sz w:val="18"/>
                      <w:szCs w:val="18"/>
                    </w:rPr>
                  </w:pPr>
                  <w:r>
                    <w:rPr>
                      <w:b/>
                      <w:bCs w:val="0"/>
                      <w:color w:val="auto"/>
                      <w:sz w:val="18"/>
                      <w:szCs w:val="18"/>
                    </w:rPr>
                    <w:t>废物代码</w:t>
                  </w:r>
                </w:p>
              </w:tc>
              <w:tc>
                <w:tcPr>
                  <w:tcW w:w="575" w:type="pct"/>
                  <w:vAlign w:val="center"/>
                </w:tcPr>
                <w:p>
                  <w:pPr>
                    <w:pStyle w:val="87"/>
                    <w:adjustRightInd w:val="0"/>
                    <w:snapToGrid w:val="0"/>
                    <w:spacing w:line="240" w:lineRule="auto"/>
                    <w:rPr>
                      <w:b/>
                      <w:bCs w:val="0"/>
                      <w:color w:val="auto"/>
                      <w:sz w:val="18"/>
                      <w:szCs w:val="18"/>
                    </w:rPr>
                  </w:pPr>
                  <w:r>
                    <w:rPr>
                      <w:b/>
                      <w:bCs w:val="0"/>
                      <w:color w:val="auto"/>
                      <w:sz w:val="18"/>
                      <w:szCs w:val="18"/>
                    </w:rPr>
                    <w:t>产生量t/a</w:t>
                  </w:r>
                </w:p>
              </w:tc>
              <w:tc>
                <w:tcPr>
                  <w:tcW w:w="523" w:type="pct"/>
                  <w:vAlign w:val="center"/>
                </w:tcPr>
                <w:p>
                  <w:pPr>
                    <w:pStyle w:val="87"/>
                    <w:adjustRightInd w:val="0"/>
                    <w:snapToGrid w:val="0"/>
                    <w:spacing w:line="240" w:lineRule="auto"/>
                    <w:rPr>
                      <w:b/>
                      <w:bCs w:val="0"/>
                      <w:color w:val="auto"/>
                      <w:sz w:val="18"/>
                      <w:szCs w:val="18"/>
                    </w:rPr>
                  </w:pPr>
                  <w:r>
                    <w:rPr>
                      <w:b/>
                      <w:bCs w:val="0"/>
                      <w:color w:val="auto"/>
                      <w:sz w:val="18"/>
                      <w:szCs w:val="18"/>
                    </w:rPr>
                    <w:t>处置方式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62" w:type="pct"/>
                  <w:vAlign w:val="center"/>
                </w:tcPr>
                <w:p>
                  <w:pPr>
                    <w:pStyle w:val="87"/>
                    <w:adjustRightInd w:val="0"/>
                    <w:snapToGrid w:val="0"/>
                    <w:spacing w:line="240" w:lineRule="auto"/>
                    <w:rPr>
                      <w:color w:val="auto"/>
                      <w:sz w:val="18"/>
                      <w:szCs w:val="18"/>
                    </w:rPr>
                  </w:pPr>
                  <w:r>
                    <w:rPr>
                      <w:color w:val="auto"/>
                      <w:sz w:val="18"/>
                      <w:szCs w:val="18"/>
                    </w:rPr>
                    <w:t>1</w:t>
                  </w:r>
                </w:p>
              </w:tc>
              <w:tc>
                <w:tcPr>
                  <w:tcW w:w="1031" w:type="pct"/>
                  <w:vAlign w:val="center"/>
                </w:tcPr>
                <w:p>
                  <w:pPr>
                    <w:pStyle w:val="87"/>
                    <w:adjustRightInd w:val="0"/>
                    <w:snapToGrid w:val="0"/>
                    <w:spacing w:line="240" w:lineRule="auto"/>
                    <w:rPr>
                      <w:color w:val="auto"/>
                      <w:sz w:val="18"/>
                      <w:szCs w:val="18"/>
                    </w:rPr>
                  </w:pPr>
                  <w:r>
                    <w:rPr>
                      <w:color w:val="auto"/>
                      <w:sz w:val="18"/>
                      <w:szCs w:val="18"/>
                    </w:rPr>
                    <w:t>生活垃圾</w:t>
                  </w:r>
                  <w:r>
                    <w:rPr>
                      <w:rFonts w:hint="eastAsia"/>
                      <w:color w:val="auto"/>
                      <w:sz w:val="18"/>
                      <w:szCs w:val="18"/>
                    </w:rPr>
                    <w:t>S4</w:t>
                  </w:r>
                </w:p>
              </w:tc>
              <w:tc>
                <w:tcPr>
                  <w:tcW w:w="596" w:type="pct"/>
                  <w:vAlign w:val="center"/>
                </w:tcPr>
                <w:p>
                  <w:pPr>
                    <w:pStyle w:val="87"/>
                    <w:adjustRightInd w:val="0"/>
                    <w:snapToGrid w:val="0"/>
                    <w:spacing w:line="240" w:lineRule="auto"/>
                    <w:rPr>
                      <w:color w:val="auto"/>
                      <w:sz w:val="18"/>
                      <w:szCs w:val="18"/>
                    </w:rPr>
                  </w:pPr>
                  <w:r>
                    <w:rPr>
                      <w:color w:val="auto"/>
                      <w:sz w:val="18"/>
                      <w:szCs w:val="18"/>
                    </w:rPr>
                    <w:t>员工生活</w:t>
                  </w:r>
                </w:p>
              </w:tc>
              <w:tc>
                <w:tcPr>
                  <w:tcW w:w="680" w:type="pct"/>
                  <w:vAlign w:val="center"/>
                </w:tcPr>
                <w:p>
                  <w:pPr>
                    <w:pStyle w:val="87"/>
                    <w:adjustRightInd w:val="0"/>
                    <w:snapToGrid w:val="0"/>
                    <w:spacing w:line="240" w:lineRule="auto"/>
                    <w:rPr>
                      <w:color w:val="auto"/>
                      <w:sz w:val="18"/>
                      <w:szCs w:val="18"/>
                    </w:rPr>
                  </w:pPr>
                  <w:r>
                    <w:rPr>
                      <w:color w:val="auto"/>
                      <w:sz w:val="18"/>
                      <w:szCs w:val="18"/>
                    </w:rPr>
                    <w:t>一般固废</w:t>
                  </w:r>
                </w:p>
              </w:tc>
              <w:tc>
                <w:tcPr>
                  <w:tcW w:w="254" w:type="pct"/>
                  <w:vAlign w:val="center"/>
                </w:tcPr>
                <w:p>
                  <w:pPr>
                    <w:pStyle w:val="87"/>
                    <w:adjustRightInd w:val="0"/>
                    <w:snapToGrid w:val="0"/>
                    <w:spacing w:line="240" w:lineRule="auto"/>
                    <w:rPr>
                      <w:color w:val="auto"/>
                      <w:sz w:val="18"/>
                      <w:szCs w:val="18"/>
                    </w:rPr>
                  </w:pPr>
                  <w:r>
                    <w:rPr>
                      <w:color w:val="auto"/>
                      <w:sz w:val="18"/>
                      <w:szCs w:val="18"/>
                    </w:rPr>
                    <w:t>固</w:t>
                  </w:r>
                </w:p>
              </w:tc>
              <w:tc>
                <w:tcPr>
                  <w:tcW w:w="463" w:type="pct"/>
                  <w:vAlign w:val="center"/>
                </w:tcPr>
                <w:p>
                  <w:pPr>
                    <w:pStyle w:val="87"/>
                    <w:adjustRightInd w:val="0"/>
                    <w:snapToGrid w:val="0"/>
                    <w:spacing w:line="240" w:lineRule="auto"/>
                    <w:rPr>
                      <w:color w:val="auto"/>
                      <w:sz w:val="18"/>
                      <w:szCs w:val="18"/>
                    </w:rPr>
                  </w:pPr>
                  <w:r>
                    <w:rPr>
                      <w:color w:val="auto"/>
                      <w:sz w:val="18"/>
                      <w:szCs w:val="18"/>
                    </w:rPr>
                    <w:t>99</w:t>
                  </w:r>
                </w:p>
              </w:tc>
              <w:tc>
                <w:tcPr>
                  <w:tcW w:w="613" w:type="pct"/>
                  <w:vAlign w:val="center"/>
                </w:tcPr>
                <w:p>
                  <w:pPr>
                    <w:pStyle w:val="87"/>
                    <w:adjustRightInd w:val="0"/>
                    <w:snapToGrid w:val="0"/>
                    <w:spacing w:line="240" w:lineRule="auto"/>
                    <w:rPr>
                      <w:color w:val="auto"/>
                      <w:sz w:val="18"/>
                      <w:szCs w:val="18"/>
                    </w:rPr>
                  </w:pPr>
                  <w:r>
                    <w:rPr>
                      <w:color w:val="auto"/>
                      <w:sz w:val="18"/>
                      <w:szCs w:val="18"/>
                    </w:rPr>
                    <w:t>900-999-99</w:t>
                  </w:r>
                </w:p>
              </w:tc>
              <w:tc>
                <w:tcPr>
                  <w:tcW w:w="575" w:type="pct"/>
                  <w:vAlign w:val="center"/>
                </w:tcPr>
                <w:p>
                  <w:pPr>
                    <w:pStyle w:val="87"/>
                    <w:adjustRightInd w:val="0"/>
                    <w:snapToGrid w:val="0"/>
                    <w:spacing w:line="240" w:lineRule="auto"/>
                    <w:rPr>
                      <w:color w:val="auto"/>
                      <w:sz w:val="18"/>
                      <w:szCs w:val="18"/>
                    </w:rPr>
                  </w:pPr>
                  <w:r>
                    <w:rPr>
                      <w:rFonts w:hint="eastAsia"/>
                      <w:color w:val="auto"/>
                      <w:sz w:val="18"/>
                      <w:szCs w:val="18"/>
                    </w:rPr>
                    <w:t>3</w:t>
                  </w:r>
                </w:p>
              </w:tc>
              <w:tc>
                <w:tcPr>
                  <w:tcW w:w="523" w:type="pct"/>
                  <w:vAlign w:val="center"/>
                </w:tcPr>
                <w:p>
                  <w:pPr>
                    <w:pStyle w:val="87"/>
                    <w:adjustRightInd w:val="0"/>
                    <w:snapToGrid w:val="0"/>
                    <w:spacing w:line="240" w:lineRule="auto"/>
                    <w:rPr>
                      <w:color w:val="auto"/>
                      <w:sz w:val="18"/>
                      <w:szCs w:val="18"/>
                    </w:rPr>
                  </w:pPr>
                  <w:r>
                    <w:rPr>
                      <w:color w:val="auto"/>
                      <w:sz w:val="18"/>
                      <w:szCs w:val="18"/>
                    </w:rPr>
                    <w:t>环卫清运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62" w:type="pct"/>
                  <w:vAlign w:val="center"/>
                </w:tcPr>
                <w:p>
                  <w:pPr>
                    <w:pStyle w:val="87"/>
                    <w:adjustRightInd w:val="0"/>
                    <w:snapToGrid w:val="0"/>
                    <w:spacing w:line="240" w:lineRule="auto"/>
                    <w:rPr>
                      <w:color w:val="auto"/>
                      <w:sz w:val="18"/>
                      <w:szCs w:val="18"/>
                    </w:rPr>
                  </w:pPr>
                  <w:r>
                    <w:rPr>
                      <w:rFonts w:hint="eastAsia"/>
                      <w:color w:val="auto"/>
                      <w:sz w:val="18"/>
                      <w:szCs w:val="18"/>
                    </w:rPr>
                    <w:t>2</w:t>
                  </w:r>
                </w:p>
              </w:tc>
              <w:tc>
                <w:tcPr>
                  <w:tcW w:w="1031" w:type="pct"/>
                  <w:vAlign w:val="center"/>
                </w:tcPr>
                <w:p>
                  <w:pPr>
                    <w:pStyle w:val="87"/>
                    <w:adjustRightInd w:val="0"/>
                    <w:snapToGrid w:val="0"/>
                    <w:spacing w:line="240" w:lineRule="auto"/>
                    <w:rPr>
                      <w:color w:val="auto"/>
                      <w:sz w:val="18"/>
                      <w:szCs w:val="18"/>
                    </w:rPr>
                  </w:pPr>
                  <w:r>
                    <w:rPr>
                      <w:color w:val="auto"/>
                      <w:sz w:val="18"/>
                      <w:szCs w:val="18"/>
                    </w:rPr>
                    <w:t>废</w:t>
                  </w:r>
                  <w:r>
                    <w:rPr>
                      <w:rFonts w:hint="eastAsia"/>
                      <w:color w:val="auto"/>
                      <w:sz w:val="18"/>
                      <w:szCs w:val="18"/>
                    </w:rPr>
                    <w:t>包装桶S6</w:t>
                  </w:r>
                </w:p>
              </w:tc>
              <w:tc>
                <w:tcPr>
                  <w:tcW w:w="596" w:type="pct"/>
                  <w:vAlign w:val="center"/>
                </w:tcPr>
                <w:p>
                  <w:pPr>
                    <w:pStyle w:val="87"/>
                    <w:adjustRightInd w:val="0"/>
                    <w:snapToGrid w:val="0"/>
                    <w:spacing w:line="240" w:lineRule="auto"/>
                    <w:rPr>
                      <w:color w:val="auto"/>
                      <w:sz w:val="18"/>
                      <w:szCs w:val="18"/>
                    </w:rPr>
                  </w:pPr>
                  <w:r>
                    <w:rPr>
                      <w:rFonts w:hint="eastAsia"/>
                      <w:color w:val="auto"/>
                      <w:sz w:val="18"/>
                      <w:szCs w:val="18"/>
                    </w:rPr>
                    <w:t>包装硫化剂</w:t>
                  </w:r>
                </w:p>
              </w:tc>
              <w:tc>
                <w:tcPr>
                  <w:tcW w:w="680" w:type="pct"/>
                  <w:vMerge w:val="restart"/>
                  <w:vAlign w:val="center"/>
                </w:tcPr>
                <w:p>
                  <w:pPr>
                    <w:pStyle w:val="87"/>
                    <w:adjustRightInd w:val="0"/>
                    <w:snapToGrid w:val="0"/>
                    <w:spacing w:line="240" w:lineRule="auto"/>
                    <w:rPr>
                      <w:color w:val="auto"/>
                      <w:sz w:val="18"/>
                      <w:szCs w:val="18"/>
                    </w:rPr>
                  </w:pPr>
                  <w:r>
                    <w:rPr>
                      <w:rFonts w:hint="eastAsia"/>
                      <w:color w:val="auto"/>
                      <w:sz w:val="18"/>
                      <w:szCs w:val="18"/>
                    </w:rPr>
                    <w:t>危险废物</w:t>
                  </w:r>
                </w:p>
              </w:tc>
              <w:tc>
                <w:tcPr>
                  <w:tcW w:w="254" w:type="pct"/>
                  <w:vAlign w:val="center"/>
                </w:tcPr>
                <w:p>
                  <w:pPr>
                    <w:pStyle w:val="87"/>
                    <w:adjustRightInd w:val="0"/>
                    <w:snapToGrid w:val="0"/>
                    <w:spacing w:line="240" w:lineRule="auto"/>
                    <w:rPr>
                      <w:color w:val="auto"/>
                      <w:sz w:val="18"/>
                      <w:szCs w:val="18"/>
                    </w:rPr>
                  </w:pPr>
                  <w:r>
                    <w:rPr>
                      <w:color w:val="auto"/>
                      <w:sz w:val="18"/>
                      <w:szCs w:val="18"/>
                    </w:rPr>
                    <w:t>固</w:t>
                  </w:r>
                </w:p>
              </w:tc>
              <w:tc>
                <w:tcPr>
                  <w:tcW w:w="463" w:type="pct"/>
                  <w:vAlign w:val="center"/>
                </w:tcPr>
                <w:p>
                  <w:pPr>
                    <w:pStyle w:val="87"/>
                    <w:adjustRightInd w:val="0"/>
                    <w:snapToGrid w:val="0"/>
                    <w:spacing w:line="240" w:lineRule="auto"/>
                    <w:rPr>
                      <w:color w:val="auto"/>
                      <w:sz w:val="18"/>
                      <w:szCs w:val="18"/>
                    </w:rPr>
                  </w:pPr>
                  <w:r>
                    <w:rPr>
                      <w:color w:val="auto"/>
                      <w:sz w:val="18"/>
                      <w:szCs w:val="18"/>
                    </w:rPr>
                    <w:t>HW49</w:t>
                  </w:r>
                </w:p>
              </w:tc>
              <w:tc>
                <w:tcPr>
                  <w:tcW w:w="613" w:type="pct"/>
                  <w:vAlign w:val="center"/>
                </w:tcPr>
                <w:p>
                  <w:pPr>
                    <w:pStyle w:val="87"/>
                    <w:adjustRightInd w:val="0"/>
                    <w:snapToGrid w:val="0"/>
                    <w:spacing w:line="240" w:lineRule="auto"/>
                    <w:rPr>
                      <w:color w:val="auto"/>
                      <w:sz w:val="18"/>
                      <w:szCs w:val="18"/>
                    </w:rPr>
                  </w:pPr>
                  <w:r>
                    <w:rPr>
                      <w:color w:val="auto"/>
                      <w:sz w:val="18"/>
                      <w:szCs w:val="18"/>
                    </w:rPr>
                    <w:t>900-041-49</w:t>
                  </w:r>
                </w:p>
              </w:tc>
              <w:tc>
                <w:tcPr>
                  <w:tcW w:w="575" w:type="pct"/>
                  <w:vAlign w:val="center"/>
                </w:tcPr>
                <w:p>
                  <w:pPr>
                    <w:pStyle w:val="87"/>
                    <w:adjustRightInd w:val="0"/>
                    <w:snapToGrid w:val="0"/>
                    <w:spacing w:line="240" w:lineRule="auto"/>
                    <w:rPr>
                      <w:color w:val="auto"/>
                      <w:sz w:val="18"/>
                      <w:szCs w:val="18"/>
                    </w:rPr>
                  </w:pPr>
                  <w:r>
                    <w:rPr>
                      <w:rFonts w:hint="eastAsia"/>
                      <w:color w:val="auto"/>
                      <w:sz w:val="18"/>
                      <w:szCs w:val="18"/>
                    </w:rPr>
                    <w:t>0.04</w:t>
                  </w:r>
                </w:p>
              </w:tc>
              <w:tc>
                <w:tcPr>
                  <w:tcW w:w="523" w:type="pct"/>
                  <w:vMerge w:val="restart"/>
                  <w:vAlign w:val="center"/>
                </w:tcPr>
                <w:p>
                  <w:pPr>
                    <w:pStyle w:val="87"/>
                    <w:adjustRightInd w:val="0"/>
                    <w:snapToGrid w:val="0"/>
                    <w:spacing w:line="240" w:lineRule="auto"/>
                    <w:rPr>
                      <w:color w:val="auto"/>
                      <w:sz w:val="18"/>
                      <w:szCs w:val="18"/>
                    </w:rPr>
                  </w:pPr>
                  <w:r>
                    <w:rPr>
                      <w:rFonts w:hint="eastAsia"/>
                      <w:color w:val="auto"/>
                      <w:sz w:val="18"/>
                      <w:szCs w:val="18"/>
                    </w:rPr>
                    <w:t>委托有资质单位处理处置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62" w:type="pct"/>
                  <w:vAlign w:val="center"/>
                </w:tcPr>
                <w:p>
                  <w:pPr>
                    <w:pStyle w:val="87"/>
                    <w:adjustRightInd w:val="0"/>
                    <w:snapToGrid w:val="0"/>
                    <w:spacing w:line="240" w:lineRule="auto"/>
                    <w:rPr>
                      <w:color w:val="auto"/>
                      <w:sz w:val="18"/>
                      <w:szCs w:val="18"/>
                    </w:rPr>
                  </w:pPr>
                  <w:r>
                    <w:rPr>
                      <w:rFonts w:hint="eastAsia"/>
                      <w:color w:val="auto"/>
                      <w:sz w:val="18"/>
                      <w:szCs w:val="18"/>
                    </w:rPr>
                    <w:t>3</w:t>
                  </w:r>
                </w:p>
              </w:tc>
              <w:tc>
                <w:tcPr>
                  <w:tcW w:w="1031" w:type="pct"/>
                  <w:vAlign w:val="center"/>
                </w:tcPr>
                <w:p>
                  <w:pPr>
                    <w:pStyle w:val="87"/>
                    <w:adjustRightInd w:val="0"/>
                    <w:snapToGrid w:val="0"/>
                    <w:spacing w:line="240" w:lineRule="auto"/>
                    <w:rPr>
                      <w:color w:val="auto"/>
                      <w:sz w:val="18"/>
                      <w:szCs w:val="18"/>
                    </w:rPr>
                  </w:pPr>
                  <w:r>
                    <w:rPr>
                      <w:rFonts w:hint="eastAsia"/>
                      <w:color w:val="auto"/>
                      <w:sz w:val="18"/>
                      <w:szCs w:val="18"/>
                    </w:rPr>
                    <w:t>废活性炭S5</w:t>
                  </w:r>
                </w:p>
              </w:tc>
              <w:tc>
                <w:tcPr>
                  <w:tcW w:w="596" w:type="pct"/>
                  <w:vAlign w:val="center"/>
                </w:tcPr>
                <w:p>
                  <w:pPr>
                    <w:pStyle w:val="87"/>
                    <w:adjustRightInd w:val="0"/>
                    <w:snapToGrid w:val="0"/>
                    <w:spacing w:line="240" w:lineRule="auto"/>
                    <w:rPr>
                      <w:color w:val="auto"/>
                      <w:sz w:val="18"/>
                      <w:szCs w:val="18"/>
                    </w:rPr>
                  </w:pPr>
                  <w:r>
                    <w:rPr>
                      <w:rFonts w:hint="eastAsia"/>
                      <w:color w:val="auto"/>
                      <w:sz w:val="18"/>
                      <w:szCs w:val="18"/>
                    </w:rPr>
                    <w:t>废气处理</w:t>
                  </w:r>
                </w:p>
              </w:tc>
              <w:tc>
                <w:tcPr>
                  <w:tcW w:w="680" w:type="pct"/>
                  <w:vMerge w:val="continue"/>
                  <w:vAlign w:val="center"/>
                </w:tcPr>
                <w:p>
                  <w:pPr>
                    <w:pStyle w:val="87"/>
                    <w:adjustRightInd w:val="0"/>
                    <w:snapToGrid w:val="0"/>
                    <w:spacing w:line="240" w:lineRule="auto"/>
                    <w:rPr>
                      <w:color w:val="auto"/>
                      <w:sz w:val="18"/>
                      <w:szCs w:val="18"/>
                    </w:rPr>
                  </w:pPr>
                </w:p>
              </w:tc>
              <w:tc>
                <w:tcPr>
                  <w:tcW w:w="254" w:type="pct"/>
                  <w:vAlign w:val="center"/>
                </w:tcPr>
                <w:p>
                  <w:pPr>
                    <w:pStyle w:val="87"/>
                    <w:adjustRightInd w:val="0"/>
                    <w:snapToGrid w:val="0"/>
                    <w:spacing w:line="240" w:lineRule="auto"/>
                    <w:rPr>
                      <w:color w:val="auto"/>
                      <w:sz w:val="18"/>
                      <w:szCs w:val="18"/>
                    </w:rPr>
                  </w:pPr>
                  <w:r>
                    <w:rPr>
                      <w:color w:val="auto"/>
                      <w:sz w:val="18"/>
                      <w:szCs w:val="18"/>
                    </w:rPr>
                    <w:t>固</w:t>
                  </w:r>
                </w:p>
              </w:tc>
              <w:tc>
                <w:tcPr>
                  <w:tcW w:w="463" w:type="pct"/>
                  <w:vAlign w:val="center"/>
                </w:tcPr>
                <w:p>
                  <w:pPr>
                    <w:pStyle w:val="87"/>
                    <w:adjustRightInd w:val="0"/>
                    <w:snapToGrid w:val="0"/>
                    <w:spacing w:line="240" w:lineRule="auto"/>
                    <w:rPr>
                      <w:color w:val="auto"/>
                      <w:sz w:val="18"/>
                      <w:szCs w:val="18"/>
                    </w:rPr>
                  </w:pPr>
                  <w:r>
                    <w:rPr>
                      <w:color w:val="auto"/>
                      <w:sz w:val="18"/>
                      <w:szCs w:val="18"/>
                    </w:rPr>
                    <w:t>HW49</w:t>
                  </w:r>
                </w:p>
              </w:tc>
              <w:tc>
                <w:tcPr>
                  <w:tcW w:w="613" w:type="pct"/>
                  <w:vAlign w:val="center"/>
                </w:tcPr>
                <w:p>
                  <w:pPr>
                    <w:pStyle w:val="87"/>
                    <w:adjustRightInd w:val="0"/>
                    <w:snapToGrid w:val="0"/>
                    <w:spacing w:line="240" w:lineRule="auto"/>
                    <w:rPr>
                      <w:color w:val="auto"/>
                      <w:sz w:val="18"/>
                      <w:szCs w:val="18"/>
                    </w:rPr>
                  </w:pPr>
                  <w:r>
                    <w:rPr>
                      <w:color w:val="auto"/>
                      <w:sz w:val="18"/>
                      <w:szCs w:val="18"/>
                    </w:rPr>
                    <w:t>900-039-49</w:t>
                  </w:r>
                </w:p>
              </w:tc>
              <w:tc>
                <w:tcPr>
                  <w:tcW w:w="575" w:type="pct"/>
                  <w:vAlign w:val="center"/>
                </w:tcPr>
                <w:p>
                  <w:pPr>
                    <w:pStyle w:val="87"/>
                    <w:adjustRightInd w:val="0"/>
                    <w:snapToGrid w:val="0"/>
                    <w:spacing w:line="240" w:lineRule="auto"/>
                    <w:rPr>
                      <w:color w:val="auto"/>
                      <w:sz w:val="18"/>
                      <w:szCs w:val="18"/>
                    </w:rPr>
                  </w:pPr>
                  <w:r>
                    <w:rPr>
                      <w:rFonts w:hint="eastAsia"/>
                      <w:color w:val="auto"/>
                      <w:sz w:val="18"/>
                      <w:szCs w:val="18"/>
                    </w:rPr>
                    <w:t>1.6456</w:t>
                  </w:r>
                </w:p>
              </w:tc>
              <w:tc>
                <w:tcPr>
                  <w:tcW w:w="523" w:type="pct"/>
                  <w:vMerge w:val="continue"/>
                  <w:vAlign w:val="center"/>
                </w:tcPr>
                <w:p>
                  <w:pPr>
                    <w:pStyle w:val="87"/>
                    <w:adjustRightInd w:val="0"/>
                    <w:snapToGrid w:val="0"/>
                    <w:spacing w:line="240" w:lineRule="auto"/>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62" w:type="pct"/>
                  <w:vAlign w:val="center"/>
                </w:tcPr>
                <w:p>
                  <w:pPr>
                    <w:pStyle w:val="87"/>
                    <w:adjustRightInd w:val="0"/>
                    <w:snapToGrid w:val="0"/>
                    <w:spacing w:line="240" w:lineRule="auto"/>
                    <w:rPr>
                      <w:color w:val="auto"/>
                      <w:sz w:val="18"/>
                      <w:szCs w:val="18"/>
                    </w:rPr>
                  </w:pPr>
                  <w:r>
                    <w:rPr>
                      <w:rFonts w:hint="eastAsia"/>
                      <w:color w:val="auto"/>
                      <w:sz w:val="18"/>
                      <w:szCs w:val="18"/>
                    </w:rPr>
                    <w:t>4</w:t>
                  </w:r>
                </w:p>
              </w:tc>
              <w:tc>
                <w:tcPr>
                  <w:tcW w:w="1031" w:type="pct"/>
                  <w:vAlign w:val="center"/>
                </w:tcPr>
                <w:p>
                  <w:pPr>
                    <w:pStyle w:val="87"/>
                    <w:adjustRightInd w:val="0"/>
                    <w:snapToGrid w:val="0"/>
                    <w:spacing w:line="240" w:lineRule="auto"/>
                    <w:rPr>
                      <w:color w:val="auto"/>
                      <w:sz w:val="18"/>
                      <w:szCs w:val="18"/>
                    </w:rPr>
                  </w:pPr>
                  <w:r>
                    <w:rPr>
                      <w:rFonts w:hint="eastAsia"/>
                      <w:color w:val="auto"/>
                      <w:sz w:val="18"/>
                      <w:szCs w:val="18"/>
                    </w:rPr>
                    <w:t>废包装材料S3</w:t>
                  </w:r>
                </w:p>
              </w:tc>
              <w:tc>
                <w:tcPr>
                  <w:tcW w:w="596" w:type="pct"/>
                  <w:vAlign w:val="center"/>
                </w:tcPr>
                <w:p>
                  <w:pPr>
                    <w:pStyle w:val="87"/>
                    <w:adjustRightInd w:val="0"/>
                    <w:snapToGrid w:val="0"/>
                    <w:spacing w:line="240" w:lineRule="auto"/>
                    <w:rPr>
                      <w:color w:val="auto"/>
                      <w:sz w:val="18"/>
                      <w:szCs w:val="18"/>
                    </w:rPr>
                  </w:pPr>
                  <w:r>
                    <w:rPr>
                      <w:rFonts w:hint="eastAsia"/>
                      <w:color w:val="auto"/>
                      <w:sz w:val="18"/>
                      <w:szCs w:val="18"/>
                    </w:rPr>
                    <w:t>包装</w:t>
                  </w:r>
                </w:p>
              </w:tc>
              <w:tc>
                <w:tcPr>
                  <w:tcW w:w="680" w:type="pct"/>
                  <w:vMerge w:val="restart"/>
                  <w:vAlign w:val="center"/>
                </w:tcPr>
                <w:p>
                  <w:pPr>
                    <w:pStyle w:val="87"/>
                    <w:adjustRightInd w:val="0"/>
                    <w:snapToGrid w:val="0"/>
                    <w:spacing w:line="240" w:lineRule="auto"/>
                    <w:rPr>
                      <w:color w:val="auto"/>
                      <w:sz w:val="18"/>
                      <w:szCs w:val="18"/>
                    </w:rPr>
                  </w:pPr>
                  <w:r>
                    <w:rPr>
                      <w:rFonts w:hint="eastAsia"/>
                      <w:color w:val="auto"/>
                      <w:sz w:val="18"/>
                      <w:szCs w:val="18"/>
                    </w:rPr>
                    <w:t>一般工业固废</w:t>
                  </w:r>
                </w:p>
              </w:tc>
              <w:tc>
                <w:tcPr>
                  <w:tcW w:w="254" w:type="pct"/>
                  <w:vAlign w:val="center"/>
                </w:tcPr>
                <w:p>
                  <w:pPr>
                    <w:pStyle w:val="87"/>
                    <w:adjustRightInd w:val="0"/>
                    <w:snapToGrid w:val="0"/>
                    <w:spacing w:line="240" w:lineRule="auto"/>
                    <w:rPr>
                      <w:color w:val="auto"/>
                      <w:sz w:val="18"/>
                      <w:szCs w:val="18"/>
                    </w:rPr>
                  </w:pPr>
                  <w:r>
                    <w:rPr>
                      <w:rFonts w:hint="eastAsia"/>
                      <w:color w:val="auto"/>
                      <w:sz w:val="18"/>
                      <w:szCs w:val="18"/>
                    </w:rPr>
                    <w:t>固</w:t>
                  </w:r>
                </w:p>
              </w:tc>
              <w:tc>
                <w:tcPr>
                  <w:tcW w:w="463" w:type="pct"/>
                  <w:vAlign w:val="center"/>
                </w:tcPr>
                <w:p>
                  <w:pPr>
                    <w:pStyle w:val="87"/>
                    <w:adjustRightInd w:val="0"/>
                    <w:snapToGrid w:val="0"/>
                    <w:spacing w:line="240" w:lineRule="auto"/>
                    <w:rPr>
                      <w:color w:val="auto"/>
                      <w:sz w:val="18"/>
                      <w:szCs w:val="18"/>
                    </w:rPr>
                  </w:pPr>
                  <w:r>
                    <w:rPr>
                      <w:rFonts w:hint="eastAsia"/>
                      <w:color w:val="auto"/>
                      <w:sz w:val="18"/>
                      <w:szCs w:val="18"/>
                    </w:rPr>
                    <w:t>0</w:t>
                  </w:r>
                  <w:r>
                    <w:rPr>
                      <w:color w:val="auto"/>
                      <w:sz w:val="18"/>
                      <w:szCs w:val="18"/>
                    </w:rPr>
                    <w:t>7</w:t>
                  </w:r>
                </w:p>
              </w:tc>
              <w:tc>
                <w:tcPr>
                  <w:tcW w:w="613" w:type="pct"/>
                  <w:vAlign w:val="center"/>
                </w:tcPr>
                <w:p>
                  <w:pPr>
                    <w:pStyle w:val="87"/>
                    <w:adjustRightInd w:val="0"/>
                    <w:snapToGrid w:val="0"/>
                    <w:spacing w:line="240" w:lineRule="auto"/>
                    <w:rPr>
                      <w:color w:val="auto"/>
                      <w:sz w:val="18"/>
                      <w:szCs w:val="18"/>
                    </w:rPr>
                  </w:pPr>
                  <w:r>
                    <w:rPr>
                      <w:color w:val="auto"/>
                      <w:sz w:val="18"/>
                      <w:szCs w:val="18"/>
                    </w:rPr>
                    <w:t>367</w:t>
                  </w:r>
                  <w:r>
                    <w:rPr>
                      <w:rFonts w:hint="eastAsia"/>
                      <w:color w:val="auto"/>
                      <w:sz w:val="18"/>
                      <w:szCs w:val="18"/>
                    </w:rPr>
                    <w:t>-</w:t>
                  </w:r>
                  <w:r>
                    <w:rPr>
                      <w:color w:val="auto"/>
                      <w:sz w:val="18"/>
                      <w:szCs w:val="18"/>
                    </w:rPr>
                    <w:t>001-07</w:t>
                  </w:r>
                </w:p>
              </w:tc>
              <w:tc>
                <w:tcPr>
                  <w:tcW w:w="575" w:type="pct"/>
                  <w:vAlign w:val="center"/>
                </w:tcPr>
                <w:p>
                  <w:pPr>
                    <w:pStyle w:val="87"/>
                    <w:adjustRightInd w:val="0"/>
                    <w:snapToGrid w:val="0"/>
                    <w:spacing w:line="240" w:lineRule="auto"/>
                    <w:rPr>
                      <w:color w:val="auto"/>
                      <w:sz w:val="18"/>
                      <w:szCs w:val="18"/>
                    </w:rPr>
                  </w:pPr>
                  <w:r>
                    <w:rPr>
                      <w:rFonts w:hint="eastAsia"/>
                      <w:color w:val="auto"/>
                      <w:sz w:val="18"/>
                      <w:szCs w:val="18"/>
                    </w:rPr>
                    <w:t>3</w:t>
                  </w:r>
                </w:p>
              </w:tc>
              <w:tc>
                <w:tcPr>
                  <w:tcW w:w="523" w:type="pct"/>
                  <w:vMerge w:val="restart"/>
                  <w:vAlign w:val="center"/>
                </w:tcPr>
                <w:p>
                  <w:pPr>
                    <w:pStyle w:val="87"/>
                    <w:adjustRightInd w:val="0"/>
                    <w:snapToGrid w:val="0"/>
                    <w:spacing w:line="240" w:lineRule="auto"/>
                    <w:rPr>
                      <w:color w:val="auto"/>
                      <w:sz w:val="18"/>
                      <w:szCs w:val="18"/>
                    </w:rPr>
                  </w:pPr>
                  <w:r>
                    <w:rPr>
                      <w:rFonts w:hint="eastAsia"/>
                      <w:color w:val="auto"/>
                      <w:sz w:val="18"/>
                      <w:szCs w:val="18"/>
                    </w:rPr>
                    <w:t>外售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62" w:type="pct"/>
                  <w:vAlign w:val="center"/>
                </w:tcPr>
                <w:p>
                  <w:pPr>
                    <w:pStyle w:val="87"/>
                    <w:adjustRightInd w:val="0"/>
                    <w:snapToGrid w:val="0"/>
                    <w:spacing w:line="240" w:lineRule="auto"/>
                    <w:rPr>
                      <w:color w:val="auto"/>
                      <w:sz w:val="18"/>
                      <w:szCs w:val="18"/>
                    </w:rPr>
                  </w:pPr>
                  <w:r>
                    <w:rPr>
                      <w:rFonts w:hint="eastAsia"/>
                      <w:color w:val="auto"/>
                      <w:sz w:val="18"/>
                      <w:szCs w:val="18"/>
                    </w:rPr>
                    <w:t>5</w:t>
                  </w:r>
                </w:p>
              </w:tc>
              <w:tc>
                <w:tcPr>
                  <w:tcW w:w="1031" w:type="pct"/>
                  <w:vAlign w:val="center"/>
                </w:tcPr>
                <w:p>
                  <w:pPr>
                    <w:pStyle w:val="87"/>
                    <w:adjustRightInd w:val="0"/>
                    <w:snapToGrid w:val="0"/>
                    <w:spacing w:line="240" w:lineRule="auto"/>
                    <w:rPr>
                      <w:color w:val="auto"/>
                      <w:sz w:val="18"/>
                      <w:szCs w:val="18"/>
                    </w:rPr>
                  </w:pPr>
                  <w:r>
                    <w:rPr>
                      <w:rFonts w:hint="eastAsia"/>
                      <w:color w:val="auto"/>
                      <w:sz w:val="18"/>
                      <w:szCs w:val="18"/>
                    </w:rPr>
                    <w:t>废边角料S1-1</w:t>
                  </w:r>
                </w:p>
              </w:tc>
              <w:tc>
                <w:tcPr>
                  <w:tcW w:w="596" w:type="pct"/>
                  <w:vAlign w:val="center"/>
                </w:tcPr>
                <w:p>
                  <w:pPr>
                    <w:pStyle w:val="87"/>
                    <w:adjustRightInd w:val="0"/>
                    <w:snapToGrid w:val="0"/>
                    <w:spacing w:line="240" w:lineRule="auto"/>
                    <w:rPr>
                      <w:color w:val="auto"/>
                      <w:sz w:val="18"/>
                      <w:szCs w:val="18"/>
                    </w:rPr>
                  </w:pPr>
                  <w:r>
                    <w:rPr>
                      <w:rFonts w:hint="eastAsia"/>
                      <w:color w:val="auto"/>
                      <w:sz w:val="18"/>
                      <w:szCs w:val="18"/>
                    </w:rPr>
                    <w:t>修边</w:t>
                  </w:r>
                </w:p>
              </w:tc>
              <w:tc>
                <w:tcPr>
                  <w:tcW w:w="680" w:type="pct"/>
                  <w:vMerge w:val="continue"/>
                  <w:vAlign w:val="center"/>
                </w:tcPr>
                <w:p>
                  <w:pPr>
                    <w:pStyle w:val="87"/>
                    <w:adjustRightInd w:val="0"/>
                    <w:snapToGrid w:val="0"/>
                    <w:spacing w:line="240" w:lineRule="auto"/>
                    <w:rPr>
                      <w:color w:val="auto"/>
                      <w:sz w:val="18"/>
                      <w:szCs w:val="18"/>
                    </w:rPr>
                  </w:pPr>
                </w:p>
              </w:tc>
              <w:tc>
                <w:tcPr>
                  <w:tcW w:w="254" w:type="pct"/>
                  <w:vAlign w:val="center"/>
                </w:tcPr>
                <w:p>
                  <w:pPr>
                    <w:adjustRightInd w:val="0"/>
                    <w:snapToGrid w:val="0"/>
                    <w:jc w:val="center"/>
                    <w:rPr>
                      <w:color w:val="auto"/>
                      <w:sz w:val="18"/>
                      <w:szCs w:val="18"/>
                    </w:rPr>
                  </w:pPr>
                  <w:r>
                    <w:rPr>
                      <w:rFonts w:hint="eastAsia"/>
                      <w:color w:val="auto"/>
                      <w:sz w:val="18"/>
                      <w:szCs w:val="18"/>
                    </w:rPr>
                    <w:t>固</w:t>
                  </w:r>
                </w:p>
              </w:tc>
              <w:tc>
                <w:tcPr>
                  <w:tcW w:w="463" w:type="pct"/>
                  <w:vAlign w:val="center"/>
                </w:tcPr>
                <w:p>
                  <w:pPr>
                    <w:pStyle w:val="87"/>
                    <w:adjustRightInd w:val="0"/>
                    <w:snapToGrid w:val="0"/>
                    <w:spacing w:line="240" w:lineRule="auto"/>
                    <w:rPr>
                      <w:color w:val="auto"/>
                      <w:sz w:val="18"/>
                      <w:szCs w:val="18"/>
                    </w:rPr>
                  </w:pPr>
                  <w:r>
                    <w:rPr>
                      <w:rFonts w:hint="eastAsia"/>
                      <w:color w:val="auto"/>
                      <w:sz w:val="18"/>
                      <w:szCs w:val="18"/>
                    </w:rPr>
                    <w:t>05</w:t>
                  </w:r>
                </w:p>
              </w:tc>
              <w:tc>
                <w:tcPr>
                  <w:tcW w:w="613" w:type="pct"/>
                  <w:vAlign w:val="center"/>
                </w:tcPr>
                <w:p>
                  <w:pPr>
                    <w:pStyle w:val="87"/>
                    <w:adjustRightInd w:val="0"/>
                    <w:snapToGrid w:val="0"/>
                    <w:spacing w:line="240" w:lineRule="auto"/>
                    <w:rPr>
                      <w:color w:val="auto"/>
                      <w:sz w:val="18"/>
                      <w:szCs w:val="18"/>
                    </w:rPr>
                  </w:pPr>
                  <w:r>
                    <w:rPr>
                      <w:rFonts w:hint="eastAsia"/>
                      <w:color w:val="auto"/>
                      <w:sz w:val="18"/>
                      <w:szCs w:val="18"/>
                    </w:rPr>
                    <w:t>265-001-05</w:t>
                  </w:r>
                </w:p>
              </w:tc>
              <w:tc>
                <w:tcPr>
                  <w:tcW w:w="575" w:type="pct"/>
                  <w:vAlign w:val="center"/>
                </w:tcPr>
                <w:p>
                  <w:pPr>
                    <w:pStyle w:val="87"/>
                    <w:adjustRightInd w:val="0"/>
                    <w:snapToGrid w:val="0"/>
                    <w:spacing w:line="240" w:lineRule="auto"/>
                    <w:rPr>
                      <w:color w:val="auto"/>
                      <w:sz w:val="18"/>
                      <w:szCs w:val="18"/>
                    </w:rPr>
                  </w:pPr>
                  <w:r>
                    <w:rPr>
                      <w:rFonts w:hint="eastAsia"/>
                      <w:color w:val="auto"/>
                      <w:sz w:val="18"/>
                      <w:szCs w:val="18"/>
                    </w:rPr>
                    <w:t>7.5</w:t>
                  </w:r>
                </w:p>
              </w:tc>
              <w:tc>
                <w:tcPr>
                  <w:tcW w:w="523" w:type="pct"/>
                  <w:vMerge w:val="continue"/>
                  <w:vAlign w:val="center"/>
                </w:tcPr>
                <w:p>
                  <w:pPr>
                    <w:pStyle w:val="87"/>
                    <w:adjustRightInd w:val="0"/>
                    <w:snapToGrid w:val="0"/>
                    <w:spacing w:line="240" w:lineRule="auto"/>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62" w:type="pct"/>
                  <w:vAlign w:val="center"/>
                </w:tcPr>
                <w:p>
                  <w:pPr>
                    <w:pStyle w:val="87"/>
                    <w:adjustRightInd w:val="0"/>
                    <w:snapToGrid w:val="0"/>
                    <w:spacing w:line="240" w:lineRule="auto"/>
                    <w:rPr>
                      <w:color w:val="auto"/>
                      <w:sz w:val="18"/>
                      <w:szCs w:val="18"/>
                    </w:rPr>
                  </w:pPr>
                  <w:r>
                    <w:rPr>
                      <w:rFonts w:hint="eastAsia"/>
                      <w:color w:val="auto"/>
                      <w:sz w:val="18"/>
                      <w:szCs w:val="18"/>
                    </w:rPr>
                    <w:t>6</w:t>
                  </w:r>
                </w:p>
              </w:tc>
              <w:tc>
                <w:tcPr>
                  <w:tcW w:w="1031" w:type="pct"/>
                  <w:vAlign w:val="center"/>
                </w:tcPr>
                <w:p>
                  <w:pPr>
                    <w:pStyle w:val="87"/>
                    <w:adjustRightInd w:val="0"/>
                    <w:snapToGrid w:val="0"/>
                    <w:spacing w:line="240" w:lineRule="auto"/>
                    <w:rPr>
                      <w:color w:val="auto"/>
                      <w:sz w:val="18"/>
                      <w:szCs w:val="18"/>
                    </w:rPr>
                  </w:pPr>
                  <w:r>
                    <w:rPr>
                      <w:rFonts w:hint="eastAsia"/>
                      <w:color w:val="auto"/>
                      <w:sz w:val="18"/>
                      <w:szCs w:val="18"/>
                    </w:rPr>
                    <w:t>不合格品S1-2</w:t>
                  </w:r>
                </w:p>
              </w:tc>
              <w:tc>
                <w:tcPr>
                  <w:tcW w:w="596" w:type="pct"/>
                  <w:vAlign w:val="center"/>
                </w:tcPr>
                <w:p>
                  <w:pPr>
                    <w:pStyle w:val="87"/>
                    <w:adjustRightInd w:val="0"/>
                    <w:snapToGrid w:val="0"/>
                    <w:spacing w:line="240" w:lineRule="auto"/>
                    <w:rPr>
                      <w:color w:val="auto"/>
                      <w:sz w:val="18"/>
                      <w:szCs w:val="18"/>
                    </w:rPr>
                  </w:pPr>
                  <w:r>
                    <w:rPr>
                      <w:rFonts w:hint="eastAsia"/>
                      <w:color w:val="auto"/>
                      <w:sz w:val="18"/>
                      <w:szCs w:val="18"/>
                    </w:rPr>
                    <w:t>检测</w:t>
                  </w:r>
                </w:p>
              </w:tc>
              <w:tc>
                <w:tcPr>
                  <w:tcW w:w="680" w:type="pct"/>
                  <w:vMerge w:val="continue"/>
                  <w:vAlign w:val="center"/>
                </w:tcPr>
                <w:p>
                  <w:pPr>
                    <w:pStyle w:val="87"/>
                    <w:adjustRightInd w:val="0"/>
                    <w:snapToGrid w:val="0"/>
                    <w:spacing w:line="240" w:lineRule="auto"/>
                    <w:rPr>
                      <w:color w:val="auto"/>
                      <w:sz w:val="18"/>
                      <w:szCs w:val="18"/>
                    </w:rPr>
                  </w:pPr>
                </w:p>
              </w:tc>
              <w:tc>
                <w:tcPr>
                  <w:tcW w:w="254" w:type="pct"/>
                  <w:vAlign w:val="center"/>
                </w:tcPr>
                <w:p>
                  <w:pPr>
                    <w:adjustRightInd w:val="0"/>
                    <w:snapToGrid w:val="0"/>
                    <w:jc w:val="center"/>
                    <w:rPr>
                      <w:color w:val="auto"/>
                      <w:sz w:val="18"/>
                      <w:szCs w:val="18"/>
                    </w:rPr>
                  </w:pPr>
                  <w:r>
                    <w:rPr>
                      <w:rFonts w:hint="eastAsia"/>
                      <w:color w:val="auto"/>
                      <w:sz w:val="18"/>
                      <w:szCs w:val="18"/>
                    </w:rPr>
                    <w:t>固</w:t>
                  </w:r>
                </w:p>
              </w:tc>
              <w:tc>
                <w:tcPr>
                  <w:tcW w:w="463" w:type="pct"/>
                  <w:vAlign w:val="center"/>
                </w:tcPr>
                <w:p>
                  <w:pPr>
                    <w:pStyle w:val="87"/>
                    <w:adjustRightInd w:val="0"/>
                    <w:snapToGrid w:val="0"/>
                    <w:spacing w:line="240" w:lineRule="auto"/>
                    <w:rPr>
                      <w:color w:val="auto"/>
                      <w:sz w:val="18"/>
                      <w:szCs w:val="18"/>
                    </w:rPr>
                  </w:pPr>
                  <w:r>
                    <w:rPr>
                      <w:rFonts w:hint="eastAsia"/>
                      <w:color w:val="auto"/>
                      <w:sz w:val="18"/>
                      <w:szCs w:val="18"/>
                    </w:rPr>
                    <w:t>05</w:t>
                  </w:r>
                </w:p>
              </w:tc>
              <w:tc>
                <w:tcPr>
                  <w:tcW w:w="613" w:type="pct"/>
                  <w:vAlign w:val="center"/>
                </w:tcPr>
                <w:p>
                  <w:pPr>
                    <w:pStyle w:val="87"/>
                    <w:adjustRightInd w:val="0"/>
                    <w:snapToGrid w:val="0"/>
                    <w:spacing w:line="240" w:lineRule="auto"/>
                    <w:rPr>
                      <w:color w:val="auto"/>
                      <w:sz w:val="18"/>
                      <w:szCs w:val="18"/>
                    </w:rPr>
                  </w:pPr>
                  <w:r>
                    <w:rPr>
                      <w:rFonts w:hint="eastAsia"/>
                      <w:color w:val="auto"/>
                      <w:sz w:val="18"/>
                      <w:szCs w:val="18"/>
                    </w:rPr>
                    <w:t>265-001-05</w:t>
                  </w:r>
                </w:p>
              </w:tc>
              <w:tc>
                <w:tcPr>
                  <w:tcW w:w="575" w:type="pct"/>
                  <w:vAlign w:val="center"/>
                </w:tcPr>
                <w:p>
                  <w:pPr>
                    <w:pStyle w:val="87"/>
                    <w:adjustRightInd w:val="0"/>
                    <w:snapToGrid w:val="0"/>
                    <w:spacing w:line="240" w:lineRule="auto"/>
                    <w:rPr>
                      <w:color w:val="auto"/>
                      <w:sz w:val="18"/>
                      <w:szCs w:val="18"/>
                    </w:rPr>
                  </w:pPr>
                  <w:r>
                    <w:rPr>
                      <w:rFonts w:hint="eastAsia"/>
                      <w:color w:val="auto"/>
                      <w:sz w:val="18"/>
                      <w:szCs w:val="18"/>
                    </w:rPr>
                    <w:t>2</w:t>
                  </w:r>
                </w:p>
              </w:tc>
              <w:tc>
                <w:tcPr>
                  <w:tcW w:w="523" w:type="pct"/>
                  <w:vMerge w:val="continue"/>
                  <w:vAlign w:val="center"/>
                </w:tcPr>
                <w:p>
                  <w:pPr>
                    <w:pStyle w:val="87"/>
                    <w:adjustRightInd w:val="0"/>
                    <w:snapToGrid w:val="0"/>
                    <w:spacing w:line="240" w:lineRule="auto"/>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62" w:type="pct"/>
                  <w:vAlign w:val="center"/>
                </w:tcPr>
                <w:p>
                  <w:pPr>
                    <w:pStyle w:val="87"/>
                    <w:adjustRightInd w:val="0"/>
                    <w:snapToGrid w:val="0"/>
                    <w:spacing w:line="240" w:lineRule="auto"/>
                    <w:rPr>
                      <w:color w:val="auto"/>
                      <w:sz w:val="18"/>
                      <w:szCs w:val="18"/>
                    </w:rPr>
                  </w:pPr>
                  <w:r>
                    <w:rPr>
                      <w:rFonts w:hint="eastAsia"/>
                      <w:color w:val="auto"/>
                      <w:sz w:val="18"/>
                      <w:szCs w:val="18"/>
                    </w:rPr>
                    <w:t>7</w:t>
                  </w:r>
                </w:p>
              </w:tc>
              <w:tc>
                <w:tcPr>
                  <w:tcW w:w="1031" w:type="pct"/>
                  <w:vAlign w:val="center"/>
                </w:tcPr>
                <w:p>
                  <w:pPr>
                    <w:pStyle w:val="87"/>
                    <w:adjustRightInd w:val="0"/>
                    <w:snapToGrid w:val="0"/>
                    <w:spacing w:line="240" w:lineRule="auto"/>
                    <w:rPr>
                      <w:color w:val="auto"/>
                      <w:sz w:val="18"/>
                      <w:szCs w:val="18"/>
                    </w:rPr>
                  </w:pPr>
                  <w:r>
                    <w:rPr>
                      <w:rFonts w:hint="eastAsia"/>
                      <w:color w:val="auto"/>
                      <w:sz w:val="18"/>
                      <w:szCs w:val="18"/>
                    </w:rPr>
                    <w:t>废边角料S2-1</w:t>
                  </w:r>
                </w:p>
              </w:tc>
              <w:tc>
                <w:tcPr>
                  <w:tcW w:w="596" w:type="pct"/>
                  <w:vAlign w:val="center"/>
                </w:tcPr>
                <w:p>
                  <w:pPr>
                    <w:pStyle w:val="87"/>
                    <w:adjustRightInd w:val="0"/>
                    <w:snapToGrid w:val="0"/>
                    <w:spacing w:line="240" w:lineRule="auto"/>
                    <w:rPr>
                      <w:color w:val="auto"/>
                      <w:sz w:val="18"/>
                      <w:szCs w:val="18"/>
                    </w:rPr>
                  </w:pPr>
                  <w:r>
                    <w:rPr>
                      <w:rFonts w:hint="eastAsia"/>
                      <w:color w:val="auto"/>
                      <w:sz w:val="18"/>
                      <w:szCs w:val="18"/>
                    </w:rPr>
                    <w:t>修边</w:t>
                  </w:r>
                </w:p>
              </w:tc>
              <w:tc>
                <w:tcPr>
                  <w:tcW w:w="680" w:type="pct"/>
                  <w:vMerge w:val="continue"/>
                  <w:vAlign w:val="center"/>
                </w:tcPr>
                <w:p>
                  <w:pPr>
                    <w:pStyle w:val="87"/>
                    <w:adjustRightInd w:val="0"/>
                    <w:snapToGrid w:val="0"/>
                    <w:spacing w:line="240" w:lineRule="auto"/>
                    <w:rPr>
                      <w:color w:val="auto"/>
                      <w:sz w:val="18"/>
                      <w:szCs w:val="18"/>
                    </w:rPr>
                  </w:pPr>
                </w:p>
              </w:tc>
              <w:tc>
                <w:tcPr>
                  <w:tcW w:w="254" w:type="pct"/>
                  <w:vAlign w:val="center"/>
                </w:tcPr>
                <w:p>
                  <w:pPr>
                    <w:adjustRightInd w:val="0"/>
                    <w:snapToGrid w:val="0"/>
                    <w:jc w:val="center"/>
                    <w:rPr>
                      <w:color w:val="auto"/>
                      <w:sz w:val="18"/>
                      <w:szCs w:val="18"/>
                    </w:rPr>
                  </w:pPr>
                  <w:r>
                    <w:rPr>
                      <w:rFonts w:hint="eastAsia"/>
                      <w:color w:val="auto"/>
                      <w:sz w:val="18"/>
                      <w:szCs w:val="18"/>
                    </w:rPr>
                    <w:t>固</w:t>
                  </w:r>
                </w:p>
              </w:tc>
              <w:tc>
                <w:tcPr>
                  <w:tcW w:w="463" w:type="pct"/>
                  <w:vAlign w:val="center"/>
                </w:tcPr>
                <w:p>
                  <w:pPr>
                    <w:pStyle w:val="87"/>
                    <w:adjustRightInd w:val="0"/>
                    <w:snapToGrid w:val="0"/>
                    <w:spacing w:line="240" w:lineRule="auto"/>
                    <w:rPr>
                      <w:color w:val="auto"/>
                      <w:sz w:val="18"/>
                      <w:szCs w:val="18"/>
                    </w:rPr>
                  </w:pPr>
                  <w:r>
                    <w:rPr>
                      <w:rFonts w:hint="eastAsia"/>
                      <w:color w:val="auto"/>
                      <w:sz w:val="18"/>
                      <w:szCs w:val="18"/>
                    </w:rPr>
                    <w:t>06</w:t>
                  </w:r>
                </w:p>
              </w:tc>
              <w:tc>
                <w:tcPr>
                  <w:tcW w:w="613" w:type="pct"/>
                  <w:vAlign w:val="center"/>
                </w:tcPr>
                <w:p>
                  <w:pPr>
                    <w:pStyle w:val="87"/>
                    <w:adjustRightInd w:val="0"/>
                    <w:snapToGrid w:val="0"/>
                    <w:spacing w:line="240" w:lineRule="auto"/>
                    <w:rPr>
                      <w:color w:val="auto"/>
                      <w:sz w:val="18"/>
                      <w:szCs w:val="18"/>
                    </w:rPr>
                  </w:pPr>
                  <w:r>
                    <w:rPr>
                      <w:rFonts w:hint="eastAsia"/>
                      <w:color w:val="auto"/>
                      <w:sz w:val="18"/>
                      <w:szCs w:val="18"/>
                    </w:rPr>
                    <w:t>292-001-06</w:t>
                  </w:r>
                </w:p>
              </w:tc>
              <w:tc>
                <w:tcPr>
                  <w:tcW w:w="575" w:type="pct"/>
                  <w:vAlign w:val="center"/>
                </w:tcPr>
                <w:p>
                  <w:pPr>
                    <w:pStyle w:val="87"/>
                    <w:adjustRightInd w:val="0"/>
                    <w:snapToGrid w:val="0"/>
                    <w:spacing w:line="240" w:lineRule="auto"/>
                    <w:rPr>
                      <w:color w:val="auto"/>
                      <w:sz w:val="18"/>
                      <w:szCs w:val="18"/>
                    </w:rPr>
                  </w:pPr>
                  <w:r>
                    <w:rPr>
                      <w:rFonts w:hint="eastAsia"/>
                      <w:color w:val="auto"/>
                      <w:sz w:val="18"/>
                      <w:szCs w:val="18"/>
                    </w:rPr>
                    <w:t>0.8</w:t>
                  </w:r>
                </w:p>
              </w:tc>
              <w:tc>
                <w:tcPr>
                  <w:tcW w:w="523" w:type="pct"/>
                  <w:vMerge w:val="continue"/>
                  <w:vAlign w:val="center"/>
                </w:tcPr>
                <w:p>
                  <w:pPr>
                    <w:pStyle w:val="87"/>
                    <w:adjustRightInd w:val="0"/>
                    <w:snapToGrid w:val="0"/>
                    <w:spacing w:line="240" w:lineRule="auto"/>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62" w:type="pct"/>
                  <w:vAlign w:val="center"/>
                </w:tcPr>
                <w:p>
                  <w:pPr>
                    <w:pStyle w:val="87"/>
                    <w:adjustRightInd w:val="0"/>
                    <w:snapToGrid w:val="0"/>
                    <w:spacing w:line="240" w:lineRule="auto"/>
                    <w:rPr>
                      <w:color w:val="auto"/>
                      <w:sz w:val="18"/>
                      <w:szCs w:val="18"/>
                    </w:rPr>
                  </w:pPr>
                  <w:r>
                    <w:rPr>
                      <w:rFonts w:hint="eastAsia"/>
                      <w:color w:val="auto"/>
                      <w:sz w:val="18"/>
                      <w:szCs w:val="18"/>
                    </w:rPr>
                    <w:t>8</w:t>
                  </w:r>
                </w:p>
              </w:tc>
              <w:tc>
                <w:tcPr>
                  <w:tcW w:w="1031" w:type="pct"/>
                  <w:vAlign w:val="center"/>
                </w:tcPr>
                <w:p>
                  <w:pPr>
                    <w:pStyle w:val="87"/>
                    <w:adjustRightInd w:val="0"/>
                    <w:snapToGrid w:val="0"/>
                    <w:spacing w:line="240" w:lineRule="auto"/>
                    <w:rPr>
                      <w:color w:val="auto"/>
                      <w:sz w:val="18"/>
                      <w:szCs w:val="18"/>
                    </w:rPr>
                  </w:pPr>
                  <w:r>
                    <w:rPr>
                      <w:rFonts w:hint="eastAsia"/>
                      <w:color w:val="auto"/>
                      <w:sz w:val="18"/>
                      <w:szCs w:val="18"/>
                    </w:rPr>
                    <w:t>不合格品S2-2</w:t>
                  </w:r>
                </w:p>
              </w:tc>
              <w:tc>
                <w:tcPr>
                  <w:tcW w:w="596" w:type="pct"/>
                  <w:vAlign w:val="center"/>
                </w:tcPr>
                <w:p>
                  <w:pPr>
                    <w:pStyle w:val="87"/>
                    <w:adjustRightInd w:val="0"/>
                    <w:snapToGrid w:val="0"/>
                    <w:spacing w:line="240" w:lineRule="auto"/>
                    <w:rPr>
                      <w:color w:val="auto"/>
                      <w:sz w:val="18"/>
                      <w:szCs w:val="18"/>
                    </w:rPr>
                  </w:pPr>
                  <w:r>
                    <w:rPr>
                      <w:rFonts w:hint="eastAsia"/>
                      <w:color w:val="auto"/>
                      <w:sz w:val="18"/>
                      <w:szCs w:val="18"/>
                    </w:rPr>
                    <w:t>检测</w:t>
                  </w:r>
                </w:p>
              </w:tc>
              <w:tc>
                <w:tcPr>
                  <w:tcW w:w="680" w:type="pct"/>
                  <w:vMerge w:val="continue"/>
                  <w:vAlign w:val="center"/>
                </w:tcPr>
                <w:p>
                  <w:pPr>
                    <w:pStyle w:val="87"/>
                    <w:adjustRightInd w:val="0"/>
                    <w:snapToGrid w:val="0"/>
                    <w:spacing w:line="240" w:lineRule="auto"/>
                    <w:rPr>
                      <w:color w:val="auto"/>
                      <w:sz w:val="18"/>
                      <w:szCs w:val="18"/>
                    </w:rPr>
                  </w:pPr>
                </w:p>
              </w:tc>
              <w:tc>
                <w:tcPr>
                  <w:tcW w:w="254" w:type="pct"/>
                  <w:vAlign w:val="center"/>
                </w:tcPr>
                <w:p>
                  <w:pPr>
                    <w:adjustRightInd w:val="0"/>
                    <w:snapToGrid w:val="0"/>
                    <w:jc w:val="center"/>
                    <w:rPr>
                      <w:color w:val="auto"/>
                      <w:sz w:val="18"/>
                      <w:szCs w:val="18"/>
                    </w:rPr>
                  </w:pPr>
                  <w:r>
                    <w:rPr>
                      <w:rFonts w:hint="eastAsia"/>
                      <w:color w:val="auto"/>
                      <w:sz w:val="18"/>
                      <w:szCs w:val="18"/>
                    </w:rPr>
                    <w:t>固</w:t>
                  </w:r>
                </w:p>
              </w:tc>
              <w:tc>
                <w:tcPr>
                  <w:tcW w:w="463" w:type="pct"/>
                  <w:vAlign w:val="center"/>
                </w:tcPr>
                <w:p>
                  <w:pPr>
                    <w:pStyle w:val="87"/>
                    <w:adjustRightInd w:val="0"/>
                    <w:snapToGrid w:val="0"/>
                    <w:spacing w:line="240" w:lineRule="auto"/>
                    <w:rPr>
                      <w:color w:val="auto"/>
                      <w:sz w:val="18"/>
                      <w:szCs w:val="18"/>
                    </w:rPr>
                  </w:pPr>
                  <w:r>
                    <w:rPr>
                      <w:rFonts w:hint="eastAsia"/>
                      <w:color w:val="auto"/>
                      <w:sz w:val="18"/>
                      <w:szCs w:val="18"/>
                    </w:rPr>
                    <w:t>06</w:t>
                  </w:r>
                </w:p>
              </w:tc>
              <w:tc>
                <w:tcPr>
                  <w:tcW w:w="613" w:type="pct"/>
                  <w:vAlign w:val="center"/>
                </w:tcPr>
                <w:p>
                  <w:pPr>
                    <w:pStyle w:val="87"/>
                    <w:adjustRightInd w:val="0"/>
                    <w:snapToGrid w:val="0"/>
                    <w:spacing w:line="240" w:lineRule="auto"/>
                    <w:rPr>
                      <w:color w:val="auto"/>
                      <w:sz w:val="18"/>
                      <w:szCs w:val="18"/>
                    </w:rPr>
                  </w:pPr>
                  <w:r>
                    <w:rPr>
                      <w:rFonts w:hint="eastAsia"/>
                      <w:color w:val="auto"/>
                      <w:sz w:val="18"/>
                      <w:szCs w:val="18"/>
                    </w:rPr>
                    <w:t>292-001-06</w:t>
                  </w:r>
                </w:p>
              </w:tc>
              <w:tc>
                <w:tcPr>
                  <w:tcW w:w="575" w:type="pct"/>
                  <w:vAlign w:val="center"/>
                </w:tcPr>
                <w:p>
                  <w:pPr>
                    <w:pStyle w:val="87"/>
                    <w:adjustRightInd w:val="0"/>
                    <w:snapToGrid w:val="0"/>
                    <w:spacing w:line="240" w:lineRule="auto"/>
                    <w:rPr>
                      <w:color w:val="auto"/>
                      <w:sz w:val="18"/>
                      <w:szCs w:val="18"/>
                    </w:rPr>
                  </w:pPr>
                  <w:r>
                    <w:rPr>
                      <w:rFonts w:hint="eastAsia"/>
                      <w:color w:val="auto"/>
                      <w:sz w:val="18"/>
                      <w:szCs w:val="18"/>
                    </w:rPr>
                    <w:t>0.2</w:t>
                  </w:r>
                </w:p>
              </w:tc>
              <w:tc>
                <w:tcPr>
                  <w:tcW w:w="523" w:type="pct"/>
                  <w:vMerge w:val="continue"/>
                  <w:vAlign w:val="center"/>
                </w:tcPr>
                <w:p>
                  <w:pPr>
                    <w:pStyle w:val="87"/>
                    <w:adjustRightInd w:val="0"/>
                    <w:snapToGrid w:val="0"/>
                    <w:spacing w:line="240" w:lineRule="auto"/>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62" w:type="pct"/>
                  <w:vAlign w:val="center"/>
                </w:tcPr>
                <w:p>
                  <w:pPr>
                    <w:pStyle w:val="87"/>
                    <w:adjustRightInd w:val="0"/>
                    <w:snapToGrid w:val="0"/>
                    <w:spacing w:line="240" w:lineRule="auto"/>
                    <w:rPr>
                      <w:color w:val="auto"/>
                      <w:sz w:val="18"/>
                      <w:szCs w:val="18"/>
                    </w:rPr>
                  </w:pPr>
                  <w:r>
                    <w:rPr>
                      <w:rFonts w:hint="eastAsia"/>
                      <w:color w:val="auto"/>
                      <w:sz w:val="18"/>
                      <w:szCs w:val="18"/>
                    </w:rPr>
                    <w:t>9</w:t>
                  </w:r>
                </w:p>
              </w:tc>
              <w:tc>
                <w:tcPr>
                  <w:tcW w:w="1031" w:type="pct"/>
                  <w:vAlign w:val="center"/>
                </w:tcPr>
                <w:p>
                  <w:pPr>
                    <w:pStyle w:val="87"/>
                    <w:adjustRightInd w:val="0"/>
                    <w:snapToGrid w:val="0"/>
                    <w:spacing w:line="240" w:lineRule="auto"/>
                    <w:rPr>
                      <w:color w:val="auto"/>
                      <w:sz w:val="18"/>
                      <w:szCs w:val="18"/>
                    </w:rPr>
                  </w:pPr>
                  <w:r>
                    <w:rPr>
                      <w:rFonts w:hint="eastAsia"/>
                      <w:color w:val="auto"/>
                      <w:sz w:val="18"/>
                      <w:szCs w:val="18"/>
                    </w:rPr>
                    <w:t>除尘灰S7</w:t>
                  </w:r>
                </w:p>
              </w:tc>
              <w:tc>
                <w:tcPr>
                  <w:tcW w:w="596" w:type="pct"/>
                  <w:vAlign w:val="center"/>
                </w:tcPr>
                <w:p>
                  <w:pPr>
                    <w:pStyle w:val="87"/>
                    <w:adjustRightInd w:val="0"/>
                    <w:snapToGrid w:val="0"/>
                    <w:spacing w:line="240" w:lineRule="auto"/>
                    <w:rPr>
                      <w:color w:val="auto"/>
                      <w:sz w:val="18"/>
                      <w:szCs w:val="18"/>
                    </w:rPr>
                  </w:pPr>
                  <w:r>
                    <w:rPr>
                      <w:rFonts w:hint="eastAsia"/>
                      <w:color w:val="auto"/>
                      <w:sz w:val="18"/>
                      <w:szCs w:val="18"/>
                    </w:rPr>
                    <w:t>废气处理</w:t>
                  </w:r>
                </w:p>
              </w:tc>
              <w:tc>
                <w:tcPr>
                  <w:tcW w:w="680" w:type="pct"/>
                  <w:vMerge w:val="continue"/>
                  <w:vAlign w:val="center"/>
                </w:tcPr>
                <w:p>
                  <w:pPr>
                    <w:pStyle w:val="87"/>
                    <w:adjustRightInd w:val="0"/>
                    <w:snapToGrid w:val="0"/>
                    <w:spacing w:line="240" w:lineRule="auto"/>
                    <w:rPr>
                      <w:color w:val="auto"/>
                      <w:sz w:val="18"/>
                      <w:szCs w:val="18"/>
                    </w:rPr>
                  </w:pPr>
                </w:p>
              </w:tc>
              <w:tc>
                <w:tcPr>
                  <w:tcW w:w="254" w:type="pct"/>
                  <w:vAlign w:val="center"/>
                </w:tcPr>
                <w:p>
                  <w:pPr>
                    <w:adjustRightInd w:val="0"/>
                    <w:snapToGrid w:val="0"/>
                    <w:jc w:val="center"/>
                    <w:rPr>
                      <w:color w:val="auto"/>
                      <w:sz w:val="18"/>
                      <w:szCs w:val="18"/>
                    </w:rPr>
                  </w:pPr>
                  <w:r>
                    <w:rPr>
                      <w:rFonts w:hint="eastAsia"/>
                      <w:color w:val="auto"/>
                      <w:sz w:val="18"/>
                      <w:szCs w:val="18"/>
                    </w:rPr>
                    <w:t>固</w:t>
                  </w:r>
                </w:p>
              </w:tc>
              <w:tc>
                <w:tcPr>
                  <w:tcW w:w="463" w:type="pct"/>
                  <w:vAlign w:val="center"/>
                </w:tcPr>
                <w:p>
                  <w:pPr>
                    <w:pStyle w:val="87"/>
                    <w:adjustRightInd w:val="0"/>
                    <w:snapToGrid w:val="0"/>
                    <w:spacing w:line="240" w:lineRule="auto"/>
                    <w:rPr>
                      <w:color w:val="auto"/>
                      <w:sz w:val="18"/>
                      <w:szCs w:val="18"/>
                    </w:rPr>
                  </w:pPr>
                  <w:r>
                    <w:rPr>
                      <w:rFonts w:hint="eastAsia"/>
                      <w:color w:val="auto"/>
                      <w:sz w:val="18"/>
                      <w:szCs w:val="18"/>
                    </w:rPr>
                    <w:t>66</w:t>
                  </w:r>
                </w:p>
              </w:tc>
              <w:tc>
                <w:tcPr>
                  <w:tcW w:w="613" w:type="pct"/>
                  <w:vAlign w:val="center"/>
                </w:tcPr>
                <w:p>
                  <w:pPr>
                    <w:pStyle w:val="87"/>
                    <w:adjustRightInd w:val="0"/>
                    <w:snapToGrid w:val="0"/>
                    <w:spacing w:line="240" w:lineRule="auto"/>
                    <w:rPr>
                      <w:color w:val="auto"/>
                      <w:sz w:val="18"/>
                      <w:szCs w:val="18"/>
                    </w:rPr>
                  </w:pPr>
                  <w:r>
                    <w:rPr>
                      <w:rFonts w:hint="eastAsia"/>
                      <w:color w:val="auto"/>
                      <w:sz w:val="18"/>
                      <w:szCs w:val="18"/>
                    </w:rPr>
                    <w:t>900-999-66</w:t>
                  </w:r>
                </w:p>
              </w:tc>
              <w:tc>
                <w:tcPr>
                  <w:tcW w:w="575" w:type="pct"/>
                  <w:vAlign w:val="center"/>
                </w:tcPr>
                <w:p>
                  <w:pPr>
                    <w:pStyle w:val="87"/>
                    <w:adjustRightInd w:val="0"/>
                    <w:snapToGrid w:val="0"/>
                    <w:spacing w:line="240" w:lineRule="auto"/>
                    <w:rPr>
                      <w:color w:val="auto"/>
                      <w:sz w:val="18"/>
                      <w:szCs w:val="18"/>
                    </w:rPr>
                  </w:pPr>
                  <w:r>
                    <w:rPr>
                      <w:rFonts w:hint="eastAsia"/>
                      <w:color w:val="auto"/>
                      <w:sz w:val="18"/>
                      <w:szCs w:val="18"/>
                    </w:rPr>
                    <w:t>0.0742</w:t>
                  </w:r>
                </w:p>
              </w:tc>
              <w:tc>
                <w:tcPr>
                  <w:tcW w:w="523" w:type="pct"/>
                  <w:vMerge w:val="continue"/>
                  <w:vAlign w:val="center"/>
                </w:tcPr>
                <w:p>
                  <w:pPr>
                    <w:pStyle w:val="87"/>
                    <w:adjustRightInd w:val="0"/>
                    <w:snapToGrid w:val="0"/>
                    <w:spacing w:line="240" w:lineRule="auto"/>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62" w:type="pct"/>
                  <w:vAlign w:val="center"/>
                </w:tcPr>
                <w:p>
                  <w:pPr>
                    <w:pStyle w:val="87"/>
                    <w:adjustRightInd w:val="0"/>
                    <w:snapToGrid w:val="0"/>
                    <w:spacing w:line="240" w:lineRule="auto"/>
                    <w:rPr>
                      <w:color w:val="auto"/>
                      <w:sz w:val="18"/>
                      <w:szCs w:val="18"/>
                    </w:rPr>
                  </w:pPr>
                  <w:r>
                    <w:rPr>
                      <w:rFonts w:hint="eastAsia"/>
                      <w:color w:val="auto"/>
                      <w:sz w:val="18"/>
                      <w:szCs w:val="18"/>
                    </w:rPr>
                    <w:t>10</w:t>
                  </w:r>
                </w:p>
              </w:tc>
              <w:tc>
                <w:tcPr>
                  <w:tcW w:w="1031" w:type="pct"/>
                  <w:vAlign w:val="center"/>
                </w:tcPr>
                <w:p>
                  <w:pPr>
                    <w:pStyle w:val="87"/>
                    <w:adjustRightInd w:val="0"/>
                    <w:snapToGrid w:val="0"/>
                    <w:spacing w:line="240" w:lineRule="auto"/>
                    <w:rPr>
                      <w:color w:val="auto"/>
                      <w:sz w:val="18"/>
                      <w:szCs w:val="18"/>
                    </w:rPr>
                  </w:pPr>
                  <w:r>
                    <w:rPr>
                      <w:rFonts w:hint="eastAsia"/>
                      <w:color w:val="auto"/>
                      <w:sz w:val="18"/>
                      <w:szCs w:val="18"/>
                    </w:rPr>
                    <w:t>废旧布袋S8</w:t>
                  </w:r>
                </w:p>
              </w:tc>
              <w:tc>
                <w:tcPr>
                  <w:tcW w:w="596" w:type="pct"/>
                  <w:vAlign w:val="center"/>
                </w:tcPr>
                <w:p>
                  <w:pPr>
                    <w:pStyle w:val="87"/>
                    <w:adjustRightInd w:val="0"/>
                    <w:snapToGrid w:val="0"/>
                    <w:spacing w:line="240" w:lineRule="auto"/>
                    <w:rPr>
                      <w:color w:val="auto"/>
                      <w:sz w:val="18"/>
                      <w:szCs w:val="18"/>
                    </w:rPr>
                  </w:pPr>
                  <w:r>
                    <w:rPr>
                      <w:rFonts w:hint="eastAsia"/>
                      <w:color w:val="auto"/>
                      <w:sz w:val="18"/>
                      <w:szCs w:val="18"/>
                    </w:rPr>
                    <w:t>废气处理</w:t>
                  </w:r>
                </w:p>
              </w:tc>
              <w:tc>
                <w:tcPr>
                  <w:tcW w:w="680" w:type="pct"/>
                  <w:vMerge w:val="continue"/>
                  <w:vAlign w:val="center"/>
                </w:tcPr>
                <w:p>
                  <w:pPr>
                    <w:pStyle w:val="87"/>
                    <w:adjustRightInd w:val="0"/>
                    <w:snapToGrid w:val="0"/>
                    <w:spacing w:line="240" w:lineRule="auto"/>
                    <w:rPr>
                      <w:color w:val="auto"/>
                      <w:sz w:val="18"/>
                      <w:szCs w:val="18"/>
                    </w:rPr>
                  </w:pPr>
                </w:p>
              </w:tc>
              <w:tc>
                <w:tcPr>
                  <w:tcW w:w="254" w:type="pct"/>
                  <w:vAlign w:val="center"/>
                </w:tcPr>
                <w:p>
                  <w:pPr>
                    <w:adjustRightInd w:val="0"/>
                    <w:snapToGrid w:val="0"/>
                    <w:jc w:val="center"/>
                    <w:rPr>
                      <w:color w:val="auto"/>
                      <w:sz w:val="18"/>
                      <w:szCs w:val="18"/>
                    </w:rPr>
                  </w:pPr>
                  <w:r>
                    <w:rPr>
                      <w:rFonts w:hint="eastAsia"/>
                      <w:color w:val="auto"/>
                      <w:sz w:val="18"/>
                      <w:szCs w:val="18"/>
                    </w:rPr>
                    <w:t>固</w:t>
                  </w:r>
                </w:p>
              </w:tc>
              <w:tc>
                <w:tcPr>
                  <w:tcW w:w="864" w:type="dxa"/>
                  <w:vAlign w:val="center"/>
                </w:tcPr>
                <w:p>
                  <w:pPr>
                    <w:pStyle w:val="87"/>
                    <w:adjustRightInd w:val="0"/>
                    <w:snapToGrid w:val="0"/>
                    <w:spacing w:line="240" w:lineRule="auto"/>
                    <w:rPr>
                      <w:color w:val="auto"/>
                      <w:sz w:val="18"/>
                      <w:szCs w:val="18"/>
                    </w:rPr>
                  </w:pPr>
                  <w:r>
                    <w:rPr>
                      <w:rFonts w:hint="eastAsia"/>
                      <w:color w:val="auto"/>
                      <w:sz w:val="18"/>
                      <w:szCs w:val="18"/>
                    </w:rPr>
                    <w:t>06</w:t>
                  </w:r>
                </w:p>
              </w:tc>
              <w:tc>
                <w:tcPr>
                  <w:tcW w:w="1144" w:type="dxa"/>
                  <w:vAlign w:val="center"/>
                </w:tcPr>
                <w:p>
                  <w:pPr>
                    <w:pStyle w:val="87"/>
                    <w:adjustRightInd w:val="0"/>
                    <w:snapToGrid w:val="0"/>
                    <w:spacing w:line="240" w:lineRule="auto"/>
                    <w:rPr>
                      <w:color w:val="auto"/>
                      <w:sz w:val="18"/>
                      <w:szCs w:val="18"/>
                    </w:rPr>
                  </w:pPr>
                  <w:r>
                    <w:rPr>
                      <w:rFonts w:hint="eastAsia"/>
                      <w:color w:val="auto"/>
                      <w:sz w:val="18"/>
                      <w:szCs w:val="18"/>
                    </w:rPr>
                    <w:t>292-001-06</w:t>
                  </w:r>
                </w:p>
              </w:tc>
              <w:tc>
                <w:tcPr>
                  <w:tcW w:w="575" w:type="pct"/>
                  <w:vAlign w:val="center"/>
                </w:tcPr>
                <w:p>
                  <w:pPr>
                    <w:pStyle w:val="87"/>
                    <w:adjustRightInd w:val="0"/>
                    <w:snapToGrid w:val="0"/>
                    <w:spacing w:line="240" w:lineRule="auto"/>
                    <w:rPr>
                      <w:color w:val="auto"/>
                      <w:sz w:val="18"/>
                      <w:szCs w:val="18"/>
                    </w:rPr>
                  </w:pPr>
                  <w:r>
                    <w:rPr>
                      <w:rFonts w:hint="eastAsia"/>
                      <w:color w:val="auto"/>
                      <w:sz w:val="18"/>
                      <w:szCs w:val="18"/>
                    </w:rPr>
                    <w:t>0.02</w:t>
                  </w:r>
                </w:p>
              </w:tc>
              <w:tc>
                <w:tcPr>
                  <w:tcW w:w="523" w:type="pct"/>
                  <w:vMerge w:val="continue"/>
                  <w:vAlign w:val="center"/>
                </w:tcPr>
                <w:p>
                  <w:pPr>
                    <w:pStyle w:val="87"/>
                    <w:adjustRightInd w:val="0"/>
                    <w:snapToGrid w:val="0"/>
                    <w:spacing w:line="240" w:lineRule="auto"/>
                    <w:rPr>
                      <w:color w:val="auto"/>
                      <w:sz w:val="18"/>
                      <w:szCs w:val="18"/>
                    </w:rPr>
                  </w:pPr>
                </w:p>
              </w:tc>
            </w:tr>
          </w:tbl>
          <w:p>
            <w:pPr>
              <w:pStyle w:val="35"/>
              <w:adjustRightInd w:val="0"/>
              <w:snapToGrid w:val="0"/>
              <w:spacing w:before="120" w:beforeLines="50" w:beforeAutospacing="0" w:after="0" w:afterAutospacing="0" w:line="360" w:lineRule="auto"/>
              <w:ind w:firstLine="420" w:firstLineChars="200"/>
              <w:jc w:val="both"/>
              <w:rPr>
                <w:rFonts w:ascii="Times New Roman" w:hAnsi="Times New Roman"/>
                <w:snapToGrid w:val="0"/>
                <w:color w:val="auto"/>
                <w:sz w:val="21"/>
                <w:szCs w:val="21"/>
              </w:rPr>
            </w:pPr>
            <w:r>
              <w:rPr>
                <w:rFonts w:ascii="Times New Roman" w:hAnsi="Times New Roman"/>
                <w:snapToGrid w:val="0"/>
                <w:color w:val="auto"/>
                <w:sz w:val="21"/>
                <w:szCs w:val="21"/>
              </w:rPr>
              <w:t>从项目采用的固废利用及处置方式来分析，对产生的各类固废按其性质分类分区收集和暂存，并均能得到有效利用或妥善处置。在严格管理下，本项目的固体废物对周围环境不会产生二次污染。</w:t>
            </w:r>
          </w:p>
          <w:p>
            <w:pPr>
              <w:topLinePunct/>
              <w:adjustRightInd w:val="0"/>
              <w:snapToGrid w:val="0"/>
              <w:spacing w:line="360" w:lineRule="auto"/>
              <w:ind w:firstLine="422" w:firstLineChars="200"/>
              <w:outlineLvl w:val="2"/>
              <w:rPr>
                <w:b/>
                <w:snapToGrid w:val="0"/>
                <w:color w:val="auto"/>
                <w:kern w:val="0"/>
                <w:szCs w:val="21"/>
              </w:rPr>
            </w:pPr>
            <w:r>
              <w:rPr>
                <w:b/>
                <w:color w:val="auto"/>
                <w:kern w:val="0"/>
                <w:szCs w:val="21"/>
              </w:rPr>
              <w:t>（3）</w:t>
            </w:r>
            <w:r>
              <w:rPr>
                <w:b/>
                <w:snapToGrid w:val="0"/>
                <w:color w:val="auto"/>
                <w:kern w:val="0"/>
                <w:szCs w:val="21"/>
              </w:rPr>
              <w:t>固废暂存场所（设施）环境影响分析</w:t>
            </w:r>
          </w:p>
          <w:p>
            <w:pPr>
              <w:snapToGrid w:val="0"/>
              <w:spacing w:line="360" w:lineRule="auto"/>
              <w:ind w:firstLine="420" w:firstLineChars="200"/>
              <w:rPr>
                <w:color w:val="auto"/>
                <w:szCs w:val="21"/>
              </w:rPr>
            </w:pPr>
            <w:r>
              <w:rPr>
                <w:color w:val="auto"/>
                <w:szCs w:val="21"/>
              </w:rPr>
              <w:t>1）一般工业固废</w:t>
            </w:r>
          </w:p>
          <w:p>
            <w:pPr>
              <w:spacing w:line="360" w:lineRule="auto"/>
              <w:ind w:firstLine="420" w:firstLineChars="200"/>
              <w:rPr>
                <w:color w:val="auto"/>
                <w:szCs w:val="21"/>
              </w:rPr>
            </w:pPr>
            <w:r>
              <w:rPr>
                <w:color w:val="auto"/>
                <w:szCs w:val="21"/>
              </w:rPr>
              <w:t>本项目</w:t>
            </w:r>
            <w:r>
              <w:rPr>
                <w:rFonts w:hint="eastAsia"/>
                <w:color w:val="auto"/>
                <w:szCs w:val="21"/>
              </w:rPr>
              <w:t>新建</w:t>
            </w:r>
            <w:r>
              <w:rPr>
                <w:color w:val="auto"/>
                <w:szCs w:val="21"/>
              </w:rPr>
              <w:t>一间一般工业固废仓库，建筑面积</w:t>
            </w:r>
            <w:r>
              <w:rPr>
                <w:rFonts w:hint="eastAsia"/>
                <w:color w:val="auto"/>
                <w:szCs w:val="21"/>
              </w:rPr>
              <w:t>10</w:t>
            </w:r>
            <w:r>
              <w:rPr>
                <w:color w:val="auto"/>
                <w:szCs w:val="21"/>
              </w:rPr>
              <w:t>m</w:t>
            </w:r>
            <w:r>
              <w:rPr>
                <w:color w:val="auto"/>
                <w:szCs w:val="21"/>
                <w:vertAlign w:val="superscript"/>
              </w:rPr>
              <w:t>2</w:t>
            </w:r>
            <w:r>
              <w:rPr>
                <w:color w:val="auto"/>
                <w:szCs w:val="21"/>
              </w:rPr>
              <w:t>，一般工业固废仓库按照《一般工业固体废物贮存和填埋污染控制标准》（GB18599-2020）要求建设，对一般固废仓库地面进行硬化，并做好防腐、防渗和防漏处理，制定了“一般固废仓库管理制度”、“一般工业固废处置管理规定”，由专人维护。因此，本项目一般工业固废的收集、贮存对环境的影响较小。</w:t>
            </w:r>
          </w:p>
          <w:p>
            <w:pPr>
              <w:spacing w:line="360" w:lineRule="auto"/>
              <w:ind w:firstLine="420" w:firstLineChars="200"/>
              <w:rPr>
                <w:color w:val="auto"/>
                <w:szCs w:val="21"/>
              </w:rPr>
            </w:pPr>
            <w:r>
              <w:rPr>
                <w:color w:val="auto"/>
                <w:szCs w:val="21"/>
              </w:rPr>
              <w:t>2）危险固废</w:t>
            </w:r>
          </w:p>
          <w:p>
            <w:pPr>
              <w:spacing w:line="360" w:lineRule="auto"/>
              <w:ind w:firstLine="420" w:firstLineChars="200"/>
              <w:rPr>
                <w:color w:val="auto"/>
              </w:rPr>
            </w:pPr>
            <w:r>
              <w:rPr>
                <w:color w:val="auto"/>
                <w:szCs w:val="21"/>
              </w:rPr>
              <w:t>本项目</w:t>
            </w:r>
            <w:r>
              <w:rPr>
                <w:rFonts w:hint="eastAsia"/>
                <w:color w:val="auto"/>
                <w:szCs w:val="21"/>
              </w:rPr>
              <w:t>新建</w:t>
            </w:r>
            <w:r>
              <w:rPr>
                <w:color w:val="auto"/>
                <w:szCs w:val="21"/>
              </w:rPr>
              <w:t>设置一间危废仓库，建筑面积</w:t>
            </w:r>
            <w:r>
              <w:rPr>
                <w:rFonts w:hint="eastAsia"/>
                <w:color w:val="auto"/>
                <w:szCs w:val="21"/>
              </w:rPr>
              <w:t>5</w:t>
            </w:r>
            <w:r>
              <w:rPr>
                <w:color w:val="auto"/>
                <w:szCs w:val="21"/>
              </w:rPr>
              <w:t>m</w:t>
            </w:r>
            <w:r>
              <w:rPr>
                <w:color w:val="auto"/>
                <w:szCs w:val="21"/>
                <w:vertAlign w:val="superscript"/>
              </w:rPr>
              <w:t>2</w:t>
            </w:r>
            <w:r>
              <w:rPr>
                <w:color w:val="auto"/>
                <w:szCs w:val="21"/>
              </w:rPr>
              <w:t>，</w:t>
            </w:r>
            <w:r>
              <w:rPr>
                <w:rFonts w:hint="eastAsia"/>
                <w:color w:val="auto"/>
                <w:szCs w:val="21"/>
              </w:rPr>
              <w:t>危废库</w:t>
            </w:r>
            <w:r>
              <w:rPr>
                <w:color w:val="auto"/>
                <w:szCs w:val="21"/>
              </w:rPr>
              <w:t>按照</w:t>
            </w:r>
            <w:r>
              <w:rPr>
                <w:rFonts w:hint="eastAsia"/>
                <w:color w:val="auto"/>
                <w:szCs w:val="21"/>
              </w:rPr>
              <w:t>《危险废物贮存污染控制标准》（GB18597-2023）</w:t>
            </w:r>
            <w:r>
              <w:rPr>
                <w:color w:val="auto"/>
                <w:szCs w:val="21"/>
              </w:rPr>
              <w:t>的相关要求建设。项目产生的危险废物分类密封、分区存放，</w:t>
            </w:r>
            <w:r>
              <w:rPr>
                <w:color w:val="auto"/>
              </w:rPr>
              <w:t>还应设置隔离间隔断。</w:t>
            </w:r>
          </w:p>
          <w:p>
            <w:pPr>
              <w:spacing w:line="360" w:lineRule="auto"/>
              <w:ind w:firstLine="420" w:firstLineChars="200"/>
              <w:rPr>
                <w:color w:val="auto"/>
              </w:rPr>
            </w:pPr>
            <w:r>
              <w:rPr>
                <w:color w:val="auto"/>
              </w:rPr>
              <w:t>废活性炭（HW49）年产生量</w:t>
            </w:r>
            <w:r>
              <w:rPr>
                <w:rFonts w:hint="eastAsia"/>
                <w:color w:val="auto"/>
                <w:szCs w:val="21"/>
              </w:rPr>
              <w:t>1.6456</w:t>
            </w:r>
            <w:r>
              <w:rPr>
                <w:color w:val="auto"/>
              </w:rPr>
              <w:t>t，拟采用吨袋包装，暂存1只吨袋，每只吨袋占地</w:t>
            </w:r>
            <w:r>
              <w:rPr>
                <w:rFonts w:hint="eastAsia"/>
                <w:color w:val="auto"/>
              </w:rPr>
              <w:t>2</w:t>
            </w:r>
            <w:r>
              <w:rPr>
                <w:color w:val="auto"/>
              </w:rPr>
              <w:t>m</w:t>
            </w:r>
            <w:r>
              <w:rPr>
                <w:color w:val="auto"/>
                <w:vertAlign w:val="superscript"/>
              </w:rPr>
              <w:t>2</w:t>
            </w:r>
            <w:r>
              <w:rPr>
                <w:color w:val="auto"/>
              </w:rPr>
              <w:t>，所需占地面积</w:t>
            </w:r>
            <w:r>
              <w:rPr>
                <w:rFonts w:hint="eastAsia"/>
                <w:color w:val="auto"/>
              </w:rPr>
              <w:t>2</w:t>
            </w:r>
            <w:r>
              <w:rPr>
                <w:color w:val="auto"/>
              </w:rPr>
              <w:t>m</w:t>
            </w:r>
            <w:r>
              <w:rPr>
                <w:color w:val="auto"/>
                <w:vertAlign w:val="superscript"/>
              </w:rPr>
              <w:t>2</w:t>
            </w:r>
            <w:r>
              <w:rPr>
                <w:color w:val="auto"/>
              </w:rPr>
              <w:t>。</w:t>
            </w:r>
          </w:p>
          <w:p>
            <w:pPr>
              <w:spacing w:line="360" w:lineRule="auto"/>
              <w:ind w:firstLine="420" w:firstLineChars="200"/>
              <w:rPr>
                <w:color w:val="auto"/>
              </w:rPr>
            </w:pPr>
            <w:r>
              <w:rPr>
                <w:color w:val="auto"/>
              </w:rPr>
              <w:t>废</w:t>
            </w:r>
            <w:r>
              <w:rPr>
                <w:rFonts w:hint="eastAsia"/>
                <w:color w:val="auto"/>
              </w:rPr>
              <w:t>包装桶</w:t>
            </w:r>
            <w:r>
              <w:rPr>
                <w:color w:val="auto"/>
              </w:rPr>
              <w:t>（HW49）年产生量20</w:t>
            </w:r>
            <w:r>
              <w:rPr>
                <w:rFonts w:hint="eastAsia"/>
                <w:color w:val="auto"/>
              </w:rPr>
              <w:t>只</w:t>
            </w:r>
            <w:r>
              <w:rPr>
                <w:color w:val="auto"/>
              </w:rPr>
              <w:t>，拟密封后堆放，需占地面积1m</w:t>
            </w:r>
            <w:r>
              <w:rPr>
                <w:color w:val="auto"/>
                <w:vertAlign w:val="superscript"/>
              </w:rPr>
              <w:t>2</w:t>
            </w:r>
            <w:r>
              <w:rPr>
                <w:color w:val="auto"/>
              </w:rPr>
              <w:t>。</w:t>
            </w:r>
          </w:p>
          <w:p>
            <w:pPr>
              <w:widowControl/>
              <w:spacing w:line="360" w:lineRule="auto"/>
              <w:ind w:firstLine="420" w:firstLineChars="200"/>
              <w:jc w:val="left"/>
              <w:rPr>
                <w:color w:val="auto"/>
              </w:rPr>
            </w:pPr>
            <w:r>
              <w:rPr>
                <w:color w:val="auto"/>
              </w:rPr>
              <w:t>综上所述，考虑危废仓库还需设置过道、导流渠、收集池等，</w:t>
            </w:r>
            <w:r>
              <w:rPr>
                <w:rFonts w:hint="eastAsia"/>
                <w:color w:val="auto"/>
              </w:rPr>
              <w:t>新建</w:t>
            </w:r>
            <w:r>
              <w:rPr>
                <w:color w:val="auto"/>
              </w:rPr>
              <w:t>一座</w:t>
            </w:r>
            <w:r>
              <w:rPr>
                <w:rFonts w:hint="eastAsia"/>
                <w:color w:val="auto"/>
              </w:rPr>
              <w:t>5</w:t>
            </w:r>
            <w:r>
              <w:rPr>
                <w:color w:val="auto"/>
              </w:rPr>
              <w:t>m2的危废仓库可以满足</w:t>
            </w:r>
            <w:r>
              <w:rPr>
                <w:rFonts w:hint="eastAsia"/>
                <w:color w:val="auto"/>
              </w:rPr>
              <w:t>要求。危废仓库分区贮存情况见图4-4。</w:t>
            </w:r>
          </w:p>
          <w:p>
            <w:pPr>
              <w:adjustRightInd w:val="0"/>
              <w:snapToGrid w:val="0"/>
              <w:jc w:val="center"/>
              <w:rPr>
                <w:b/>
                <w:color w:val="auto"/>
                <w:szCs w:val="21"/>
              </w:rPr>
            </w:pPr>
            <w:r>
              <w:rPr>
                <w:rFonts w:ascii="宋体" w:hAnsi="宋体" w:cs="宋体"/>
                <w:color w:val="auto"/>
                <w:sz w:val="24"/>
              </w:rPr>
              <w:drawing>
                <wp:inline distT="0" distB="0" distL="114300" distR="114300">
                  <wp:extent cx="4284345" cy="2002790"/>
                  <wp:effectExtent l="0" t="0" r="1905" b="16510"/>
                  <wp:docPr id="3"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descr="IMG_256"/>
                          <pic:cNvPicPr>
                            <a:picLocks noChangeAspect="1"/>
                          </pic:cNvPicPr>
                        </pic:nvPicPr>
                        <pic:blipFill>
                          <a:blip r:embed="rId48"/>
                          <a:stretch>
                            <a:fillRect/>
                          </a:stretch>
                        </pic:blipFill>
                        <pic:spPr>
                          <a:xfrm>
                            <a:off x="0" y="0"/>
                            <a:ext cx="4284345" cy="2002790"/>
                          </a:xfrm>
                          <a:prstGeom prst="rect">
                            <a:avLst/>
                          </a:prstGeom>
                          <a:noFill/>
                          <a:ln w="9525">
                            <a:noFill/>
                          </a:ln>
                        </pic:spPr>
                      </pic:pic>
                    </a:graphicData>
                  </a:graphic>
                </wp:inline>
              </w:drawing>
            </w:r>
          </w:p>
          <w:p>
            <w:pPr>
              <w:adjustRightInd w:val="0"/>
              <w:snapToGrid w:val="0"/>
              <w:jc w:val="center"/>
              <w:rPr>
                <w:b/>
                <w:color w:val="auto"/>
                <w:szCs w:val="21"/>
              </w:rPr>
            </w:pPr>
            <w:r>
              <w:rPr>
                <w:b/>
                <w:color w:val="auto"/>
                <w:szCs w:val="21"/>
              </w:rPr>
              <w:t>图4-</w:t>
            </w:r>
            <w:r>
              <w:rPr>
                <w:rFonts w:hint="eastAsia"/>
                <w:b/>
                <w:color w:val="auto"/>
                <w:szCs w:val="21"/>
              </w:rPr>
              <w:t>4</w:t>
            </w:r>
            <w:r>
              <w:rPr>
                <w:b/>
                <w:color w:val="auto"/>
                <w:szCs w:val="21"/>
              </w:rPr>
              <w:t xml:space="preserve">  危废仓库分区贮存示意图</w:t>
            </w:r>
          </w:p>
          <w:p>
            <w:pPr>
              <w:spacing w:line="360" w:lineRule="auto"/>
              <w:ind w:firstLine="420" w:firstLineChars="200"/>
              <w:rPr>
                <w:color w:val="auto"/>
                <w:szCs w:val="21"/>
              </w:rPr>
            </w:pPr>
            <w:r>
              <w:rPr>
                <w:color w:val="auto"/>
                <w:szCs w:val="21"/>
              </w:rPr>
              <w:t>收集的危险废物及时贮存至危废仓库，同时建立危险废物管理制度，设置储存台账，如实记录危险废物储存及处理情况，贮存场所在出入口</w:t>
            </w:r>
            <w:r>
              <w:rPr>
                <w:rFonts w:hint="eastAsia"/>
                <w:color w:val="auto"/>
                <w:szCs w:val="21"/>
              </w:rPr>
              <w:t>应</w:t>
            </w:r>
            <w:r>
              <w:rPr>
                <w:color w:val="auto"/>
                <w:szCs w:val="21"/>
              </w:rPr>
              <w:t>设置在线视频监控。</w:t>
            </w:r>
          </w:p>
          <w:p>
            <w:pPr>
              <w:spacing w:line="360" w:lineRule="auto"/>
              <w:ind w:firstLine="420" w:firstLineChars="200"/>
              <w:rPr>
                <w:color w:val="auto"/>
                <w:szCs w:val="21"/>
              </w:rPr>
            </w:pPr>
            <w:r>
              <w:rPr>
                <w:color w:val="auto"/>
                <w:szCs w:val="21"/>
              </w:rPr>
              <w:t>废活性炭</w:t>
            </w:r>
            <w:r>
              <w:rPr>
                <w:rFonts w:hint="eastAsia"/>
                <w:color w:val="auto"/>
                <w:szCs w:val="21"/>
              </w:rPr>
              <w:t>、</w:t>
            </w:r>
            <w:r>
              <w:rPr>
                <w:color w:val="auto"/>
                <w:szCs w:val="21"/>
              </w:rPr>
              <w:t>废</w:t>
            </w:r>
            <w:r>
              <w:rPr>
                <w:rFonts w:hint="eastAsia"/>
                <w:color w:val="auto"/>
                <w:szCs w:val="21"/>
              </w:rPr>
              <w:t>包装桶</w:t>
            </w:r>
            <w:r>
              <w:rPr>
                <w:color w:val="auto"/>
                <w:szCs w:val="21"/>
              </w:rPr>
              <w:t>密闭桶装，废</w:t>
            </w:r>
            <w:r>
              <w:rPr>
                <w:rFonts w:hint="eastAsia"/>
                <w:color w:val="auto"/>
                <w:szCs w:val="21"/>
              </w:rPr>
              <w:t>包装</w:t>
            </w:r>
            <w:r>
              <w:rPr>
                <w:color w:val="auto"/>
                <w:szCs w:val="21"/>
              </w:rPr>
              <w:t>桶密封后采用堆放形式，容器开口处作密封处理，贮存过程中不会挥发出废气，不会对环境空气、地表水、地下水、土壤以及环境敏感目标造成影响。</w:t>
            </w:r>
          </w:p>
          <w:p>
            <w:pPr>
              <w:spacing w:line="360" w:lineRule="auto"/>
              <w:ind w:firstLine="420" w:firstLineChars="200"/>
              <w:rPr>
                <w:color w:val="auto"/>
                <w:szCs w:val="21"/>
              </w:rPr>
            </w:pPr>
            <w:r>
              <w:rPr>
                <w:color w:val="auto"/>
                <w:szCs w:val="21"/>
              </w:rPr>
              <w:t>因此，危险废物的贮存满足</w:t>
            </w:r>
            <w:r>
              <w:rPr>
                <w:rFonts w:hint="eastAsia"/>
                <w:color w:val="auto"/>
                <w:szCs w:val="21"/>
              </w:rPr>
              <w:t>《危险废物贮存污染控制标准》（GB18597-2023）</w:t>
            </w:r>
            <w:r>
              <w:rPr>
                <w:color w:val="auto"/>
                <w:szCs w:val="21"/>
              </w:rPr>
              <w:t>的相关要求。</w:t>
            </w:r>
          </w:p>
          <w:p>
            <w:pPr>
              <w:spacing w:line="360" w:lineRule="auto"/>
              <w:ind w:firstLine="420" w:firstLineChars="200"/>
              <w:rPr>
                <w:color w:val="auto"/>
                <w:szCs w:val="21"/>
              </w:rPr>
            </w:pPr>
            <w:r>
              <w:rPr>
                <w:color w:val="auto"/>
                <w:szCs w:val="21"/>
              </w:rPr>
              <w:t>（4）运输过程的环境影响分析</w:t>
            </w:r>
          </w:p>
          <w:p>
            <w:pPr>
              <w:spacing w:line="360" w:lineRule="auto"/>
              <w:ind w:firstLine="420" w:firstLineChars="200"/>
              <w:rPr>
                <w:color w:val="auto"/>
                <w:szCs w:val="21"/>
              </w:rPr>
            </w:pPr>
            <w:r>
              <w:rPr>
                <w:color w:val="auto"/>
                <w:szCs w:val="21"/>
              </w:rPr>
              <w:t>危险废物的收集、运输按照《危险废物收集、贮存、运输技术规范》（HJ2025-2012）的要求进行。在运输过程中，按照《江苏省固体废物污染环境防治条例》中对危险废物的包装、运输的有关标准、技术规范和要求进行，有效防止危险废物转移过程中污染环境。项目需处理的危险废物采用专门的车辆，密闭运输，严格禁止抛洒滴漏，杜绝在运输过程中造成环境的二次污染。在危险废物的运输中执行</w:t>
            </w:r>
            <w:r>
              <w:rPr>
                <w:rFonts w:hint="eastAsia"/>
                <w:color w:val="auto"/>
                <w:szCs w:val="21"/>
              </w:rPr>
              <w:t>《危险废物转移管理办法》（生态环境部 公安部 交通运输部 部令 第23号）</w:t>
            </w:r>
            <w:r>
              <w:rPr>
                <w:color w:val="auto"/>
                <w:szCs w:val="21"/>
              </w:rPr>
              <w:t>中有关的规定和要求。</w:t>
            </w:r>
          </w:p>
          <w:p>
            <w:pPr>
              <w:spacing w:line="360" w:lineRule="auto"/>
              <w:ind w:firstLine="420" w:firstLineChars="200"/>
              <w:rPr>
                <w:color w:val="auto"/>
                <w:szCs w:val="21"/>
              </w:rPr>
            </w:pPr>
            <w:r>
              <w:rPr>
                <w:color w:val="auto"/>
                <w:szCs w:val="21"/>
              </w:rPr>
              <w:t>建设单位须针对此对员工进行培训，加强安全生产及防止污染的意识，培训通过后方可上岗，对于固体废弃物的收集、运输要实施专人专职管理制度并建立好台账。</w:t>
            </w:r>
          </w:p>
          <w:p>
            <w:pPr>
              <w:spacing w:line="360" w:lineRule="auto"/>
              <w:ind w:firstLine="420" w:firstLineChars="200"/>
              <w:rPr>
                <w:color w:val="auto"/>
                <w:szCs w:val="21"/>
              </w:rPr>
            </w:pPr>
            <w:r>
              <w:rPr>
                <w:color w:val="auto"/>
                <w:szCs w:val="21"/>
              </w:rPr>
              <w:t>（5）委托处置的环境影响分析</w:t>
            </w:r>
          </w:p>
          <w:p>
            <w:pPr>
              <w:spacing w:line="360" w:lineRule="auto"/>
              <w:ind w:firstLine="420" w:firstLineChars="200"/>
              <w:rPr>
                <w:color w:val="auto"/>
                <w:szCs w:val="21"/>
              </w:rPr>
            </w:pPr>
            <w:r>
              <w:rPr>
                <w:color w:val="auto"/>
                <w:szCs w:val="21"/>
              </w:rPr>
              <w:t>本项目运营过程产生的危废需委托处置为HW49（废活性炭</w:t>
            </w:r>
            <w:r>
              <w:rPr>
                <w:rFonts w:hint="eastAsia"/>
                <w:color w:val="auto"/>
                <w:szCs w:val="21"/>
              </w:rPr>
              <w:t>、废包装桶</w:t>
            </w:r>
            <w:r>
              <w:rPr>
                <w:color w:val="auto"/>
                <w:szCs w:val="21"/>
              </w:rPr>
              <w:t>），委托有资质单位收集清运危废。企业承诺待项目建成后，严格按照</w:t>
            </w:r>
            <w:r>
              <w:rPr>
                <w:rFonts w:hint="eastAsia"/>
                <w:color w:val="auto"/>
                <w:szCs w:val="21"/>
              </w:rPr>
              <w:t>《危险废物贮存污染控制标准》（GB18597-2023）</w:t>
            </w:r>
            <w:r>
              <w:rPr>
                <w:color w:val="auto"/>
                <w:szCs w:val="21"/>
              </w:rPr>
              <w:t>要求设置危废仓库，将上述危险固废在厂区危废仓库所内暂存，建立健全危险废物贮存、利用、处置</w:t>
            </w:r>
            <w:r>
              <w:rPr>
                <w:rFonts w:hint="eastAsia"/>
                <w:color w:val="auto"/>
                <w:szCs w:val="21"/>
              </w:rPr>
              <w:t>台账</w:t>
            </w:r>
            <w:r>
              <w:rPr>
                <w:color w:val="auto"/>
                <w:szCs w:val="21"/>
              </w:rPr>
              <w:t>，并如实记录危险废物贮存、利用、处置情况。</w:t>
            </w:r>
          </w:p>
          <w:p>
            <w:pPr>
              <w:jc w:val="center"/>
              <w:rPr>
                <w:b/>
                <w:color w:val="auto"/>
                <w:szCs w:val="21"/>
              </w:rPr>
            </w:pPr>
            <w:r>
              <w:rPr>
                <w:b/>
                <w:color w:val="auto"/>
                <w:szCs w:val="21"/>
              </w:rPr>
              <w:t>表4-2</w:t>
            </w:r>
            <w:r>
              <w:rPr>
                <w:rFonts w:hint="eastAsia"/>
                <w:b/>
                <w:color w:val="auto"/>
                <w:szCs w:val="21"/>
              </w:rPr>
              <w:t>3</w:t>
            </w:r>
            <w:r>
              <w:rPr>
                <w:b/>
                <w:color w:val="auto"/>
                <w:szCs w:val="21"/>
              </w:rPr>
              <w:t xml:space="preserve">   </w:t>
            </w:r>
            <w:r>
              <w:rPr>
                <w:b/>
                <w:color w:val="auto"/>
              </w:rPr>
              <w:t>项目危废的意向资质单位及处理能力</w:t>
            </w:r>
          </w:p>
          <w:tbl>
            <w:tblPr>
              <w:tblStyle w:val="3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35" w:type="dxa"/>
                <w:left w:w="106" w:type="dxa"/>
                <w:bottom w:w="0" w:type="dxa"/>
                <w:right w:w="0" w:type="dxa"/>
              </w:tblCellMar>
            </w:tblPr>
            <w:tblGrid>
              <w:gridCol w:w="747"/>
              <w:gridCol w:w="857"/>
              <w:gridCol w:w="1101"/>
              <w:gridCol w:w="1292"/>
              <w:gridCol w:w="510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5" w:type="dxa"/>
                  <w:left w:w="106" w:type="dxa"/>
                  <w:bottom w:w="0" w:type="dxa"/>
                  <w:right w:w="0" w:type="dxa"/>
                </w:tblCellMar>
              </w:tblPrEx>
              <w:trPr>
                <w:trHeight w:val="20" w:hRule="atLeast"/>
              </w:trPr>
              <w:tc>
                <w:tcPr>
                  <w:tcW w:w="547" w:type="pct"/>
                  <w:vAlign w:val="center"/>
                </w:tcPr>
                <w:p>
                  <w:pPr>
                    <w:adjustRightInd w:val="0"/>
                    <w:snapToGrid w:val="0"/>
                    <w:jc w:val="center"/>
                    <w:rPr>
                      <w:b/>
                      <w:bCs/>
                      <w:color w:val="auto"/>
                      <w:sz w:val="18"/>
                      <w:szCs w:val="21"/>
                    </w:rPr>
                  </w:pPr>
                  <w:r>
                    <w:rPr>
                      <w:b/>
                      <w:bCs/>
                      <w:color w:val="auto"/>
                      <w:sz w:val="18"/>
                      <w:szCs w:val="21"/>
                    </w:rPr>
                    <w:t>名称</w:t>
                  </w:r>
                </w:p>
              </w:tc>
              <w:tc>
                <w:tcPr>
                  <w:tcW w:w="607" w:type="pct"/>
                  <w:vAlign w:val="center"/>
                </w:tcPr>
                <w:p>
                  <w:pPr>
                    <w:adjustRightInd w:val="0"/>
                    <w:snapToGrid w:val="0"/>
                    <w:jc w:val="center"/>
                    <w:rPr>
                      <w:b/>
                      <w:bCs/>
                      <w:color w:val="auto"/>
                      <w:sz w:val="18"/>
                      <w:szCs w:val="21"/>
                    </w:rPr>
                  </w:pPr>
                  <w:r>
                    <w:rPr>
                      <w:b/>
                      <w:bCs/>
                      <w:color w:val="auto"/>
                      <w:sz w:val="18"/>
                      <w:szCs w:val="21"/>
                    </w:rPr>
                    <w:t>地址</w:t>
                  </w:r>
                </w:p>
              </w:tc>
              <w:tc>
                <w:tcPr>
                  <w:tcW w:w="546" w:type="pct"/>
                  <w:vAlign w:val="center"/>
                </w:tcPr>
                <w:p>
                  <w:pPr>
                    <w:adjustRightInd w:val="0"/>
                    <w:snapToGrid w:val="0"/>
                    <w:jc w:val="center"/>
                    <w:rPr>
                      <w:b/>
                      <w:bCs/>
                      <w:color w:val="auto"/>
                      <w:sz w:val="18"/>
                      <w:szCs w:val="21"/>
                    </w:rPr>
                  </w:pPr>
                  <w:r>
                    <w:rPr>
                      <w:b/>
                      <w:bCs/>
                      <w:color w:val="auto"/>
                      <w:sz w:val="18"/>
                      <w:szCs w:val="21"/>
                    </w:rPr>
                    <w:t>联系</w:t>
                  </w:r>
                </w:p>
                <w:p>
                  <w:pPr>
                    <w:adjustRightInd w:val="0"/>
                    <w:snapToGrid w:val="0"/>
                    <w:jc w:val="center"/>
                    <w:rPr>
                      <w:b/>
                      <w:bCs/>
                      <w:color w:val="auto"/>
                      <w:sz w:val="18"/>
                      <w:szCs w:val="21"/>
                    </w:rPr>
                  </w:pPr>
                  <w:r>
                    <w:rPr>
                      <w:b/>
                      <w:bCs/>
                      <w:color w:val="auto"/>
                      <w:sz w:val="18"/>
                      <w:szCs w:val="21"/>
                    </w:rPr>
                    <w:t>方式</w:t>
                  </w:r>
                </w:p>
              </w:tc>
              <w:tc>
                <w:tcPr>
                  <w:tcW w:w="359" w:type="pct"/>
                  <w:vAlign w:val="center"/>
                </w:tcPr>
                <w:p>
                  <w:pPr>
                    <w:adjustRightInd w:val="0"/>
                    <w:snapToGrid w:val="0"/>
                    <w:jc w:val="center"/>
                    <w:rPr>
                      <w:b/>
                      <w:bCs/>
                      <w:color w:val="auto"/>
                      <w:sz w:val="18"/>
                      <w:szCs w:val="21"/>
                    </w:rPr>
                  </w:pPr>
                  <w:r>
                    <w:rPr>
                      <w:b/>
                      <w:bCs/>
                      <w:color w:val="auto"/>
                      <w:sz w:val="18"/>
                      <w:szCs w:val="21"/>
                    </w:rPr>
                    <w:t>许可证号</w:t>
                  </w:r>
                </w:p>
              </w:tc>
              <w:tc>
                <w:tcPr>
                  <w:tcW w:w="2938" w:type="pct"/>
                  <w:vAlign w:val="center"/>
                </w:tcPr>
                <w:p>
                  <w:pPr>
                    <w:adjustRightInd w:val="0"/>
                    <w:snapToGrid w:val="0"/>
                    <w:jc w:val="center"/>
                    <w:rPr>
                      <w:b/>
                      <w:bCs/>
                      <w:color w:val="auto"/>
                      <w:sz w:val="18"/>
                      <w:szCs w:val="21"/>
                    </w:rPr>
                  </w:pPr>
                  <w:r>
                    <w:rPr>
                      <w:b/>
                      <w:bCs/>
                      <w:color w:val="auto"/>
                      <w:sz w:val="18"/>
                      <w:szCs w:val="21"/>
                    </w:rPr>
                    <w:t>经营范围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35" w:type="dxa"/>
                  <w:left w:w="106" w:type="dxa"/>
                  <w:bottom w:w="0" w:type="dxa"/>
                  <w:right w:w="0" w:type="dxa"/>
                </w:tblCellMar>
              </w:tblPrEx>
              <w:trPr>
                <w:trHeight w:val="20" w:hRule="atLeast"/>
              </w:trPr>
              <w:tc>
                <w:tcPr>
                  <w:tcW w:w="547" w:type="pct"/>
                  <w:vAlign w:val="center"/>
                </w:tcPr>
                <w:p>
                  <w:pPr>
                    <w:adjustRightInd w:val="0"/>
                    <w:snapToGrid w:val="0"/>
                    <w:jc w:val="center"/>
                    <w:rPr>
                      <w:color w:val="auto"/>
                      <w:sz w:val="18"/>
                      <w:szCs w:val="21"/>
                    </w:rPr>
                  </w:pPr>
                  <w:r>
                    <w:rPr>
                      <w:rFonts w:hint="eastAsia"/>
                      <w:color w:val="auto"/>
                      <w:sz w:val="18"/>
                      <w:szCs w:val="21"/>
                    </w:rPr>
                    <w:t>苏州市吴中区固体废弃物处理有限公司</w:t>
                  </w:r>
                </w:p>
              </w:tc>
              <w:tc>
                <w:tcPr>
                  <w:tcW w:w="607" w:type="pct"/>
                  <w:vAlign w:val="center"/>
                </w:tcPr>
                <w:p>
                  <w:pPr>
                    <w:adjustRightInd w:val="0"/>
                    <w:snapToGrid w:val="0"/>
                    <w:jc w:val="center"/>
                    <w:rPr>
                      <w:color w:val="auto"/>
                      <w:sz w:val="18"/>
                      <w:szCs w:val="21"/>
                    </w:rPr>
                  </w:pPr>
                  <w:r>
                    <w:rPr>
                      <w:rFonts w:hint="eastAsia"/>
                      <w:color w:val="auto"/>
                      <w:sz w:val="18"/>
                      <w:szCs w:val="21"/>
                    </w:rPr>
                    <w:t>苏州市吴中区木渎镇宝带西路3</w:t>
                  </w:r>
                  <w:r>
                    <w:rPr>
                      <w:color w:val="auto"/>
                      <w:sz w:val="18"/>
                      <w:szCs w:val="21"/>
                    </w:rPr>
                    <w:t>377</w:t>
                  </w:r>
                  <w:r>
                    <w:rPr>
                      <w:rFonts w:hint="eastAsia"/>
                      <w:color w:val="auto"/>
                      <w:sz w:val="18"/>
                      <w:szCs w:val="21"/>
                    </w:rPr>
                    <w:t>号</w:t>
                  </w:r>
                </w:p>
              </w:tc>
              <w:tc>
                <w:tcPr>
                  <w:tcW w:w="546" w:type="pct"/>
                  <w:vAlign w:val="center"/>
                </w:tcPr>
                <w:p>
                  <w:pPr>
                    <w:adjustRightInd w:val="0"/>
                    <w:snapToGrid w:val="0"/>
                    <w:jc w:val="center"/>
                    <w:rPr>
                      <w:color w:val="auto"/>
                      <w:sz w:val="18"/>
                      <w:szCs w:val="21"/>
                    </w:rPr>
                  </w:pPr>
                  <w:r>
                    <w:rPr>
                      <w:rFonts w:hint="eastAsia"/>
                      <w:color w:val="auto"/>
                      <w:sz w:val="18"/>
                      <w:szCs w:val="21"/>
                    </w:rPr>
                    <w:t>张工</w:t>
                  </w:r>
                </w:p>
                <w:p>
                  <w:pPr>
                    <w:adjustRightInd w:val="0"/>
                    <w:snapToGrid w:val="0"/>
                    <w:jc w:val="center"/>
                    <w:rPr>
                      <w:color w:val="auto"/>
                      <w:sz w:val="18"/>
                      <w:szCs w:val="21"/>
                    </w:rPr>
                  </w:pPr>
                  <w:r>
                    <w:rPr>
                      <w:rFonts w:hint="eastAsia"/>
                      <w:color w:val="auto"/>
                      <w:sz w:val="18"/>
                      <w:szCs w:val="21"/>
                    </w:rPr>
                    <w:t>1</w:t>
                  </w:r>
                  <w:r>
                    <w:rPr>
                      <w:color w:val="auto"/>
                      <w:sz w:val="18"/>
                      <w:szCs w:val="21"/>
                    </w:rPr>
                    <w:t>8706256226</w:t>
                  </w:r>
                </w:p>
              </w:tc>
              <w:tc>
                <w:tcPr>
                  <w:tcW w:w="359" w:type="pct"/>
                  <w:vAlign w:val="center"/>
                </w:tcPr>
                <w:p>
                  <w:pPr>
                    <w:adjustRightInd w:val="0"/>
                    <w:snapToGrid w:val="0"/>
                    <w:jc w:val="center"/>
                    <w:rPr>
                      <w:color w:val="auto"/>
                      <w:sz w:val="18"/>
                      <w:szCs w:val="21"/>
                    </w:rPr>
                  </w:pPr>
                  <w:r>
                    <w:rPr>
                      <w:rFonts w:hint="eastAsia"/>
                      <w:color w:val="auto"/>
                      <w:sz w:val="18"/>
                      <w:szCs w:val="21"/>
                    </w:rPr>
                    <w:t>J</w:t>
                  </w:r>
                  <w:r>
                    <w:rPr>
                      <w:color w:val="auto"/>
                      <w:sz w:val="18"/>
                      <w:szCs w:val="21"/>
                    </w:rPr>
                    <w:t>S0506OOI558-5</w:t>
                  </w:r>
                </w:p>
              </w:tc>
              <w:tc>
                <w:tcPr>
                  <w:tcW w:w="2938" w:type="pct"/>
                  <w:vAlign w:val="center"/>
                </w:tcPr>
                <w:p>
                  <w:pPr>
                    <w:adjustRightInd w:val="0"/>
                    <w:snapToGrid w:val="0"/>
                    <w:jc w:val="center"/>
                    <w:rPr>
                      <w:color w:val="auto"/>
                      <w:sz w:val="18"/>
                      <w:szCs w:val="21"/>
                    </w:rPr>
                  </w:pPr>
                  <w:r>
                    <w:rPr>
                      <w:rFonts w:hint="eastAsia"/>
                      <w:color w:val="auto"/>
                      <w:sz w:val="18"/>
                      <w:szCs w:val="21"/>
                    </w:rPr>
                    <w:t>核准经营：焚烧处置医药废物(HW</w:t>
                  </w:r>
                  <w:r>
                    <w:rPr>
                      <w:color w:val="auto"/>
                      <w:sz w:val="18"/>
                      <w:szCs w:val="21"/>
                    </w:rPr>
                    <w:t>0</w:t>
                  </w:r>
                  <w:r>
                    <w:rPr>
                      <w:rFonts w:hint="eastAsia"/>
                      <w:color w:val="auto"/>
                      <w:sz w:val="18"/>
                      <w:szCs w:val="21"/>
                    </w:rPr>
                    <w:t>2)，废药物、药品（H</w:t>
                  </w:r>
                  <w:r>
                    <w:rPr>
                      <w:color w:val="auto"/>
                      <w:sz w:val="18"/>
                      <w:szCs w:val="21"/>
                    </w:rPr>
                    <w:t>W0</w:t>
                  </w:r>
                  <w:r>
                    <w:rPr>
                      <w:rFonts w:hint="eastAsia"/>
                      <w:color w:val="auto"/>
                      <w:sz w:val="18"/>
                      <w:szCs w:val="21"/>
                    </w:rPr>
                    <w:t>3)，农药废物(HW</w:t>
                  </w:r>
                  <w:r>
                    <w:rPr>
                      <w:color w:val="auto"/>
                      <w:sz w:val="18"/>
                      <w:szCs w:val="21"/>
                    </w:rPr>
                    <w:t>0</w:t>
                  </w:r>
                  <w:r>
                    <w:rPr>
                      <w:rFonts w:hint="eastAsia"/>
                      <w:color w:val="auto"/>
                      <w:sz w:val="18"/>
                      <w:szCs w:val="21"/>
                    </w:rPr>
                    <w:t>4)，木材防腐剂废物(H</w:t>
                  </w:r>
                  <w:r>
                    <w:rPr>
                      <w:color w:val="auto"/>
                      <w:sz w:val="18"/>
                      <w:szCs w:val="21"/>
                    </w:rPr>
                    <w:t>W0</w:t>
                  </w:r>
                  <w:r>
                    <w:rPr>
                      <w:rFonts w:hint="eastAsia"/>
                      <w:color w:val="auto"/>
                      <w:sz w:val="18"/>
                      <w:szCs w:val="21"/>
                    </w:rPr>
                    <w:t>5)，废有机溶剂与含有机溶剂废物(H</w:t>
                  </w:r>
                  <w:r>
                    <w:rPr>
                      <w:color w:val="auto"/>
                      <w:sz w:val="18"/>
                      <w:szCs w:val="21"/>
                    </w:rPr>
                    <w:t>W0</w:t>
                  </w:r>
                  <w:r>
                    <w:rPr>
                      <w:rFonts w:hint="eastAsia"/>
                      <w:color w:val="auto"/>
                      <w:sz w:val="18"/>
                      <w:szCs w:val="21"/>
                    </w:rPr>
                    <w:t>6)，废矿物油与含矿物油废物(HW</w:t>
                  </w:r>
                  <w:r>
                    <w:rPr>
                      <w:color w:val="auto"/>
                      <w:sz w:val="18"/>
                      <w:szCs w:val="21"/>
                    </w:rPr>
                    <w:t>0</w:t>
                  </w:r>
                  <w:r>
                    <w:rPr>
                      <w:rFonts w:hint="eastAsia"/>
                      <w:color w:val="auto"/>
                      <w:sz w:val="18"/>
                      <w:szCs w:val="21"/>
                    </w:rPr>
                    <w:t>8)，油/水、烃/水混合物或乳化液(HW</w:t>
                  </w:r>
                  <w:r>
                    <w:rPr>
                      <w:color w:val="auto"/>
                      <w:sz w:val="18"/>
                      <w:szCs w:val="21"/>
                    </w:rPr>
                    <w:t>0</w:t>
                  </w:r>
                  <w:r>
                    <w:rPr>
                      <w:rFonts w:hint="eastAsia"/>
                      <w:color w:val="auto"/>
                      <w:sz w:val="18"/>
                      <w:szCs w:val="21"/>
                    </w:rPr>
                    <w:t>9) ，精（蒸）馏残渣(H</w:t>
                  </w:r>
                  <w:r>
                    <w:rPr>
                      <w:color w:val="auto"/>
                      <w:sz w:val="18"/>
                      <w:szCs w:val="21"/>
                    </w:rPr>
                    <w:t>W</w:t>
                  </w:r>
                  <w:r>
                    <w:rPr>
                      <w:rFonts w:hint="eastAsia"/>
                      <w:color w:val="auto"/>
                      <w:sz w:val="18"/>
                      <w:szCs w:val="21"/>
                    </w:rPr>
                    <w:t>11)，染料、涂料废物(HW12)，有机树脂类废物（HW13)，新化学物质废物(HW14)，感光材料废物(HW16)，表面处理废物(HW17，仅限336-064-17)，含金属羰基化合物废物(HW19)，含铬废物(HW21，仅限193-001-21)，有机磷化物废物(HW37)，含酚废物(H</w:t>
                  </w:r>
                  <w:r>
                    <w:rPr>
                      <w:color w:val="auto"/>
                      <w:sz w:val="18"/>
                      <w:szCs w:val="21"/>
                    </w:rPr>
                    <w:t>W</w:t>
                  </w:r>
                  <w:r>
                    <w:rPr>
                      <w:rFonts w:hint="eastAsia"/>
                      <w:color w:val="auto"/>
                      <w:sz w:val="18"/>
                      <w:szCs w:val="21"/>
                    </w:rPr>
                    <w:t>39)，含醚废物(HW40)，含有机卤化物废物(H</w:t>
                  </w:r>
                  <w:r>
                    <w:rPr>
                      <w:color w:val="auto"/>
                      <w:sz w:val="18"/>
                      <w:szCs w:val="21"/>
                    </w:rPr>
                    <w:t>W</w:t>
                  </w:r>
                  <w:r>
                    <w:rPr>
                      <w:rFonts w:hint="eastAsia"/>
                      <w:color w:val="auto"/>
                      <w:sz w:val="18"/>
                      <w:szCs w:val="21"/>
                    </w:rPr>
                    <w:t>45)，其他废物（HW49，仅限772-006-49 、900-039-49 、 900-041-49 、 900-042-49 、900-046-49 、900-047-49、 9</w:t>
                  </w:r>
                  <w:r>
                    <w:rPr>
                      <w:color w:val="auto"/>
                      <w:sz w:val="18"/>
                      <w:szCs w:val="21"/>
                    </w:rPr>
                    <w:t>0</w:t>
                  </w:r>
                  <w:r>
                    <w:rPr>
                      <w:rFonts w:hint="eastAsia"/>
                      <w:color w:val="auto"/>
                      <w:sz w:val="18"/>
                      <w:szCs w:val="21"/>
                    </w:rPr>
                    <w:t>0-999-49)，废催化剂（HW50，仅限261-151-50 、261-152-50 、261-180-50 、261-183-50 、271-006-50、275-009-50、276-006-50)，合计20000吨/年。</w:t>
                  </w:r>
                </w:p>
              </w:tc>
            </w:tr>
          </w:tbl>
          <w:p>
            <w:pPr>
              <w:adjustRightInd w:val="0"/>
              <w:snapToGrid w:val="0"/>
              <w:spacing w:line="360" w:lineRule="auto"/>
              <w:ind w:firstLine="420" w:firstLineChars="200"/>
              <w:rPr>
                <w:color w:val="auto"/>
                <w:szCs w:val="21"/>
              </w:rPr>
            </w:pPr>
            <w:r>
              <w:rPr>
                <w:color w:val="auto"/>
                <w:szCs w:val="21"/>
              </w:rPr>
              <w:t>本项目产生的危险废物在</w:t>
            </w:r>
            <w:r>
              <w:rPr>
                <w:rFonts w:hint="eastAsia"/>
                <w:color w:val="auto"/>
                <w:szCs w:val="21"/>
              </w:rPr>
              <w:t>苏州市吴中区固体废弃物处理有限公司</w:t>
            </w:r>
            <w:r>
              <w:rPr>
                <w:color w:val="auto"/>
                <w:szCs w:val="21"/>
              </w:rPr>
              <w:t>经营许可证核准经营范围内，且均尚有余量接纳本项目的危废，因此建设项目危废委托该处置单位是可行的。</w:t>
            </w:r>
          </w:p>
          <w:p>
            <w:pPr>
              <w:snapToGrid w:val="0"/>
              <w:spacing w:line="360" w:lineRule="auto"/>
              <w:ind w:firstLine="420" w:firstLineChars="200"/>
              <w:rPr>
                <w:color w:val="auto"/>
                <w:szCs w:val="21"/>
              </w:rPr>
            </w:pPr>
            <w:r>
              <w:rPr>
                <w:color w:val="auto"/>
                <w:szCs w:val="21"/>
              </w:rPr>
              <w:t>综上分析可知，本项目产生的固体废物经有效处理和处置后对环境影响较小。</w:t>
            </w:r>
          </w:p>
          <w:p>
            <w:pPr>
              <w:snapToGrid w:val="0"/>
              <w:spacing w:line="360" w:lineRule="auto"/>
              <w:ind w:firstLine="420" w:firstLineChars="200"/>
              <w:rPr>
                <w:color w:val="auto"/>
                <w:szCs w:val="21"/>
              </w:rPr>
            </w:pPr>
            <w:r>
              <w:rPr>
                <w:color w:val="auto"/>
                <w:szCs w:val="21"/>
              </w:rPr>
              <w:t>（6）污染防治措施及其经济、技术分析</w:t>
            </w:r>
          </w:p>
          <w:p>
            <w:pPr>
              <w:snapToGrid w:val="0"/>
              <w:spacing w:line="360" w:lineRule="auto"/>
              <w:ind w:firstLine="420" w:firstLineChars="200"/>
              <w:rPr>
                <w:color w:val="auto"/>
                <w:szCs w:val="21"/>
              </w:rPr>
            </w:pPr>
            <w:r>
              <w:rPr>
                <w:color w:val="auto"/>
                <w:szCs w:val="21"/>
              </w:rPr>
              <w:t>1）贮存场所（设施）污染防治措施</w:t>
            </w:r>
          </w:p>
          <w:p>
            <w:pPr>
              <w:snapToGrid w:val="0"/>
              <w:spacing w:line="360" w:lineRule="auto"/>
              <w:ind w:firstLine="420" w:firstLineChars="200"/>
              <w:rPr>
                <w:color w:val="auto"/>
                <w:szCs w:val="21"/>
              </w:rPr>
            </w:pPr>
            <w:r>
              <w:rPr>
                <w:rFonts w:hint="eastAsia" w:ascii="宋体" w:hAnsi="宋体" w:cs="宋体"/>
                <w:color w:val="auto"/>
                <w:szCs w:val="21"/>
              </w:rPr>
              <w:t>①</w:t>
            </w:r>
            <w:r>
              <w:rPr>
                <w:color w:val="auto"/>
                <w:szCs w:val="21"/>
              </w:rPr>
              <w:t>一般固废</w:t>
            </w:r>
          </w:p>
          <w:p>
            <w:pPr>
              <w:snapToGrid w:val="0"/>
              <w:spacing w:line="360" w:lineRule="auto"/>
              <w:ind w:firstLine="420" w:firstLineChars="200"/>
              <w:rPr>
                <w:color w:val="auto"/>
                <w:szCs w:val="21"/>
              </w:rPr>
            </w:pPr>
            <w:r>
              <w:rPr>
                <w:color w:val="auto"/>
                <w:szCs w:val="21"/>
              </w:rPr>
              <w:t>本项目一般工业固废</w:t>
            </w:r>
            <w:r>
              <w:rPr>
                <w:rFonts w:hint="eastAsia"/>
                <w:color w:val="auto"/>
                <w:szCs w:val="21"/>
              </w:rPr>
              <w:t>需</w:t>
            </w:r>
            <w:r>
              <w:rPr>
                <w:color w:val="auto"/>
                <w:szCs w:val="21"/>
              </w:rPr>
              <w:t>按照相关要求分类收集贮存，暂存场所</w:t>
            </w:r>
            <w:r>
              <w:rPr>
                <w:rFonts w:hint="eastAsia"/>
                <w:color w:val="auto"/>
                <w:szCs w:val="21"/>
              </w:rPr>
              <w:t>已</w:t>
            </w:r>
            <w:r>
              <w:rPr>
                <w:color w:val="auto"/>
                <w:szCs w:val="21"/>
              </w:rPr>
              <w:t>满足《一般工业固体废物贮存和填埋污染控制标准》（GB18599-2020）、《环境保护图形标志—固体废物贮存（处置场）》（GB15562.2-1995）等规定要求。</w:t>
            </w:r>
          </w:p>
          <w:p>
            <w:pPr>
              <w:snapToGrid w:val="0"/>
              <w:spacing w:line="360" w:lineRule="auto"/>
              <w:ind w:firstLine="420" w:firstLineChars="200"/>
              <w:rPr>
                <w:color w:val="auto"/>
                <w:szCs w:val="21"/>
              </w:rPr>
            </w:pPr>
            <w:r>
              <w:rPr>
                <w:color w:val="auto"/>
                <w:szCs w:val="21"/>
              </w:rPr>
              <w:t>Ⅰ、贮存、处置场的建设类型，必须与将要堆放的一般工业固体废物的类别相一致。</w:t>
            </w:r>
          </w:p>
          <w:p>
            <w:pPr>
              <w:snapToGrid w:val="0"/>
              <w:spacing w:line="360" w:lineRule="auto"/>
              <w:ind w:firstLine="420" w:firstLineChars="200"/>
              <w:rPr>
                <w:color w:val="auto"/>
                <w:szCs w:val="21"/>
              </w:rPr>
            </w:pPr>
            <w:r>
              <w:rPr>
                <w:color w:val="auto"/>
                <w:szCs w:val="21"/>
              </w:rPr>
              <w:t>Ⅱ、为保障设施、设备正常运营，必要时应采取措施防止地基下沉，尤其是防止不均匀或局部下沉。</w:t>
            </w:r>
          </w:p>
          <w:p>
            <w:pPr>
              <w:snapToGrid w:val="0"/>
              <w:spacing w:line="360" w:lineRule="auto"/>
              <w:ind w:firstLine="420" w:firstLineChars="200"/>
              <w:rPr>
                <w:color w:val="auto"/>
                <w:szCs w:val="21"/>
              </w:rPr>
            </w:pPr>
            <w:r>
              <w:rPr>
                <w:color w:val="auto"/>
                <w:szCs w:val="21"/>
              </w:rPr>
              <w:t>Ⅲ、贮存、处置场的使用单位，应建立档案制度。应将入场的一般工业固体废物的种类和数量以及下列资料，详细记录在案，长期保存，供随时查阅。</w:t>
            </w:r>
          </w:p>
          <w:p>
            <w:pPr>
              <w:snapToGrid w:val="0"/>
              <w:spacing w:line="360" w:lineRule="auto"/>
              <w:ind w:firstLine="420" w:firstLineChars="200"/>
              <w:rPr>
                <w:color w:val="auto"/>
                <w:szCs w:val="21"/>
              </w:rPr>
            </w:pPr>
            <w:r>
              <w:rPr>
                <w:rFonts w:hint="eastAsia" w:ascii="宋体" w:hAnsi="宋体" w:cs="宋体"/>
                <w:color w:val="auto"/>
                <w:szCs w:val="21"/>
              </w:rPr>
              <w:t>②</w:t>
            </w:r>
            <w:r>
              <w:rPr>
                <w:color w:val="auto"/>
                <w:szCs w:val="21"/>
              </w:rPr>
              <w:t>危险固废</w:t>
            </w:r>
          </w:p>
          <w:p>
            <w:pPr>
              <w:snapToGrid w:val="0"/>
              <w:spacing w:line="360" w:lineRule="auto"/>
              <w:ind w:firstLine="420" w:firstLineChars="200"/>
              <w:rPr>
                <w:color w:val="auto"/>
                <w:szCs w:val="21"/>
              </w:rPr>
            </w:pPr>
            <w:r>
              <w:rPr>
                <w:color w:val="auto"/>
                <w:szCs w:val="21"/>
              </w:rPr>
              <w:t>本项目</w:t>
            </w:r>
            <w:r>
              <w:rPr>
                <w:rFonts w:hint="eastAsia"/>
                <w:color w:val="auto"/>
                <w:szCs w:val="21"/>
              </w:rPr>
              <w:t>新建一座5</w:t>
            </w:r>
            <w:r>
              <w:rPr>
                <w:color w:val="auto"/>
                <w:szCs w:val="21"/>
              </w:rPr>
              <w:t>m</w:t>
            </w:r>
            <w:r>
              <w:rPr>
                <w:color w:val="auto"/>
                <w:szCs w:val="21"/>
                <w:vertAlign w:val="superscript"/>
              </w:rPr>
              <w:t>2</w:t>
            </w:r>
            <w:r>
              <w:rPr>
                <w:color w:val="auto"/>
                <w:szCs w:val="21"/>
              </w:rPr>
              <w:t>的危废仓库，贮存能力满足要求，危废仓库基本情况见表4-2</w:t>
            </w:r>
            <w:r>
              <w:rPr>
                <w:rFonts w:hint="eastAsia"/>
                <w:color w:val="auto"/>
                <w:szCs w:val="21"/>
              </w:rPr>
              <w:t>4</w:t>
            </w:r>
            <w:r>
              <w:rPr>
                <w:color w:val="auto"/>
                <w:szCs w:val="21"/>
              </w:rPr>
              <w:t>。</w:t>
            </w:r>
          </w:p>
          <w:p>
            <w:pPr>
              <w:adjustRightInd w:val="0"/>
              <w:snapToGrid w:val="0"/>
              <w:jc w:val="center"/>
              <w:rPr>
                <w:b/>
                <w:color w:val="auto"/>
                <w:szCs w:val="21"/>
              </w:rPr>
            </w:pPr>
            <w:r>
              <w:rPr>
                <w:b/>
                <w:color w:val="auto"/>
                <w:szCs w:val="21"/>
              </w:rPr>
              <w:t>表4-2</w:t>
            </w:r>
            <w:r>
              <w:rPr>
                <w:rFonts w:hint="eastAsia"/>
                <w:b/>
                <w:color w:val="auto"/>
                <w:szCs w:val="21"/>
              </w:rPr>
              <w:t>4</w:t>
            </w:r>
            <w:r>
              <w:rPr>
                <w:b/>
                <w:color w:val="auto"/>
                <w:szCs w:val="21"/>
              </w:rPr>
              <w:t xml:space="preserve"> 危险废物贮存基本情况表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92"/>
              <w:gridCol w:w="777"/>
              <w:gridCol w:w="1169"/>
              <w:gridCol w:w="847"/>
              <w:gridCol w:w="1121"/>
              <w:gridCol w:w="712"/>
              <w:gridCol w:w="999"/>
              <w:gridCol w:w="1250"/>
              <w:gridCol w:w="869"/>
              <w:gridCol w:w="86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2" w:type="dxa"/>
                  <w:vAlign w:val="center"/>
                </w:tcPr>
                <w:p>
                  <w:pPr>
                    <w:spacing w:line="240" w:lineRule="atLeast"/>
                    <w:jc w:val="center"/>
                    <w:rPr>
                      <w:b/>
                      <w:color w:val="auto"/>
                      <w:sz w:val="18"/>
                      <w:szCs w:val="18"/>
                    </w:rPr>
                  </w:pPr>
                  <w:r>
                    <w:rPr>
                      <w:b/>
                      <w:color w:val="auto"/>
                      <w:sz w:val="18"/>
                      <w:szCs w:val="18"/>
                    </w:rPr>
                    <w:t>序号</w:t>
                  </w:r>
                </w:p>
              </w:tc>
              <w:tc>
                <w:tcPr>
                  <w:tcW w:w="777" w:type="dxa"/>
                  <w:vAlign w:val="center"/>
                </w:tcPr>
                <w:p>
                  <w:pPr>
                    <w:spacing w:line="240" w:lineRule="atLeast"/>
                    <w:jc w:val="center"/>
                    <w:rPr>
                      <w:b/>
                      <w:color w:val="auto"/>
                      <w:sz w:val="18"/>
                      <w:szCs w:val="18"/>
                    </w:rPr>
                  </w:pPr>
                  <w:r>
                    <w:rPr>
                      <w:b/>
                      <w:color w:val="auto"/>
                      <w:sz w:val="18"/>
                      <w:szCs w:val="18"/>
                    </w:rPr>
                    <w:t>贮存场所名称</w:t>
                  </w:r>
                </w:p>
              </w:tc>
              <w:tc>
                <w:tcPr>
                  <w:tcW w:w="1169" w:type="dxa"/>
                  <w:vAlign w:val="center"/>
                </w:tcPr>
                <w:p>
                  <w:pPr>
                    <w:spacing w:line="240" w:lineRule="atLeast"/>
                    <w:jc w:val="center"/>
                    <w:rPr>
                      <w:b/>
                      <w:color w:val="auto"/>
                      <w:sz w:val="18"/>
                      <w:szCs w:val="18"/>
                    </w:rPr>
                  </w:pPr>
                  <w:r>
                    <w:rPr>
                      <w:b/>
                      <w:color w:val="auto"/>
                      <w:sz w:val="18"/>
                      <w:szCs w:val="18"/>
                    </w:rPr>
                    <w:t>危险废物名称</w:t>
                  </w:r>
                </w:p>
              </w:tc>
              <w:tc>
                <w:tcPr>
                  <w:tcW w:w="847" w:type="dxa"/>
                  <w:vAlign w:val="center"/>
                </w:tcPr>
                <w:p>
                  <w:pPr>
                    <w:spacing w:line="240" w:lineRule="atLeast"/>
                    <w:jc w:val="center"/>
                    <w:rPr>
                      <w:b/>
                      <w:color w:val="auto"/>
                      <w:sz w:val="18"/>
                      <w:szCs w:val="18"/>
                    </w:rPr>
                  </w:pPr>
                  <w:r>
                    <w:rPr>
                      <w:b/>
                      <w:color w:val="auto"/>
                      <w:sz w:val="18"/>
                      <w:szCs w:val="18"/>
                    </w:rPr>
                    <w:t>危险废物类别</w:t>
                  </w:r>
                </w:p>
              </w:tc>
              <w:tc>
                <w:tcPr>
                  <w:tcW w:w="1121" w:type="dxa"/>
                  <w:vAlign w:val="center"/>
                </w:tcPr>
                <w:p>
                  <w:pPr>
                    <w:spacing w:line="240" w:lineRule="atLeast"/>
                    <w:jc w:val="center"/>
                    <w:rPr>
                      <w:b/>
                      <w:color w:val="auto"/>
                      <w:sz w:val="18"/>
                      <w:szCs w:val="18"/>
                    </w:rPr>
                  </w:pPr>
                  <w:r>
                    <w:rPr>
                      <w:b/>
                      <w:color w:val="auto"/>
                      <w:sz w:val="18"/>
                      <w:szCs w:val="18"/>
                    </w:rPr>
                    <w:t>危险废物</w:t>
                  </w:r>
                </w:p>
                <w:p>
                  <w:pPr>
                    <w:spacing w:line="240" w:lineRule="atLeast"/>
                    <w:jc w:val="center"/>
                    <w:rPr>
                      <w:b/>
                      <w:color w:val="auto"/>
                      <w:sz w:val="18"/>
                      <w:szCs w:val="18"/>
                    </w:rPr>
                  </w:pPr>
                  <w:r>
                    <w:rPr>
                      <w:b/>
                      <w:color w:val="auto"/>
                      <w:sz w:val="18"/>
                      <w:szCs w:val="18"/>
                    </w:rPr>
                    <w:t>代码</w:t>
                  </w:r>
                </w:p>
              </w:tc>
              <w:tc>
                <w:tcPr>
                  <w:tcW w:w="712" w:type="dxa"/>
                  <w:vAlign w:val="center"/>
                </w:tcPr>
                <w:p>
                  <w:pPr>
                    <w:spacing w:line="240" w:lineRule="atLeast"/>
                    <w:jc w:val="center"/>
                    <w:rPr>
                      <w:b/>
                      <w:color w:val="auto"/>
                      <w:sz w:val="18"/>
                      <w:szCs w:val="18"/>
                    </w:rPr>
                  </w:pPr>
                  <w:r>
                    <w:rPr>
                      <w:b/>
                      <w:color w:val="auto"/>
                      <w:sz w:val="18"/>
                      <w:szCs w:val="18"/>
                    </w:rPr>
                    <w:t>位置</w:t>
                  </w:r>
                </w:p>
              </w:tc>
              <w:tc>
                <w:tcPr>
                  <w:tcW w:w="999" w:type="dxa"/>
                  <w:vAlign w:val="center"/>
                </w:tcPr>
                <w:p>
                  <w:pPr>
                    <w:spacing w:line="240" w:lineRule="atLeast"/>
                    <w:jc w:val="center"/>
                    <w:rPr>
                      <w:b/>
                      <w:color w:val="auto"/>
                      <w:sz w:val="18"/>
                      <w:szCs w:val="18"/>
                    </w:rPr>
                  </w:pPr>
                  <w:r>
                    <w:rPr>
                      <w:b/>
                      <w:color w:val="auto"/>
                      <w:sz w:val="18"/>
                      <w:szCs w:val="18"/>
                    </w:rPr>
                    <w:t>占地面积（m</w:t>
                  </w:r>
                  <w:r>
                    <w:rPr>
                      <w:b/>
                      <w:color w:val="auto"/>
                      <w:sz w:val="18"/>
                      <w:szCs w:val="18"/>
                      <w:vertAlign w:val="superscript"/>
                    </w:rPr>
                    <w:t>3</w:t>
                  </w:r>
                  <w:r>
                    <w:rPr>
                      <w:b/>
                      <w:color w:val="auto"/>
                      <w:sz w:val="18"/>
                      <w:szCs w:val="18"/>
                    </w:rPr>
                    <w:t>）</w:t>
                  </w:r>
                </w:p>
              </w:tc>
              <w:tc>
                <w:tcPr>
                  <w:tcW w:w="1250" w:type="dxa"/>
                  <w:vAlign w:val="center"/>
                </w:tcPr>
                <w:p>
                  <w:pPr>
                    <w:spacing w:line="240" w:lineRule="atLeast"/>
                    <w:jc w:val="center"/>
                    <w:rPr>
                      <w:b/>
                      <w:color w:val="auto"/>
                      <w:sz w:val="18"/>
                      <w:szCs w:val="18"/>
                    </w:rPr>
                  </w:pPr>
                  <w:r>
                    <w:rPr>
                      <w:b/>
                      <w:color w:val="auto"/>
                      <w:sz w:val="18"/>
                      <w:szCs w:val="18"/>
                    </w:rPr>
                    <w:t>贮存方式</w:t>
                  </w:r>
                </w:p>
              </w:tc>
              <w:tc>
                <w:tcPr>
                  <w:tcW w:w="869" w:type="dxa"/>
                  <w:vAlign w:val="center"/>
                </w:tcPr>
                <w:p>
                  <w:pPr>
                    <w:spacing w:line="240" w:lineRule="atLeast"/>
                    <w:jc w:val="center"/>
                    <w:rPr>
                      <w:b/>
                      <w:color w:val="auto"/>
                      <w:sz w:val="18"/>
                      <w:szCs w:val="18"/>
                    </w:rPr>
                  </w:pPr>
                  <w:r>
                    <w:rPr>
                      <w:b/>
                      <w:color w:val="auto"/>
                      <w:sz w:val="18"/>
                      <w:szCs w:val="18"/>
                    </w:rPr>
                    <w:t>贮存</w:t>
                  </w:r>
                </w:p>
                <w:p>
                  <w:pPr>
                    <w:spacing w:line="240" w:lineRule="atLeast"/>
                    <w:jc w:val="center"/>
                    <w:rPr>
                      <w:b/>
                      <w:color w:val="auto"/>
                      <w:sz w:val="18"/>
                      <w:szCs w:val="18"/>
                    </w:rPr>
                  </w:pPr>
                  <w:r>
                    <w:rPr>
                      <w:b/>
                      <w:color w:val="auto"/>
                      <w:sz w:val="18"/>
                      <w:szCs w:val="18"/>
                    </w:rPr>
                    <w:t>能力</w:t>
                  </w:r>
                </w:p>
              </w:tc>
              <w:tc>
                <w:tcPr>
                  <w:tcW w:w="863" w:type="dxa"/>
                  <w:vAlign w:val="center"/>
                </w:tcPr>
                <w:p>
                  <w:pPr>
                    <w:spacing w:line="240" w:lineRule="atLeast"/>
                    <w:jc w:val="center"/>
                    <w:rPr>
                      <w:b/>
                      <w:color w:val="auto"/>
                      <w:sz w:val="18"/>
                      <w:szCs w:val="18"/>
                    </w:rPr>
                  </w:pPr>
                  <w:r>
                    <w:rPr>
                      <w:b/>
                      <w:color w:val="auto"/>
                      <w:sz w:val="18"/>
                      <w:szCs w:val="18"/>
                    </w:rPr>
                    <w:t>贮存</w:t>
                  </w:r>
                </w:p>
                <w:p>
                  <w:pPr>
                    <w:spacing w:line="240" w:lineRule="atLeast"/>
                    <w:jc w:val="center"/>
                    <w:rPr>
                      <w:b/>
                      <w:color w:val="auto"/>
                      <w:sz w:val="18"/>
                      <w:szCs w:val="18"/>
                    </w:rPr>
                  </w:pPr>
                  <w:r>
                    <w:rPr>
                      <w:b/>
                      <w:color w:val="auto"/>
                      <w:sz w:val="18"/>
                      <w:szCs w:val="18"/>
                    </w:rPr>
                    <w:t>周期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2" w:type="dxa"/>
                  <w:vAlign w:val="center"/>
                </w:tcPr>
                <w:p>
                  <w:pPr>
                    <w:spacing w:line="240" w:lineRule="atLeast"/>
                    <w:jc w:val="center"/>
                    <w:rPr>
                      <w:bCs/>
                      <w:color w:val="auto"/>
                      <w:sz w:val="18"/>
                      <w:szCs w:val="18"/>
                    </w:rPr>
                  </w:pPr>
                  <w:r>
                    <w:rPr>
                      <w:bCs/>
                      <w:color w:val="auto"/>
                      <w:sz w:val="18"/>
                      <w:szCs w:val="18"/>
                    </w:rPr>
                    <w:t>1</w:t>
                  </w:r>
                </w:p>
              </w:tc>
              <w:tc>
                <w:tcPr>
                  <w:tcW w:w="777" w:type="dxa"/>
                  <w:vMerge w:val="restart"/>
                  <w:vAlign w:val="center"/>
                </w:tcPr>
                <w:p>
                  <w:pPr>
                    <w:spacing w:line="240" w:lineRule="atLeast"/>
                    <w:jc w:val="center"/>
                    <w:rPr>
                      <w:bCs/>
                      <w:color w:val="auto"/>
                      <w:sz w:val="18"/>
                      <w:szCs w:val="18"/>
                    </w:rPr>
                  </w:pPr>
                  <w:r>
                    <w:rPr>
                      <w:bCs/>
                      <w:color w:val="auto"/>
                      <w:sz w:val="18"/>
                      <w:szCs w:val="18"/>
                    </w:rPr>
                    <w:t>危废仓库</w:t>
                  </w:r>
                </w:p>
              </w:tc>
              <w:tc>
                <w:tcPr>
                  <w:tcW w:w="1169" w:type="dxa"/>
                  <w:vAlign w:val="center"/>
                </w:tcPr>
                <w:p>
                  <w:pPr>
                    <w:spacing w:line="240" w:lineRule="atLeast"/>
                    <w:jc w:val="center"/>
                    <w:rPr>
                      <w:color w:val="auto"/>
                      <w:sz w:val="18"/>
                      <w:szCs w:val="18"/>
                    </w:rPr>
                  </w:pPr>
                  <w:r>
                    <w:rPr>
                      <w:color w:val="auto"/>
                      <w:sz w:val="18"/>
                      <w:szCs w:val="18"/>
                    </w:rPr>
                    <w:t>废</w:t>
                  </w:r>
                  <w:r>
                    <w:rPr>
                      <w:rFonts w:hint="eastAsia"/>
                      <w:color w:val="auto"/>
                      <w:sz w:val="18"/>
                      <w:szCs w:val="18"/>
                    </w:rPr>
                    <w:t>包装桶</w:t>
                  </w:r>
                </w:p>
              </w:tc>
              <w:tc>
                <w:tcPr>
                  <w:tcW w:w="847" w:type="dxa"/>
                  <w:vAlign w:val="center"/>
                </w:tcPr>
                <w:p>
                  <w:pPr>
                    <w:pStyle w:val="87"/>
                    <w:spacing w:line="240" w:lineRule="auto"/>
                    <w:rPr>
                      <w:bCs w:val="0"/>
                      <w:snapToGrid w:val="0"/>
                      <w:color w:val="auto"/>
                      <w:sz w:val="18"/>
                      <w:szCs w:val="18"/>
                    </w:rPr>
                  </w:pPr>
                  <w:r>
                    <w:rPr>
                      <w:color w:val="auto"/>
                      <w:sz w:val="18"/>
                      <w:szCs w:val="18"/>
                    </w:rPr>
                    <w:t>HW49</w:t>
                  </w:r>
                </w:p>
              </w:tc>
              <w:tc>
                <w:tcPr>
                  <w:tcW w:w="1121" w:type="dxa"/>
                  <w:vAlign w:val="center"/>
                </w:tcPr>
                <w:p>
                  <w:pPr>
                    <w:pStyle w:val="87"/>
                    <w:spacing w:line="240" w:lineRule="auto"/>
                    <w:rPr>
                      <w:color w:val="auto"/>
                      <w:sz w:val="18"/>
                      <w:szCs w:val="18"/>
                    </w:rPr>
                  </w:pPr>
                  <w:r>
                    <w:rPr>
                      <w:rFonts w:hint="eastAsia"/>
                      <w:color w:val="auto"/>
                      <w:sz w:val="18"/>
                      <w:szCs w:val="18"/>
                    </w:rPr>
                    <w:t>9</w:t>
                  </w:r>
                  <w:r>
                    <w:rPr>
                      <w:color w:val="auto"/>
                      <w:sz w:val="18"/>
                      <w:szCs w:val="18"/>
                    </w:rPr>
                    <w:t>00-041-49</w:t>
                  </w:r>
                </w:p>
              </w:tc>
              <w:tc>
                <w:tcPr>
                  <w:tcW w:w="712" w:type="dxa"/>
                  <w:vMerge w:val="restart"/>
                  <w:vAlign w:val="center"/>
                </w:tcPr>
                <w:p>
                  <w:pPr>
                    <w:spacing w:line="240" w:lineRule="atLeast"/>
                    <w:jc w:val="center"/>
                    <w:rPr>
                      <w:bCs/>
                      <w:color w:val="auto"/>
                      <w:sz w:val="18"/>
                      <w:szCs w:val="18"/>
                    </w:rPr>
                  </w:pPr>
                  <w:r>
                    <w:rPr>
                      <w:rFonts w:hint="eastAsia"/>
                      <w:bCs/>
                      <w:color w:val="auto"/>
                      <w:sz w:val="18"/>
                      <w:szCs w:val="18"/>
                    </w:rPr>
                    <w:t>危废暂存间</w:t>
                  </w:r>
                </w:p>
              </w:tc>
              <w:tc>
                <w:tcPr>
                  <w:tcW w:w="999" w:type="dxa"/>
                  <w:vAlign w:val="center"/>
                </w:tcPr>
                <w:p>
                  <w:pPr>
                    <w:spacing w:line="240" w:lineRule="atLeast"/>
                    <w:jc w:val="center"/>
                    <w:rPr>
                      <w:color w:val="auto"/>
                      <w:sz w:val="18"/>
                      <w:szCs w:val="18"/>
                    </w:rPr>
                  </w:pPr>
                  <w:r>
                    <w:rPr>
                      <w:color w:val="auto"/>
                      <w:sz w:val="18"/>
                      <w:szCs w:val="18"/>
                    </w:rPr>
                    <w:t>1</w:t>
                  </w:r>
                </w:p>
              </w:tc>
              <w:tc>
                <w:tcPr>
                  <w:tcW w:w="1250" w:type="dxa"/>
                  <w:vAlign w:val="center"/>
                </w:tcPr>
                <w:p>
                  <w:pPr>
                    <w:spacing w:line="240" w:lineRule="atLeast"/>
                    <w:jc w:val="center"/>
                    <w:rPr>
                      <w:bCs/>
                      <w:color w:val="auto"/>
                      <w:sz w:val="18"/>
                      <w:szCs w:val="18"/>
                    </w:rPr>
                  </w:pPr>
                  <w:r>
                    <w:rPr>
                      <w:bCs/>
                      <w:color w:val="auto"/>
                      <w:sz w:val="18"/>
                      <w:szCs w:val="18"/>
                    </w:rPr>
                    <w:t>桶装、密封</w:t>
                  </w:r>
                </w:p>
              </w:tc>
              <w:tc>
                <w:tcPr>
                  <w:tcW w:w="869" w:type="dxa"/>
                  <w:vAlign w:val="center"/>
                </w:tcPr>
                <w:p>
                  <w:pPr>
                    <w:spacing w:line="240" w:lineRule="atLeast"/>
                    <w:jc w:val="center"/>
                    <w:rPr>
                      <w:color w:val="auto"/>
                      <w:sz w:val="18"/>
                      <w:szCs w:val="18"/>
                    </w:rPr>
                  </w:pPr>
                  <w:r>
                    <w:rPr>
                      <w:rFonts w:hint="eastAsia"/>
                      <w:color w:val="auto"/>
                      <w:sz w:val="18"/>
                      <w:szCs w:val="18"/>
                    </w:rPr>
                    <w:t>2t</w:t>
                  </w:r>
                </w:p>
              </w:tc>
              <w:tc>
                <w:tcPr>
                  <w:tcW w:w="863" w:type="dxa"/>
                  <w:vAlign w:val="center"/>
                </w:tcPr>
                <w:p>
                  <w:pPr>
                    <w:spacing w:line="240" w:lineRule="atLeast"/>
                    <w:jc w:val="center"/>
                    <w:rPr>
                      <w:bCs/>
                      <w:color w:val="auto"/>
                      <w:sz w:val="18"/>
                      <w:szCs w:val="18"/>
                    </w:rPr>
                  </w:pPr>
                  <w:r>
                    <w:rPr>
                      <w:bCs/>
                      <w:color w:val="auto"/>
                      <w:sz w:val="18"/>
                      <w:szCs w:val="18"/>
                    </w:rPr>
                    <w:t>1</w:t>
                  </w:r>
                  <w:r>
                    <w:rPr>
                      <w:rFonts w:hint="eastAsia"/>
                      <w:bCs/>
                      <w:color w:val="auto"/>
                      <w:sz w:val="18"/>
                      <w:szCs w:val="18"/>
                    </w:rPr>
                    <w:t>个月</w:t>
                  </w:r>
                  <w:r>
                    <w:rPr>
                      <w:bCs/>
                      <w:color w:val="auto"/>
                      <w:sz w:val="18"/>
                      <w:szCs w:val="18"/>
                    </w:rPr>
                    <w:t xml:space="preserve">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92" w:type="dxa"/>
                  <w:vAlign w:val="center"/>
                </w:tcPr>
                <w:p>
                  <w:pPr>
                    <w:spacing w:line="240" w:lineRule="atLeast"/>
                    <w:jc w:val="center"/>
                    <w:rPr>
                      <w:bCs/>
                      <w:color w:val="auto"/>
                      <w:sz w:val="18"/>
                      <w:szCs w:val="18"/>
                    </w:rPr>
                  </w:pPr>
                  <w:r>
                    <w:rPr>
                      <w:bCs/>
                      <w:color w:val="auto"/>
                      <w:sz w:val="18"/>
                      <w:szCs w:val="18"/>
                    </w:rPr>
                    <w:t>2</w:t>
                  </w:r>
                </w:p>
              </w:tc>
              <w:tc>
                <w:tcPr>
                  <w:tcW w:w="777" w:type="dxa"/>
                  <w:vMerge w:val="continue"/>
                  <w:vAlign w:val="center"/>
                </w:tcPr>
                <w:p>
                  <w:pPr>
                    <w:spacing w:line="240" w:lineRule="atLeast"/>
                    <w:jc w:val="center"/>
                    <w:rPr>
                      <w:bCs/>
                      <w:color w:val="auto"/>
                      <w:sz w:val="18"/>
                      <w:szCs w:val="18"/>
                    </w:rPr>
                  </w:pPr>
                </w:p>
              </w:tc>
              <w:tc>
                <w:tcPr>
                  <w:tcW w:w="1169" w:type="dxa"/>
                  <w:vAlign w:val="center"/>
                </w:tcPr>
                <w:p>
                  <w:pPr>
                    <w:spacing w:line="240" w:lineRule="atLeast"/>
                    <w:jc w:val="center"/>
                    <w:rPr>
                      <w:color w:val="auto"/>
                      <w:sz w:val="18"/>
                      <w:szCs w:val="18"/>
                    </w:rPr>
                  </w:pPr>
                  <w:r>
                    <w:rPr>
                      <w:rFonts w:hint="eastAsia"/>
                      <w:color w:val="auto"/>
                      <w:sz w:val="18"/>
                      <w:szCs w:val="18"/>
                    </w:rPr>
                    <w:t>废活性炭</w:t>
                  </w:r>
                </w:p>
              </w:tc>
              <w:tc>
                <w:tcPr>
                  <w:tcW w:w="847" w:type="dxa"/>
                  <w:vAlign w:val="center"/>
                </w:tcPr>
                <w:p>
                  <w:pPr>
                    <w:pStyle w:val="87"/>
                    <w:spacing w:line="240" w:lineRule="auto"/>
                    <w:rPr>
                      <w:color w:val="auto"/>
                      <w:sz w:val="18"/>
                      <w:szCs w:val="18"/>
                    </w:rPr>
                  </w:pPr>
                  <w:r>
                    <w:rPr>
                      <w:color w:val="auto"/>
                      <w:sz w:val="18"/>
                      <w:szCs w:val="18"/>
                    </w:rPr>
                    <w:t>HW49</w:t>
                  </w:r>
                </w:p>
              </w:tc>
              <w:tc>
                <w:tcPr>
                  <w:tcW w:w="1121" w:type="dxa"/>
                  <w:vAlign w:val="center"/>
                </w:tcPr>
                <w:p>
                  <w:pPr>
                    <w:pStyle w:val="87"/>
                    <w:spacing w:line="240" w:lineRule="auto"/>
                    <w:rPr>
                      <w:color w:val="auto"/>
                      <w:sz w:val="18"/>
                      <w:szCs w:val="18"/>
                    </w:rPr>
                  </w:pPr>
                  <w:r>
                    <w:rPr>
                      <w:color w:val="auto"/>
                      <w:sz w:val="18"/>
                      <w:szCs w:val="18"/>
                    </w:rPr>
                    <w:t>900-039-49</w:t>
                  </w:r>
                </w:p>
              </w:tc>
              <w:tc>
                <w:tcPr>
                  <w:tcW w:w="712" w:type="dxa"/>
                  <w:vMerge w:val="continue"/>
                  <w:vAlign w:val="center"/>
                </w:tcPr>
                <w:p>
                  <w:pPr>
                    <w:spacing w:line="240" w:lineRule="atLeast"/>
                    <w:jc w:val="center"/>
                    <w:rPr>
                      <w:bCs/>
                      <w:color w:val="auto"/>
                      <w:sz w:val="18"/>
                      <w:szCs w:val="18"/>
                    </w:rPr>
                  </w:pPr>
                </w:p>
              </w:tc>
              <w:tc>
                <w:tcPr>
                  <w:tcW w:w="999" w:type="dxa"/>
                  <w:vAlign w:val="center"/>
                </w:tcPr>
                <w:p>
                  <w:pPr>
                    <w:spacing w:line="240" w:lineRule="atLeast"/>
                    <w:jc w:val="center"/>
                    <w:rPr>
                      <w:color w:val="auto"/>
                      <w:sz w:val="18"/>
                      <w:szCs w:val="18"/>
                    </w:rPr>
                  </w:pPr>
                  <w:r>
                    <w:rPr>
                      <w:rFonts w:hint="eastAsia"/>
                      <w:color w:val="auto"/>
                      <w:sz w:val="18"/>
                      <w:szCs w:val="18"/>
                    </w:rPr>
                    <w:t>1</w:t>
                  </w:r>
                </w:p>
              </w:tc>
              <w:tc>
                <w:tcPr>
                  <w:tcW w:w="1250" w:type="dxa"/>
                  <w:vAlign w:val="center"/>
                </w:tcPr>
                <w:p>
                  <w:pPr>
                    <w:spacing w:line="240" w:lineRule="atLeast"/>
                    <w:jc w:val="center"/>
                    <w:rPr>
                      <w:bCs/>
                      <w:color w:val="auto"/>
                      <w:sz w:val="18"/>
                      <w:szCs w:val="18"/>
                    </w:rPr>
                  </w:pPr>
                  <w:r>
                    <w:rPr>
                      <w:bCs/>
                      <w:color w:val="auto"/>
                      <w:sz w:val="18"/>
                      <w:szCs w:val="18"/>
                    </w:rPr>
                    <w:t>桶装、密封</w:t>
                  </w:r>
                </w:p>
              </w:tc>
              <w:tc>
                <w:tcPr>
                  <w:tcW w:w="869" w:type="dxa"/>
                  <w:vAlign w:val="center"/>
                </w:tcPr>
                <w:p>
                  <w:pPr>
                    <w:spacing w:line="240" w:lineRule="atLeast"/>
                    <w:jc w:val="center"/>
                    <w:rPr>
                      <w:color w:val="auto"/>
                      <w:sz w:val="18"/>
                      <w:szCs w:val="18"/>
                    </w:rPr>
                  </w:pPr>
                  <w:r>
                    <w:rPr>
                      <w:color w:val="auto"/>
                      <w:sz w:val="18"/>
                      <w:szCs w:val="18"/>
                    </w:rPr>
                    <w:t>0.</w:t>
                  </w:r>
                  <w:r>
                    <w:rPr>
                      <w:rFonts w:hint="eastAsia"/>
                      <w:color w:val="auto"/>
                      <w:sz w:val="18"/>
                      <w:szCs w:val="18"/>
                    </w:rPr>
                    <w:t>1t</w:t>
                  </w:r>
                </w:p>
              </w:tc>
              <w:tc>
                <w:tcPr>
                  <w:tcW w:w="863" w:type="dxa"/>
                  <w:vAlign w:val="center"/>
                </w:tcPr>
                <w:p>
                  <w:pPr>
                    <w:spacing w:line="240" w:lineRule="atLeast"/>
                    <w:jc w:val="center"/>
                    <w:rPr>
                      <w:bCs/>
                      <w:color w:val="auto"/>
                      <w:sz w:val="18"/>
                      <w:szCs w:val="18"/>
                    </w:rPr>
                  </w:pPr>
                  <w:r>
                    <w:rPr>
                      <w:bCs/>
                      <w:color w:val="auto"/>
                      <w:sz w:val="18"/>
                      <w:szCs w:val="18"/>
                    </w:rPr>
                    <w:t>1</w:t>
                  </w:r>
                  <w:r>
                    <w:rPr>
                      <w:rFonts w:hint="eastAsia"/>
                      <w:bCs/>
                      <w:color w:val="auto"/>
                      <w:sz w:val="18"/>
                      <w:szCs w:val="18"/>
                    </w:rPr>
                    <w:t>个月</w:t>
                  </w:r>
                  <w:r>
                    <w:rPr>
                      <w:bCs/>
                      <w:color w:val="auto"/>
                      <w:sz w:val="18"/>
                      <w:szCs w:val="18"/>
                    </w:rPr>
                    <w:t xml:space="preserve"> </w:t>
                  </w:r>
                </w:p>
              </w:tc>
            </w:tr>
          </w:tbl>
          <w:p>
            <w:pPr>
              <w:adjustRightInd w:val="0"/>
              <w:snapToGrid w:val="0"/>
              <w:spacing w:before="120" w:beforeLines="50" w:line="360" w:lineRule="auto"/>
              <w:ind w:firstLine="420" w:firstLineChars="200"/>
              <w:rPr>
                <w:color w:val="auto"/>
                <w:szCs w:val="21"/>
              </w:rPr>
            </w:pPr>
            <w:r>
              <w:rPr>
                <w:color w:val="auto"/>
                <w:szCs w:val="21"/>
              </w:rPr>
              <w:t>本项目设置的危废仓库所应满足如下要求：</w:t>
            </w:r>
          </w:p>
          <w:p>
            <w:pPr>
              <w:snapToGrid w:val="0"/>
              <w:spacing w:line="360" w:lineRule="auto"/>
              <w:ind w:firstLine="420" w:firstLineChars="200"/>
              <w:rPr>
                <w:color w:val="auto"/>
                <w:szCs w:val="21"/>
              </w:rPr>
            </w:pPr>
            <w:r>
              <w:rPr>
                <w:color w:val="auto"/>
                <w:szCs w:val="21"/>
              </w:rPr>
              <w:t>I、贮存物质相容性要求：在常温常</w:t>
            </w:r>
            <w:r>
              <w:rPr>
                <w:color w:val="auto"/>
                <w:szCs w:val="21"/>
              </w:rPr>
              <w:t>压下不水解、不挥发的固体危险废物可在危废仓库分别堆放，除此之外的其他危险废物必须存放于容器中，存放用容器也</w:t>
            </w:r>
            <w:r>
              <w:rPr>
                <w:rFonts w:hint="eastAsia"/>
                <w:color w:val="auto"/>
                <w:szCs w:val="21"/>
              </w:rPr>
              <w:t>须</w:t>
            </w:r>
            <w:r>
              <w:rPr>
                <w:color w:val="auto"/>
                <w:szCs w:val="21"/>
              </w:rPr>
              <w:t>符合(GB18597-20</w:t>
            </w:r>
            <w:r>
              <w:rPr>
                <w:rFonts w:hint="eastAsia"/>
                <w:color w:val="auto"/>
                <w:szCs w:val="21"/>
              </w:rPr>
              <w:t>23</w:t>
            </w:r>
            <w:r>
              <w:rPr>
                <w:color w:val="auto"/>
                <w:szCs w:val="21"/>
              </w:rPr>
              <w:t>)标准的相关规定；禁止将不相容(相互反应)的危险废物在同一容器中存放；无法装入常用容器的危险废物可用防漏胶袋等盛装。</w:t>
            </w:r>
          </w:p>
          <w:p>
            <w:pPr>
              <w:snapToGrid w:val="0"/>
              <w:spacing w:line="360" w:lineRule="auto"/>
              <w:ind w:firstLine="420" w:firstLineChars="200"/>
              <w:rPr>
                <w:color w:val="auto"/>
                <w:szCs w:val="21"/>
              </w:rPr>
            </w:pPr>
            <w:r>
              <w:rPr>
                <w:color w:val="auto"/>
                <w:szCs w:val="21"/>
              </w:rPr>
              <w:t>II、包装容器要求：危险废物贮存容器应当使用符合标准的容器盛装危险废物，装载危险废物的容器及材质要满足相应的强度要求，完好无损，盛装危险废物的容器材质和衬里要与危险废物相容。</w:t>
            </w:r>
          </w:p>
          <w:p>
            <w:pPr>
              <w:snapToGrid w:val="0"/>
              <w:spacing w:line="360" w:lineRule="auto"/>
              <w:ind w:firstLine="420" w:firstLineChars="200"/>
              <w:rPr>
                <w:color w:val="auto"/>
                <w:szCs w:val="21"/>
              </w:rPr>
            </w:pPr>
            <w:r>
              <w:rPr>
                <w:color w:val="auto"/>
                <w:szCs w:val="21"/>
              </w:rPr>
              <w:t>III、危废仓库要求：本项目危废仓库</w:t>
            </w:r>
            <w:r>
              <w:rPr>
                <w:rFonts w:hint="eastAsia"/>
                <w:color w:val="auto"/>
                <w:szCs w:val="21"/>
              </w:rPr>
              <w:t>已</w:t>
            </w:r>
            <w:r>
              <w:rPr>
                <w:color w:val="auto"/>
                <w:szCs w:val="21"/>
              </w:rPr>
              <w:t>按照《危险废物贮存污染控制标准》（GB18597-20</w:t>
            </w:r>
            <w:r>
              <w:rPr>
                <w:rFonts w:hint="eastAsia"/>
                <w:color w:val="auto"/>
                <w:szCs w:val="21"/>
              </w:rPr>
              <w:t>23</w:t>
            </w:r>
            <w:r>
              <w:rPr>
                <w:color w:val="auto"/>
                <w:szCs w:val="21"/>
              </w:rPr>
              <w:t>）的相关要求建设：地面设置防渗层，配备通讯设备、照明设施、安全防护服装及工具，并设有应急防护设施；在危险废物仓库出入口、设施内部、危险废物运输车辆通道等关键位置按照危险废物贮存设施视频监控布设要求设置视频监控，并与中控室联网。对危险废物的容器和包装物以及收集、贮存、运输、处置危险废物的设施、场所，拟设置危险废物识别标志。</w:t>
            </w:r>
          </w:p>
          <w:p>
            <w:pPr>
              <w:snapToGrid w:val="0"/>
              <w:spacing w:line="360" w:lineRule="auto"/>
              <w:ind w:firstLine="420" w:firstLineChars="200"/>
              <w:rPr>
                <w:color w:val="auto"/>
                <w:szCs w:val="21"/>
              </w:rPr>
            </w:pPr>
            <w:r>
              <w:rPr>
                <w:color w:val="auto"/>
                <w:szCs w:val="21"/>
              </w:rPr>
              <w:t>危废贮存过程必须分类存放、贮存，并必须要做到防雨、防渗、防漏、防扬散、防流失及其他防止污染环境的措施，不得随意露天堆放，地面进行耐腐蚀硬化处理，地基须防渗，地面表面无裂缝；不相容的危险废物需分类存放，并设置隔离间隔断；具备警示标识等方面内容。</w:t>
            </w:r>
          </w:p>
          <w:p>
            <w:pPr>
              <w:snapToGrid w:val="0"/>
              <w:spacing w:line="360" w:lineRule="auto"/>
              <w:ind w:firstLine="420" w:firstLineChars="200"/>
              <w:rPr>
                <w:color w:val="auto"/>
                <w:szCs w:val="21"/>
              </w:rPr>
            </w:pPr>
            <w:r>
              <w:rPr>
                <w:color w:val="auto"/>
                <w:szCs w:val="21"/>
              </w:rPr>
              <w:t>IV、危废仓库管理要求：危废仓库设立危险废物进出入台账登记管理制度，记录每次运送流程和处置去向，严格执行危险废物电子联单制度，实行对危险废物从源头到终端处理的全过程监管，确保危险废物100%得到安全处置。</w:t>
            </w:r>
          </w:p>
          <w:p>
            <w:pPr>
              <w:snapToGrid w:val="0"/>
              <w:spacing w:line="360" w:lineRule="auto"/>
              <w:ind w:firstLine="420" w:firstLineChars="200"/>
              <w:rPr>
                <w:color w:val="auto"/>
                <w:szCs w:val="21"/>
              </w:rPr>
            </w:pPr>
            <w:r>
              <w:rPr>
                <w:color w:val="auto"/>
                <w:szCs w:val="21"/>
              </w:rPr>
              <w:t>2）固废仓库环境保护图形标志</w:t>
            </w:r>
          </w:p>
          <w:p>
            <w:pPr>
              <w:tabs>
                <w:tab w:val="left" w:pos="1200"/>
              </w:tabs>
              <w:adjustRightInd w:val="0"/>
              <w:snapToGrid w:val="0"/>
              <w:spacing w:line="360" w:lineRule="auto"/>
              <w:ind w:firstLine="420" w:firstLineChars="200"/>
              <w:rPr>
                <w:color w:val="auto"/>
                <w:szCs w:val="21"/>
              </w:rPr>
            </w:pPr>
            <w:r>
              <w:rPr>
                <w:color w:val="auto"/>
                <w:szCs w:val="21"/>
              </w:rPr>
              <w:t>根据</w:t>
            </w:r>
            <w:r>
              <w:rPr>
                <w:rFonts w:hint="eastAsia"/>
                <w:color w:val="auto"/>
                <w:szCs w:val="21"/>
              </w:rPr>
              <w:t>《省生态环境厅关于做好</w:t>
            </w:r>
            <w:r>
              <w:rPr>
                <w:rFonts w:ascii="Arial" w:hAnsi="Arial" w:cs="Arial"/>
                <w:color w:val="auto"/>
                <w:sz w:val="19"/>
                <w:szCs w:val="19"/>
                <w:shd w:val="clear" w:color="auto" w:fill="FFFFFF"/>
              </w:rPr>
              <w:t>〈</w:t>
            </w:r>
            <w:r>
              <w:rPr>
                <w:rFonts w:hint="eastAsia"/>
                <w:color w:val="auto"/>
                <w:szCs w:val="21"/>
              </w:rPr>
              <w:t>危险废物贮存污染控制标准</w:t>
            </w:r>
            <w:r>
              <w:rPr>
                <w:rFonts w:ascii="Arial" w:hAnsi="Arial" w:cs="Arial"/>
                <w:color w:val="auto"/>
                <w:sz w:val="19"/>
                <w:szCs w:val="19"/>
                <w:shd w:val="clear" w:color="auto" w:fill="FFFFFF"/>
              </w:rPr>
              <w:t>〉</w:t>
            </w:r>
            <w:r>
              <w:rPr>
                <w:rFonts w:hint="eastAsia"/>
                <w:color w:val="auto"/>
                <w:szCs w:val="21"/>
              </w:rPr>
              <w:t>等标准规范实施后危险废物环境管理衔接工作的通知》（苏环办〔2023〕154号）、</w:t>
            </w:r>
            <w:r>
              <w:rPr>
                <w:color w:val="auto"/>
                <w:szCs w:val="21"/>
              </w:rPr>
              <w:t>《省生态环境厅关于进一步加强危险废物污染防治工作的实施意见》（苏环办[2019]327号）</w:t>
            </w:r>
            <w:r>
              <w:rPr>
                <w:rFonts w:hint="eastAsia"/>
                <w:color w:val="auto"/>
                <w:szCs w:val="21"/>
              </w:rPr>
              <w:t>及《危险废物识别标志设置技术规范》（HJ1276-2022）等要求</w:t>
            </w:r>
            <w:r>
              <w:rPr>
                <w:color w:val="auto"/>
                <w:szCs w:val="21"/>
              </w:rPr>
              <w:t>设置环境保护图形标志。</w:t>
            </w:r>
          </w:p>
          <w:p>
            <w:pPr>
              <w:autoSpaceDE w:val="0"/>
              <w:autoSpaceDN w:val="0"/>
              <w:adjustRightInd w:val="0"/>
              <w:snapToGrid w:val="0"/>
              <w:jc w:val="center"/>
              <w:rPr>
                <w:b/>
                <w:bCs/>
                <w:color w:val="auto"/>
                <w:kern w:val="0"/>
                <w:szCs w:val="21"/>
              </w:rPr>
            </w:pPr>
            <w:r>
              <w:rPr>
                <w:b/>
                <w:bCs/>
                <w:color w:val="auto"/>
                <w:kern w:val="0"/>
                <w:szCs w:val="21"/>
              </w:rPr>
              <w:t>表4-2</w:t>
            </w:r>
            <w:r>
              <w:rPr>
                <w:rFonts w:hint="eastAsia"/>
                <w:b/>
                <w:bCs/>
                <w:color w:val="auto"/>
                <w:kern w:val="0"/>
                <w:szCs w:val="21"/>
              </w:rPr>
              <w:t>5</w:t>
            </w:r>
            <w:r>
              <w:rPr>
                <w:b/>
                <w:bCs/>
                <w:color w:val="auto"/>
                <w:kern w:val="0"/>
                <w:szCs w:val="21"/>
              </w:rPr>
              <w:t xml:space="preserve"> 固废仓库的环境保护图形标志</w:t>
            </w:r>
            <w:r>
              <w:rPr>
                <w:b/>
                <w:bCs/>
                <w:color w:val="auto"/>
                <w:kern w:val="0"/>
                <w:szCs w:val="21"/>
              </w:rPr>
              <w:t>一览表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167" w:type="dxa"/>
                </w:tcPr>
                <w:p>
                  <w:pPr>
                    <w:widowControl/>
                    <w:adjustRightInd w:val="0"/>
                    <w:snapToGrid w:val="0"/>
                    <w:rPr>
                      <w:b/>
                      <w:bCs/>
                      <w:color w:val="auto"/>
                      <w:sz w:val="18"/>
                      <w:szCs w:val="18"/>
                    </w:rPr>
                  </w:pPr>
                  <w:r>
                    <w:rPr>
                      <w:b/>
                      <w:bCs/>
                      <w:color w:val="auto"/>
                      <w:sz w:val="18"/>
                      <w:szCs w:val="18"/>
                    </w:rPr>
                    <w:t>一般固废暂存：</w:t>
                  </w:r>
                </w:p>
                <w:p>
                  <w:pPr>
                    <w:widowControl/>
                    <w:adjustRightInd w:val="0"/>
                    <w:snapToGrid w:val="0"/>
                    <w:rPr>
                      <w:color w:val="auto"/>
                      <w:sz w:val="18"/>
                      <w:szCs w:val="18"/>
                    </w:rPr>
                  </w:pPr>
                  <w:r>
                    <w:rPr>
                      <w:color w:val="auto"/>
                      <w:sz w:val="18"/>
                      <w:szCs w:val="18"/>
                    </w:rPr>
                    <w:t>1、规格：30×40cm</w:t>
                  </w:r>
                </w:p>
                <w:p>
                  <w:pPr>
                    <w:widowControl/>
                    <w:adjustRightInd w:val="0"/>
                    <w:snapToGrid w:val="0"/>
                    <w:rPr>
                      <w:color w:val="auto"/>
                      <w:sz w:val="18"/>
                      <w:szCs w:val="18"/>
                    </w:rPr>
                  </w:pPr>
                  <w:r>
                    <w:rPr>
                      <w:color w:val="auto"/>
                      <w:sz w:val="18"/>
                      <w:szCs w:val="18"/>
                    </w:rPr>
                    <w:t>2、材质：1.0mm铁板或铝板</w:t>
                  </w:r>
                </w:p>
                <w:p>
                  <w:pPr>
                    <w:widowControl/>
                    <w:adjustRightInd w:val="0"/>
                    <w:snapToGrid w:val="0"/>
                    <w:rPr>
                      <w:color w:val="auto"/>
                      <w:sz w:val="18"/>
                      <w:szCs w:val="18"/>
                    </w:rPr>
                  </w:pPr>
                  <w:r>
                    <w:rPr>
                      <w:color w:val="auto"/>
                      <w:sz w:val="18"/>
                      <w:szCs w:val="18"/>
                    </w:rPr>
                    <w:t>3、污染物种类填：包装废料；</w:t>
                  </w:r>
                </w:p>
                <w:p>
                  <w:pPr>
                    <w:widowControl/>
                    <w:adjustRightInd w:val="0"/>
                    <w:snapToGrid w:val="0"/>
                    <w:rPr>
                      <w:color w:val="auto"/>
                      <w:sz w:val="18"/>
                      <w:szCs w:val="18"/>
                    </w:rPr>
                  </w:pPr>
                  <w:r>
                    <w:rPr>
                      <w:color w:val="auto"/>
                      <w:sz w:val="18"/>
                      <w:szCs w:val="18"/>
                    </w:rPr>
                    <w:t>4、排口编号：企业自行编号；</w:t>
                  </w:r>
                </w:p>
                <w:p>
                  <w:pPr>
                    <w:widowControl/>
                    <w:adjustRightInd w:val="0"/>
                    <w:snapToGrid w:val="0"/>
                    <w:rPr>
                      <w:color w:val="auto"/>
                      <w:sz w:val="18"/>
                      <w:szCs w:val="18"/>
                    </w:rPr>
                  </w:pPr>
                  <w:r>
                    <w:rPr>
                      <w:color w:val="auto"/>
                      <w:sz w:val="18"/>
                      <w:szCs w:val="18"/>
                    </w:rPr>
                    <w:t>5、企业名称：企业全名；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167" w:type="dxa"/>
                </w:tcPr>
                <w:p>
                  <w:pPr>
                    <w:widowControl/>
                    <w:adjustRightInd w:val="0"/>
                    <w:snapToGrid w:val="0"/>
                    <w:jc w:val="center"/>
                    <w:rPr>
                      <w:color w:val="auto"/>
                      <w:sz w:val="18"/>
                      <w:szCs w:val="18"/>
                    </w:rPr>
                  </w:pPr>
                  <w:r>
                    <w:rPr>
                      <w:color w:val="auto"/>
                      <w:sz w:val="18"/>
                      <w:szCs w:val="18"/>
                    </w:rPr>
                    <w:drawing>
                      <wp:inline distT="0" distB="0" distL="0" distR="0">
                        <wp:extent cx="2520315" cy="1837055"/>
                        <wp:effectExtent l="0" t="0" r="0" b="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567514" cy="1871391"/>
                                </a:xfrm>
                                <a:prstGeom prst="rect">
                                  <a:avLst/>
                                </a:prstGeom>
                                <a:noFill/>
                                <a:ln>
                                  <a:noFill/>
                                </a:ln>
                              </pic:spPr>
                            </pic:pic>
                          </a:graphicData>
                        </a:graphic>
                      </wp:inline>
                    </w:drawing>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167" w:type="dxa"/>
                </w:tcPr>
                <w:p>
                  <w:pPr>
                    <w:widowControl/>
                    <w:adjustRightInd w:val="0"/>
                    <w:snapToGrid w:val="0"/>
                    <w:rPr>
                      <w:b/>
                      <w:bCs/>
                      <w:color w:val="auto"/>
                      <w:sz w:val="18"/>
                      <w:szCs w:val="18"/>
                    </w:rPr>
                  </w:pPr>
                  <w:r>
                    <w:rPr>
                      <w:b/>
                      <w:bCs/>
                      <w:color w:val="auto"/>
                      <w:sz w:val="18"/>
                      <w:szCs w:val="18"/>
                    </w:rPr>
                    <w:t>危废信息公开：</w:t>
                  </w:r>
                </w:p>
                <w:p>
                  <w:pPr>
                    <w:widowControl/>
                    <w:adjustRightInd w:val="0"/>
                    <w:snapToGrid w:val="0"/>
                    <w:rPr>
                      <w:color w:val="auto"/>
                      <w:sz w:val="18"/>
                      <w:szCs w:val="18"/>
                    </w:rPr>
                  </w:pPr>
                  <w:r>
                    <w:rPr>
                      <w:color w:val="auto"/>
                      <w:kern w:val="0"/>
                      <w:sz w:val="18"/>
                      <w:szCs w:val="18"/>
                    </w:rPr>
                    <w:t>1.设置位置</w:t>
                  </w:r>
                </w:p>
                <w:p>
                  <w:pPr>
                    <w:widowControl/>
                    <w:adjustRightInd w:val="0"/>
                    <w:snapToGrid w:val="0"/>
                    <w:rPr>
                      <w:color w:val="auto"/>
                      <w:sz w:val="18"/>
                      <w:szCs w:val="18"/>
                    </w:rPr>
                  </w:pPr>
                  <w:r>
                    <w:rPr>
                      <w:color w:val="auto"/>
                      <w:kern w:val="0"/>
                      <w:sz w:val="18"/>
                      <w:szCs w:val="18"/>
                    </w:rPr>
                    <w:t>采用立式固定方式固定在危险废物产生单位厂区门口醒目位置，公开栏顶端距离地面200cm处</w:t>
                  </w:r>
                </w:p>
                <w:p>
                  <w:pPr>
                    <w:widowControl/>
                    <w:adjustRightInd w:val="0"/>
                    <w:snapToGrid w:val="0"/>
                    <w:rPr>
                      <w:color w:val="auto"/>
                      <w:sz w:val="18"/>
                      <w:szCs w:val="18"/>
                    </w:rPr>
                  </w:pPr>
                  <w:r>
                    <w:rPr>
                      <w:color w:val="auto"/>
                      <w:kern w:val="0"/>
                      <w:sz w:val="18"/>
                      <w:szCs w:val="18"/>
                    </w:rPr>
                    <w:t>2.规格参数</w:t>
                  </w:r>
                </w:p>
                <w:p>
                  <w:pPr>
                    <w:widowControl/>
                    <w:adjustRightInd w:val="0"/>
                    <w:snapToGrid w:val="0"/>
                    <w:rPr>
                      <w:color w:val="auto"/>
                      <w:sz w:val="18"/>
                      <w:szCs w:val="18"/>
                    </w:rPr>
                  </w:pPr>
                  <w:r>
                    <w:rPr>
                      <w:color w:val="auto"/>
                      <w:kern w:val="0"/>
                      <w:sz w:val="18"/>
                      <w:szCs w:val="18"/>
                    </w:rPr>
                    <w:t>（1）尺寸：底板120cm×80cm</w:t>
                  </w:r>
                </w:p>
                <w:p>
                  <w:pPr>
                    <w:widowControl/>
                    <w:adjustRightInd w:val="0"/>
                    <w:snapToGrid w:val="0"/>
                    <w:rPr>
                      <w:color w:val="auto"/>
                      <w:sz w:val="18"/>
                      <w:szCs w:val="18"/>
                    </w:rPr>
                  </w:pPr>
                  <w:r>
                    <w:rPr>
                      <w:color w:val="auto"/>
                      <w:kern w:val="0"/>
                      <w:sz w:val="18"/>
                      <w:szCs w:val="18"/>
                    </w:rPr>
                    <w:t>（2）颜色与字体：公开栏底板背景颜色为蓝色(印刷CMYK参数附后，下同)，文字颜色为白色，所有文字字体为黑体</w:t>
                  </w:r>
                </w:p>
                <w:p>
                  <w:pPr>
                    <w:widowControl/>
                    <w:adjustRightInd w:val="0"/>
                    <w:snapToGrid w:val="0"/>
                    <w:rPr>
                      <w:color w:val="auto"/>
                      <w:sz w:val="18"/>
                      <w:szCs w:val="18"/>
                    </w:rPr>
                  </w:pPr>
                  <w:r>
                    <w:rPr>
                      <w:color w:val="auto"/>
                      <w:kern w:val="0"/>
                      <w:sz w:val="18"/>
                      <w:szCs w:val="18"/>
                    </w:rPr>
                    <w:t>（3）材料：底板采用5mm铝板</w:t>
                  </w:r>
                </w:p>
                <w:p>
                  <w:pPr>
                    <w:widowControl/>
                    <w:adjustRightInd w:val="0"/>
                    <w:snapToGrid w:val="0"/>
                    <w:rPr>
                      <w:color w:val="auto"/>
                      <w:sz w:val="18"/>
                      <w:szCs w:val="18"/>
                    </w:rPr>
                  </w:pPr>
                  <w:r>
                    <w:rPr>
                      <w:color w:val="auto"/>
                      <w:kern w:val="0"/>
                      <w:sz w:val="18"/>
                      <w:szCs w:val="18"/>
                    </w:rPr>
                    <w:t>3.公开内容</w:t>
                  </w:r>
                </w:p>
                <w:p>
                  <w:pPr>
                    <w:widowControl/>
                    <w:adjustRightInd w:val="0"/>
                    <w:snapToGrid w:val="0"/>
                    <w:rPr>
                      <w:color w:val="auto"/>
                      <w:sz w:val="18"/>
                      <w:szCs w:val="18"/>
                    </w:rPr>
                  </w:pPr>
                  <w:r>
                    <w:rPr>
                      <w:color w:val="auto"/>
                      <w:kern w:val="0"/>
                      <w:sz w:val="18"/>
                      <w:szCs w:val="18"/>
                    </w:rPr>
                    <w:t>包括企业名称、地址、法人代表及电话、环保负责人及电话、危险废物产生规模、贮存设施建筑面积和容积、贮存设施数量、危险废物名称、危险废物代码、环评批文、产生来源、环境污染防治措施、厂区平面示意图、监督举报途径、监制单位等信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167" w:type="dxa"/>
                </w:tcPr>
                <w:p>
                  <w:pPr>
                    <w:widowControl/>
                    <w:adjustRightInd w:val="0"/>
                    <w:snapToGrid w:val="0"/>
                    <w:jc w:val="center"/>
                    <w:rPr>
                      <w:color w:val="auto"/>
                      <w:sz w:val="18"/>
                      <w:szCs w:val="18"/>
                    </w:rPr>
                  </w:pPr>
                  <w:r>
                    <w:rPr>
                      <w:color w:val="auto"/>
                      <w:sz w:val="18"/>
                      <w:szCs w:val="18"/>
                    </w:rPr>
                    <w:drawing>
                      <wp:inline distT="0" distB="0" distL="0" distR="0">
                        <wp:extent cx="2694940" cy="1799590"/>
                        <wp:effectExtent l="0" t="0" r="0" b="0"/>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720358" cy="1816776"/>
                                </a:xfrm>
                                <a:prstGeom prst="rect">
                                  <a:avLst/>
                                </a:prstGeom>
                                <a:noFill/>
                                <a:ln>
                                  <a:noFill/>
                                </a:ln>
                              </pic:spPr>
                            </pic:pic>
                          </a:graphicData>
                        </a:graphic>
                      </wp:inline>
                    </w:drawing>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167" w:type="dxa"/>
                </w:tcPr>
                <w:p>
                  <w:pPr>
                    <w:widowControl/>
                    <w:adjustRightInd w:val="0"/>
                    <w:snapToGrid w:val="0"/>
                    <w:jc w:val="left"/>
                    <w:rPr>
                      <w:b/>
                      <w:bCs/>
                      <w:color w:val="auto"/>
                      <w:sz w:val="18"/>
                      <w:szCs w:val="21"/>
                    </w:rPr>
                  </w:pPr>
                  <w:r>
                    <w:rPr>
                      <w:b/>
                      <w:bCs/>
                      <w:color w:val="auto"/>
                      <w:sz w:val="18"/>
                      <w:szCs w:val="21"/>
                    </w:rPr>
                    <w:t>危险废物暂存场所警示标志</w:t>
                  </w:r>
                </w:p>
                <w:p>
                  <w:pPr>
                    <w:widowControl/>
                    <w:jc w:val="left"/>
                    <w:rPr>
                      <w:color w:val="auto"/>
                      <w:kern w:val="0"/>
                      <w:sz w:val="18"/>
                      <w:szCs w:val="21"/>
                    </w:rPr>
                  </w:pPr>
                  <w:r>
                    <w:rPr>
                      <w:color w:val="auto"/>
                      <w:kern w:val="0"/>
                      <w:sz w:val="18"/>
                      <w:szCs w:val="21"/>
                    </w:rPr>
                    <w:t>1.设置位置</w:t>
                  </w:r>
                </w:p>
                <w:p>
                  <w:pPr>
                    <w:widowControl/>
                    <w:jc w:val="left"/>
                    <w:rPr>
                      <w:color w:val="auto"/>
                      <w:kern w:val="0"/>
                      <w:sz w:val="18"/>
                      <w:szCs w:val="21"/>
                    </w:rPr>
                  </w:pPr>
                  <w:r>
                    <w:rPr>
                      <w:rFonts w:hint="eastAsia"/>
                      <w:color w:val="auto"/>
                      <w:kern w:val="0"/>
                      <w:sz w:val="18"/>
                      <w:szCs w:val="21"/>
                    </w:rPr>
                    <w:t>危险废物相关单位的每一个贮存设施均应在设施附近或场所的入口处设置相应的危险废物贮存设施标志；对于有独立场所的危险废物贮存设施，应在场所外入口的墙壁或栏杆显著位置设置相应的设施标志；位于建筑物内局部区域的危险废物贮存设施，应在其区域边界或入口处显著位置设置相应的标志。危险废物设施标志可采用附着式和柱式两种固定方式，应优先选择附着式，当无法选择附着式时，可选择柱式，附着式标志的设置高度，应尽量与视线高度一致；柱式的标志和支架应牢固地联接在一起，标志牌最上端距地面约2</w:t>
                  </w:r>
                  <w:r>
                    <w:rPr>
                      <w:color w:val="auto"/>
                      <w:kern w:val="0"/>
                      <w:sz w:val="18"/>
                      <w:szCs w:val="21"/>
                    </w:rPr>
                    <w:t>m</w:t>
                  </w:r>
                  <w:r>
                    <w:rPr>
                      <w:rFonts w:hint="eastAsia"/>
                      <w:color w:val="auto"/>
                      <w:kern w:val="0"/>
                      <w:sz w:val="18"/>
                      <w:szCs w:val="21"/>
                    </w:rPr>
                    <w:t>，位于室外的标志牌中，支架固定在地下的，其支架埋深约0</w:t>
                  </w:r>
                  <w:r>
                    <w:rPr>
                      <w:color w:val="auto"/>
                      <w:kern w:val="0"/>
                      <w:sz w:val="18"/>
                      <w:szCs w:val="21"/>
                    </w:rPr>
                    <w:t>.3m</w:t>
                  </w:r>
                  <w:r>
                    <w:rPr>
                      <w:rFonts w:hint="eastAsia"/>
                      <w:color w:val="auto"/>
                      <w:kern w:val="0"/>
                      <w:sz w:val="18"/>
                      <w:szCs w:val="21"/>
                    </w:rPr>
                    <w:t>。</w:t>
                  </w:r>
                </w:p>
                <w:p>
                  <w:pPr>
                    <w:widowControl/>
                    <w:jc w:val="left"/>
                    <w:rPr>
                      <w:color w:val="auto"/>
                      <w:kern w:val="0"/>
                      <w:sz w:val="18"/>
                      <w:szCs w:val="21"/>
                    </w:rPr>
                  </w:pPr>
                  <w:r>
                    <w:rPr>
                      <w:color w:val="auto"/>
                      <w:kern w:val="0"/>
                      <w:sz w:val="18"/>
                      <w:szCs w:val="21"/>
                    </w:rPr>
                    <w:t>2.规格参数</w:t>
                  </w:r>
                </w:p>
                <w:p>
                  <w:pPr>
                    <w:widowControl/>
                    <w:jc w:val="left"/>
                    <w:rPr>
                      <w:color w:val="auto"/>
                      <w:kern w:val="0"/>
                      <w:sz w:val="18"/>
                      <w:szCs w:val="21"/>
                    </w:rPr>
                  </w:pPr>
                  <w:r>
                    <w:rPr>
                      <w:color w:val="auto"/>
                      <w:kern w:val="0"/>
                      <w:sz w:val="18"/>
                      <w:szCs w:val="21"/>
                    </w:rPr>
                    <w:t>（1）尺寸：</w:t>
                  </w:r>
                </w:p>
                <w:tbl>
                  <w:tblPr>
                    <w:tblStyle w:val="37"/>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078"/>
                    <w:gridCol w:w="1078"/>
                    <w:gridCol w:w="1078"/>
                    <w:gridCol w:w="1078"/>
                    <w:gridCol w:w="1078"/>
                    <w:gridCol w:w="1078"/>
                    <w:gridCol w:w="107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77" w:type="dxa"/>
                        <w:vMerge w:val="restart"/>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设置位置</w:t>
                        </w:r>
                      </w:p>
                    </w:tc>
                    <w:tc>
                      <w:tcPr>
                        <w:tcW w:w="1078" w:type="dxa"/>
                        <w:vMerge w:val="restart"/>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观察距离L（m）</w:t>
                        </w:r>
                      </w:p>
                    </w:tc>
                    <w:tc>
                      <w:tcPr>
                        <w:tcW w:w="1078" w:type="dxa"/>
                        <w:vMerge w:val="restart"/>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标志牌整体外形最小尺寸（m</w:t>
                        </w:r>
                        <w:r>
                          <w:rPr>
                            <w:color w:val="auto"/>
                            <w:kern w:val="0"/>
                            <w:sz w:val="15"/>
                            <w:szCs w:val="15"/>
                          </w:rPr>
                          <w:t>m</w:t>
                        </w:r>
                        <w:r>
                          <w:rPr>
                            <w:rFonts w:hint="eastAsia"/>
                            <w:color w:val="auto"/>
                            <w:kern w:val="0"/>
                            <w:sz w:val="15"/>
                            <w:szCs w:val="15"/>
                          </w:rPr>
                          <w:t>）</w:t>
                        </w:r>
                      </w:p>
                    </w:tc>
                    <w:tc>
                      <w:tcPr>
                        <w:tcW w:w="3234" w:type="dxa"/>
                        <w:gridSpan w:val="3"/>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三角形警示性标志</w:t>
                        </w:r>
                      </w:p>
                    </w:tc>
                    <w:tc>
                      <w:tcPr>
                        <w:tcW w:w="2156" w:type="dxa"/>
                        <w:gridSpan w:val="2"/>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最低文字高度（m</w:t>
                        </w:r>
                        <w:r>
                          <w:rPr>
                            <w:color w:val="auto"/>
                            <w:kern w:val="0"/>
                            <w:sz w:val="15"/>
                            <w:szCs w:val="15"/>
                          </w:rPr>
                          <w:t>m</w:t>
                        </w:r>
                        <w:r>
                          <w:rPr>
                            <w:rFonts w:hint="eastAsia"/>
                            <w:color w:val="auto"/>
                            <w:kern w:val="0"/>
                            <w:sz w:val="15"/>
                            <w:szCs w:val="15"/>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77" w:type="dxa"/>
                        <w:vMerge w:val="continue"/>
                        <w:shd w:val="clear" w:color="auto" w:fill="auto"/>
                        <w:vAlign w:val="center"/>
                      </w:tcPr>
                      <w:p>
                        <w:pPr>
                          <w:widowControl/>
                          <w:adjustRightInd w:val="0"/>
                          <w:snapToGrid w:val="0"/>
                          <w:jc w:val="center"/>
                          <w:rPr>
                            <w:color w:val="auto"/>
                            <w:kern w:val="0"/>
                            <w:sz w:val="15"/>
                            <w:szCs w:val="15"/>
                          </w:rPr>
                        </w:pPr>
                      </w:p>
                    </w:tc>
                    <w:tc>
                      <w:tcPr>
                        <w:tcW w:w="1078" w:type="dxa"/>
                        <w:vMerge w:val="continue"/>
                        <w:shd w:val="clear" w:color="auto" w:fill="auto"/>
                        <w:vAlign w:val="center"/>
                      </w:tcPr>
                      <w:p>
                        <w:pPr>
                          <w:widowControl/>
                          <w:adjustRightInd w:val="0"/>
                          <w:snapToGrid w:val="0"/>
                          <w:jc w:val="center"/>
                          <w:rPr>
                            <w:color w:val="auto"/>
                            <w:kern w:val="0"/>
                            <w:sz w:val="15"/>
                            <w:szCs w:val="15"/>
                          </w:rPr>
                        </w:pPr>
                      </w:p>
                    </w:tc>
                    <w:tc>
                      <w:tcPr>
                        <w:tcW w:w="1078" w:type="dxa"/>
                        <w:vMerge w:val="continue"/>
                        <w:shd w:val="clear" w:color="auto" w:fill="auto"/>
                        <w:vAlign w:val="center"/>
                      </w:tcPr>
                      <w:p>
                        <w:pPr>
                          <w:widowControl/>
                          <w:adjustRightInd w:val="0"/>
                          <w:snapToGrid w:val="0"/>
                          <w:jc w:val="center"/>
                          <w:rPr>
                            <w:color w:val="auto"/>
                            <w:kern w:val="0"/>
                            <w:sz w:val="15"/>
                            <w:szCs w:val="15"/>
                          </w:rPr>
                        </w:pP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三角形外边长a</w:t>
                        </w:r>
                        <w:r>
                          <w:rPr>
                            <w:color w:val="auto"/>
                            <w:kern w:val="0"/>
                            <w:sz w:val="15"/>
                            <w:szCs w:val="15"/>
                          </w:rPr>
                          <w:t>1</w:t>
                        </w:r>
                        <w:r>
                          <w:rPr>
                            <w:rFonts w:hint="eastAsia"/>
                            <w:color w:val="auto"/>
                            <w:kern w:val="0"/>
                            <w:sz w:val="15"/>
                            <w:szCs w:val="15"/>
                          </w:rPr>
                          <w:t>（m</w:t>
                        </w:r>
                        <w:r>
                          <w:rPr>
                            <w:color w:val="auto"/>
                            <w:kern w:val="0"/>
                            <w:sz w:val="15"/>
                            <w:szCs w:val="15"/>
                          </w:rPr>
                          <w:t>m</w:t>
                        </w:r>
                        <w:r>
                          <w:rPr>
                            <w:rFonts w:hint="eastAsia"/>
                            <w:color w:val="auto"/>
                            <w:kern w:val="0"/>
                            <w:sz w:val="15"/>
                            <w:szCs w:val="15"/>
                          </w:rPr>
                          <w:t>）</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三角形内边长a</w:t>
                        </w:r>
                        <w:r>
                          <w:rPr>
                            <w:color w:val="auto"/>
                            <w:kern w:val="0"/>
                            <w:sz w:val="15"/>
                            <w:szCs w:val="15"/>
                          </w:rPr>
                          <w:t>2</w:t>
                        </w:r>
                        <w:r>
                          <w:rPr>
                            <w:rFonts w:hint="eastAsia"/>
                            <w:color w:val="auto"/>
                            <w:kern w:val="0"/>
                            <w:sz w:val="15"/>
                            <w:szCs w:val="15"/>
                          </w:rPr>
                          <w:t>（m</w:t>
                        </w:r>
                        <w:r>
                          <w:rPr>
                            <w:color w:val="auto"/>
                            <w:kern w:val="0"/>
                            <w:sz w:val="15"/>
                            <w:szCs w:val="15"/>
                          </w:rPr>
                          <w:t>m</w:t>
                        </w:r>
                        <w:r>
                          <w:rPr>
                            <w:rFonts w:hint="eastAsia"/>
                            <w:color w:val="auto"/>
                            <w:kern w:val="0"/>
                            <w:sz w:val="15"/>
                            <w:szCs w:val="15"/>
                          </w:rPr>
                          <w:t>）</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边框外角圆弧半径（m</w:t>
                        </w:r>
                        <w:r>
                          <w:rPr>
                            <w:color w:val="auto"/>
                            <w:kern w:val="0"/>
                            <w:sz w:val="15"/>
                            <w:szCs w:val="15"/>
                          </w:rPr>
                          <w:t>m</w:t>
                        </w:r>
                        <w:r>
                          <w:rPr>
                            <w:rFonts w:hint="eastAsia"/>
                            <w:color w:val="auto"/>
                            <w:kern w:val="0"/>
                            <w:sz w:val="15"/>
                            <w:szCs w:val="15"/>
                          </w:rPr>
                          <w:t>）</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设施类型名称</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其他文字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77"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露天/室外入口</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＞1</w:t>
                        </w:r>
                        <w:r>
                          <w:rPr>
                            <w:color w:val="auto"/>
                            <w:kern w:val="0"/>
                            <w:sz w:val="15"/>
                            <w:szCs w:val="15"/>
                          </w:rPr>
                          <w:t>0</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9</w:t>
                        </w:r>
                        <w:r>
                          <w:rPr>
                            <w:color w:val="auto"/>
                            <w:kern w:val="0"/>
                            <w:sz w:val="15"/>
                            <w:szCs w:val="15"/>
                          </w:rPr>
                          <w:t>00</w:t>
                        </w:r>
                        <w:r>
                          <w:rPr>
                            <w:rFonts w:hint="eastAsia"/>
                            <w:color w:val="auto"/>
                            <w:kern w:val="0"/>
                            <w:sz w:val="15"/>
                            <w:szCs w:val="15"/>
                          </w:rPr>
                          <w:t>×5</w:t>
                        </w:r>
                        <w:r>
                          <w:rPr>
                            <w:color w:val="auto"/>
                            <w:kern w:val="0"/>
                            <w:sz w:val="15"/>
                            <w:szCs w:val="15"/>
                          </w:rPr>
                          <w:t>58</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5</w:t>
                        </w:r>
                        <w:r>
                          <w:rPr>
                            <w:color w:val="auto"/>
                            <w:kern w:val="0"/>
                            <w:sz w:val="15"/>
                            <w:szCs w:val="15"/>
                          </w:rPr>
                          <w:t>00</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3</w:t>
                        </w:r>
                        <w:r>
                          <w:rPr>
                            <w:color w:val="auto"/>
                            <w:kern w:val="0"/>
                            <w:sz w:val="15"/>
                            <w:szCs w:val="15"/>
                          </w:rPr>
                          <w:t>75</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3</w:t>
                        </w:r>
                        <w:r>
                          <w:rPr>
                            <w:color w:val="auto"/>
                            <w:kern w:val="0"/>
                            <w:sz w:val="15"/>
                            <w:szCs w:val="15"/>
                          </w:rPr>
                          <w:t>0</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4</w:t>
                        </w:r>
                        <w:r>
                          <w:rPr>
                            <w:color w:val="auto"/>
                            <w:kern w:val="0"/>
                            <w:sz w:val="15"/>
                            <w:szCs w:val="15"/>
                          </w:rPr>
                          <w:t>8</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2</w:t>
                        </w:r>
                        <w:r>
                          <w:rPr>
                            <w:color w:val="auto"/>
                            <w:kern w:val="0"/>
                            <w:sz w:val="15"/>
                            <w:szCs w:val="15"/>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77"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室内</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4＜L≤1</w:t>
                        </w:r>
                        <w:r>
                          <w:rPr>
                            <w:color w:val="auto"/>
                            <w:kern w:val="0"/>
                            <w:sz w:val="15"/>
                            <w:szCs w:val="15"/>
                          </w:rPr>
                          <w:t>0</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6</w:t>
                        </w:r>
                        <w:r>
                          <w:rPr>
                            <w:color w:val="auto"/>
                            <w:kern w:val="0"/>
                            <w:sz w:val="15"/>
                            <w:szCs w:val="15"/>
                          </w:rPr>
                          <w:t>00</w:t>
                        </w:r>
                        <w:r>
                          <w:rPr>
                            <w:rFonts w:hint="eastAsia"/>
                            <w:color w:val="auto"/>
                            <w:kern w:val="0"/>
                            <w:sz w:val="15"/>
                            <w:szCs w:val="15"/>
                          </w:rPr>
                          <w:t>×3</w:t>
                        </w:r>
                        <w:r>
                          <w:rPr>
                            <w:color w:val="auto"/>
                            <w:kern w:val="0"/>
                            <w:sz w:val="15"/>
                            <w:szCs w:val="15"/>
                          </w:rPr>
                          <w:t>72</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3</w:t>
                        </w:r>
                        <w:r>
                          <w:rPr>
                            <w:color w:val="auto"/>
                            <w:kern w:val="0"/>
                            <w:sz w:val="15"/>
                            <w:szCs w:val="15"/>
                          </w:rPr>
                          <w:t>00</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2</w:t>
                        </w:r>
                        <w:r>
                          <w:rPr>
                            <w:color w:val="auto"/>
                            <w:kern w:val="0"/>
                            <w:sz w:val="15"/>
                            <w:szCs w:val="15"/>
                          </w:rPr>
                          <w:t>25</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1</w:t>
                        </w:r>
                        <w:r>
                          <w:rPr>
                            <w:color w:val="auto"/>
                            <w:kern w:val="0"/>
                            <w:sz w:val="15"/>
                            <w:szCs w:val="15"/>
                          </w:rPr>
                          <w:t>8</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3</w:t>
                        </w:r>
                        <w:r>
                          <w:rPr>
                            <w:color w:val="auto"/>
                            <w:kern w:val="0"/>
                            <w:sz w:val="15"/>
                            <w:szCs w:val="15"/>
                          </w:rPr>
                          <w:t>2</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1</w:t>
                        </w:r>
                        <w:r>
                          <w:rPr>
                            <w:color w:val="auto"/>
                            <w:kern w:val="0"/>
                            <w:sz w:val="15"/>
                            <w:szCs w:val="15"/>
                          </w:rPr>
                          <w:t>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77"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室内</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≤4</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3</w:t>
                        </w:r>
                        <w:r>
                          <w:rPr>
                            <w:color w:val="auto"/>
                            <w:kern w:val="0"/>
                            <w:sz w:val="15"/>
                            <w:szCs w:val="15"/>
                          </w:rPr>
                          <w:t>00</w:t>
                        </w:r>
                        <w:r>
                          <w:rPr>
                            <w:rFonts w:hint="eastAsia"/>
                            <w:color w:val="auto"/>
                            <w:kern w:val="0"/>
                            <w:sz w:val="15"/>
                            <w:szCs w:val="15"/>
                          </w:rPr>
                          <w:t>×1</w:t>
                        </w:r>
                        <w:r>
                          <w:rPr>
                            <w:color w:val="auto"/>
                            <w:kern w:val="0"/>
                            <w:sz w:val="15"/>
                            <w:szCs w:val="15"/>
                          </w:rPr>
                          <w:t>86</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1</w:t>
                        </w:r>
                        <w:r>
                          <w:rPr>
                            <w:color w:val="auto"/>
                            <w:kern w:val="0"/>
                            <w:sz w:val="15"/>
                            <w:szCs w:val="15"/>
                          </w:rPr>
                          <w:t>40</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1</w:t>
                        </w:r>
                        <w:r>
                          <w:rPr>
                            <w:color w:val="auto"/>
                            <w:kern w:val="0"/>
                            <w:sz w:val="15"/>
                            <w:szCs w:val="15"/>
                          </w:rPr>
                          <w:t>05</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8</w:t>
                        </w:r>
                        <w:r>
                          <w:rPr>
                            <w:color w:val="auto"/>
                            <w:kern w:val="0"/>
                            <w:sz w:val="15"/>
                            <w:szCs w:val="15"/>
                          </w:rPr>
                          <w:t>.4</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1</w:t>
                        </w:r>
                        <w:r>
                          <w:rPr>
                            <w:color w:val="auto"/>
                            <w:kern w:val="0"/>
                            <w:sz w:val="15"/>
                            <w:szCs w:val="15"/>
                          </w:rPr>
                          <w:t>6</w:t>
                        </w:r>
                      </w:p>
                    </w:tc>
                    <w:tc>
                      <w:tcPr>
                        <w:tcW w:w="1078" w:type="dxa"/>
                        <w:shd w:val="clear" w:color="auto" w:fill="auto"/>
                        <w:vAlign w:val="center"/>
                      </w:tcPr>
                      <w:p>
                        <w:pPr>
                          <w:widowControl/>
                          <w:adjustRightInd w:val="0"/>
                          <w:snapToGrid w:val="0"/>
                          <w:jc w:val="center"/>
                          <w:rPr>
                            <w:color w:val="auto"/>
                            <w:kern w:val="0"/>
                            <w:sz w:val="15"/>
                            <w:szCs w:val="15"/>
                          </w:rPr>
                        </w:pPr>
                        <w:r>
                          <w:rPr>
                            <w:rFonts w:hint="eastAsia"/>
                            <w:color w:val="auto"/>
                            <w:kern w:val="0"/>
                            <w:sz w:val="15"/>
                            <w:szCs w:val="15"/>
                          </w:rPr>
                          <w:t>8</w:t>
                        </w:r>
                      </w:p>
                    </w:tc>
                  </w:tr>
                </w:tbl>
                <w:p>
                  <w:pPr>
                    <w:widowControl/>
                    <w:jc w:val="left"/>
                    <w:rPr>
                      <w:color w:val="auto"/>
                      <w:kern w:val="0"/>
                      <w:sz w:val="18"/>
                      <w:szCs w:val="21"/>
                    </w:rPr>
                  </w:pPr>
                  <w:r>
                    <w:rPr>
                      <w:color w:val="auto"/>
                      <w:kern w:val="0"/>
                      <w:sz w:val="18"/>
                      <w:szCs w:val="21"/>
                    </w:rPr>
                    <w:t>（2）颜色与字体：标志牌背景颜色为黄色，</w:t>
                  </w:r>
                  <w:r>
                    <w:rPr>
                      <w:rFonts w:hint="eastAsia"/>
                      <w:color w:val="auto"/>
                      <w:kern w:val="0"/>
                      <w:sz w:val="18"/>
                      <w:szCs w:val="21"/>
                    </w:rPr>
                    <w:t>R</w:t>
                  </w:r>
                  <w:r>
                    <w:rPr>
                      <w:color w:val="auto"/>
                      <w:kern w:val="0"/>
                      <w:sz w:val="18"/>
                      <w:szCs w:val="21"/>
                    </w:rPr>
                    <w:t>GB</w:t>
                  </w:r>
                  <w:r>
                    <w:rPr>
                      <w:rFonts w:hint="eastAsia"/>
                      <w:color w:val="auto"/>
                      <w:kern w:val="0"/>
                      <w:sz w:val="18"/>
                      <w:szCs w:val="21"/>
                    </w:rPr>
                    <w:t>颜色值为（2</w:t>
                  </w:r>
                  <w:r>
                    <w:rPr>
                      <w:color w:val="auto"/>
                      <w:kern w:val="0"/>
                      <w:sz w:val="18"/>
                      <w:szCs w:val="21"/>
                    </w:rPr>
                    <w:t>55</w:t>
                  </w:r>
                  <w:r>
                    <w:rPr>
                      <w:rFonts w:hint="eastAsia"/>
                      <w:color w:val="auto"/>
                      <w:kern w:val="0"/>
                      <w:sz w:val="18"/>
                      <w:szCs w:val="21"/>
                    </w:rPr>
                    <w:t>,</w:t>
                  </w:r>
                  <w:r>
                    <w:rPr>
                      <w:color w:val="auto"/>
                      <w:kern w:val="0"/>
                      <w:sz w:val="18"/>
                      <w:szCs w:val="21"/>
                    </w:rPr>
                    <w:t>255</w:t>
                  </w:r>
                  <w:r>
                    <w:rPr>
                      <w:rFonts w:hint="eastAsia"/>
                      <w:color w:val="auto"/>
                      <w:kern w:val="0"/>
                      <w:sz w:val="18"/>
                      <w:szCs w:val="21"/>
                    </w:rPr>
                    <w:t>,</w:t>
                  </w:r>
                  <w:r>
                    <w:rPr>
                      <w:color w:val="auto"/>
                      <w:kern w:val="0"/>
                      <w:sz w:val="18"/>
                      <w:szCs w:val="21"/>
                    </w:rPr>
                    <w:t>0</w:t>
                  </w:r>
                  <w:r>
                    <w:rPr>
                      <w:rFonts w:hint="eastAsia"/>
                      <w:color w:val="auto"/>
                      <w:kern w:val="0"/>
                      <w:sz w:val="18"/>
                      <w:szCs w:val="21"/>
                    </w:rPr>
                    <w:t>），字体和边框颜色</w:t>
                  </w:r>
                  <w:r>
                    <w:rPr>
                      <w:color w:val="auto"/>
                      <w:kern w:val="0"/>
                      <w:sz w:val="18"/>
                      <w:szCs w:val="21"/>
                    </w:rPr>
                    <w:t>为黑色。</w:t>
                  </w:r>
                  <w:r>
                    <w:rPr>
                      <w:rFonts w:hint="eastAsia"/>
                      <w:color w:val="auto"/>
                      <w:kern w:val="0"/>
                      <w:sz w:val="18"/>
                      <w:szCs w:val="21"/>
                    </w:rPr>
                    <w:t>字体应采用黑体字，其中危险废物设施类型的字样应加粗放大并居中显示。</w:t>
                  </w:r>
                </w:p>
                <w:p>
                  <w:pPr>
                    <w:widowControl/>
                    <w:jc w:val="left"/>
                    <w:rPr>
                      <w:color w:val="auto"/>
                      <w:kern w:val="0"/>
                      <w:sz w:val="18"/>
                      <w:szCs w:val="21"/>
                    </w:rPr>
                  </w:pPr>
                  <w:r>
                    <w:rPr>
                      <w:color w:val="auto"/>
                      <w:kern w:val="0"/>
                      <w:sz w:val="18"/>
                      <w:szCs w:val="21"/>
                    </w:rPr>
                    <w:t>（3）材料：</w:t>
                  </w:r>
                  <w:r>
                    <w:rPr>
                      <w:rFonts w:hint="eastAsia"/>
                      <w:color w:val="auto"/>
                      <w:kern w:val="0"/>
                      <w:sz w:val="18"/>
                      <w:szCs w:val="21"/>
                    </w:rPr>
                    <w:t>宜采用坚固耐用的材料（如</w:t>
                  </w:r>
                  <w:r>
                    <w:rPr>
                      <w:color w:val="auto"/>
                      <w:kern w:val="0"/>
                      <w:sz w:val="18"/>
                      <w:szCs w:val="21"/>
                    </w:rPr>
                    <w:t>1.5 mm</w:t>
                  </w:r>
                  <w:r>
                    <w:rPr>
                      <w:rFonts w:hint="eastAsia"/>
                      <w:color w:val="auto"/>
                      <w:kern w:val="0"/>
                      <w:sz w:val="18"/>
                      <w:szCs w:val="21"/>
                    </w:rPr>
                    <w:t>～</w:t>
                  </w:r>
                  <w:r>
                    <w:rPr>
                      <w:color w:val="auto"/>
                      <w:kern w:val="0"/>
                      <w:sz w:val="18"/>
                      <w:szCs w:val="21"/>
                    </w:rPr>
                    <w:t xml:space="preserve">2 mm </w:t>
                  </w:r>
                  <w:r>
                    <w:rPr>
                      <w:rFonts w:hint="eastAsia"/>
                      <w:color w:val="auto"/>
                      <w:kern w:val="0"/>
                      <w:sz w:val="18"/>
                      <w:szCs w:val="21"/>
                    </w:rPr>
                    <w:t>冷轧钢板），并做搪瓷处理或贴膜处理。一般不宜使用遇水变形、变质或易燃的材料。柱式标志牌的立柱可采用</w:t>
                  </w:r>
                  <w:r>
                    <w:rPr>
                      <w:color w:val="auto"/>
                      <w:kern w:val="0"/>
                      <w:sz w:val="18"/>
                      <w:szCs w:val="21"/>
                    </w:rPr>
                    <w:t>38</w:t>
                  </w:r>
                  <w:r>
                    <w:rPr>
                      <w:rFonts w:hint="eastAsia"/>
                      <w:color w:val="auto"/>
                      <w:kern w:val="0"/>
                      <w:sz w:val="18"/>
                      <w:szCs w:val="21"/>
                    </w:rPr>
                    <w:t>×</w:t>
                  </w:r>
                  <w:r>
                    <w:rPr>
                      <w:color w:val="auto"/>
                      <w:kern w:val="0"/>
                      <w:sz w:val="18"/>
                      <w:szCs w:val="21"/>
                    </w:rPr>
                    <w:t>4</w:t>
                  </w:r>
                  <w:r>
                    <w:rPr>
                      <w:rFonts w:hint="eastAsia"/>
                      <w:color w:val="auto"/>
                      <w:kern w:val="0"/>
                      <w:sz w:val="18"/>
                      <w:szCs w:val="21"/>
                    </w:rPr>
                    <w:t>无缝钢管或其他坚固耐用的材料，并经过防腐处理。</w:t>
                  </w:r>
                </w:p>
                <w:p>
                  <w:pPr>
                    <w:widowControl/>
                    <w:jc w:val="left"/>
                    <w:rPr>
                      <w:color w:val="auto"/>
                      <w:kern w:val="0"/>
                      <w:sz w:val="18"/>
                      <w:szCs w:val="21"/>
                    </w:rPr>
                  </w:pPr>
                  <w:r>
                    <w:rPr>
                      <w:color w:val="auto"/>
                      <w:kern w:val="0"/>
                      <w:sz w:val="18"/>
                      <w:szCs w:val="21"/>
                    </w:rPr>
                    <w:t>3.公开内容</w:t>
                  </w:r>
                </w:p>
                <w:p>
                  <w:pPr>
                    <w:widowControl/>
                    <w:adjustRightInd w:val="0"/>
                    <w:snapToGrid w:val="0"/>
                    <w:rPr>
                      <w:color w:val="auto"/>
                      <w:sz w:val="18"/>
                      <w:szCs w:val="18"/>
                    </w:rPr>
                  </w:pPr>
                  <w:r>
                    <w:rPr>
                      <w:color w:val="auto"/>
                      <w:kern w:val="0"/>
                      <w:sz w:val="18"/>
                      <w:szCs w:val="21"/>
                    </w:rPr>
                    <w:t>包括标志牌名称、</w:t>
                  </w:r>
                  <w:r>
                    <w:rPr>
                      <w:rFonts w:hint="eastAsia"/>
                      <w:color w:val="auto"/>
                      <w:kern w:val="0"/>
                      <w:sz w:val="18"/>
                      <w:szCs w:val="21"/>
                    </w:rPr>
                    <w:t>危险废物设施的类型、危险废物设施所属的单位名称、</w:t>
                  </w:r>
                  <w:r>
                    <w:rPr>
                      <w:color w:val="auto"/>
                      <w:kern w:val="0"/>
                      <w:sz w:val="18"/>
                      <w:szCs w:val="21"/>
                    </w:rPr>
                    <w:t>设施编号、</w:t>
                  </w:r>
                  <w:r>
                    <w:rPr>
                      <w:rFonts w:hint="eastAsia"/>
                      <w:color w:val="auto"/>
                      <w:kern w:val="0"/>
                      <w:sz w:val="18"/>
                      <w:szCs w:val="21"/>
                    </w:rPr>
                    <w:t>负责</w:t>
                  </w:r>
                  <w:r>
                    <w:rPr>
                      <w:color w:val="auto"/>
                      <w:kern w:val="0"/>
                      <w:sz w:val="18"/>
                      <w:szCs w:val="21"/>
                    </w:rPr>
                    <w:t>人及</w:t>
                  </w:r>
                  <w:r>
                    <w:rPr>
                      <w:rFonts w:hint="eastAsia"/>
                      <w:color w:val="auto"/>
                      <w:kern w:val="0"/>
                      <w:sz w:val="18"/>
                      <w:szCs w:val="21"/>
                    </w:rPr>
                    <w:t>联系方式、二维码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167" w:type="dxa"/>
                </w:tcPr>
                <w:p>
                  <w:pPr>
                    <w:widowControl/>
                    <w:adjustRightInd w:val="0"/>
                    <w:snapToGrid w:val="0"/>
                    <w:jc w:val="center"/>
                    <w:rPr>
                      <w:color w:val="auto"/>
                      <w:sz w:val="18"/>
                      <w:szCs w:val="18"/>
                    </w:rPr>
                  </w:pPr>
                  <w:r>
                    <w:rPr>
                      <w:color w:val="auto"/>
                    </w:rPr>
                    <w:drawing>
                      <wp:inline distT="0" distB="0" distL="0" distR="0">
                        <wp:extent cx="2891155" cy="1835150"/>
                        <wp:effectExtent l="0" t="0" r="4445" b="1270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905221" cy="1843698"/>
                                </a:xfrm>
                                <a:prstGeom prst="rect">
                                  <a:avLst/>
                                </a:prstGeom>
                                <a:noFill/>
                                <a:ln>
                                  <a:noFill/>
                                </a:ln>
                              </pic:spPr>
                            </pic:pic>
                          </a:graphicData>
                        </a:graphic>
                      </wp:inline>
                    </w:drawing>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167" w:type="dxa"/>
                </w:tcPr>
                <w:p>
                  <w:pPr>
                    <w:jc w:val="left"/>
                    <w:rPr>
                      <w:b/>
                      <w:bCs/>
                      <w:color w:val="auto"/>
                      <w:kern w:val="0"/>
                      <w:sz w:val="18"/>
                      <w:szCs w:val="21"/>
                    </w:rPr>
                  </w:pPr>
                  <w:r>
                    <w:rPr>
                      <w:b/>
                      <w:bCs/>
                      <w:color w:val="auto"/>
                      <w:kern w:val="0"/>
                      <w:sz w:val="18"/>
                      <w:szCs w:val="21"/>
                    </w:rPr>
                    <w:t>危险废物暂存场所贮存设施内部分区警示标志牌：</w:t>
                  </w:r>
                </w:p>
                <w:p>
                  <w:pPr>
                    <w:widowControl/>
                    <w:jc w:val="left"/>
                    <w:rPr>
                      <w:color w:val="auto"/>
                      <w:kern w:val="0"/>
                      <w:sz w:val="18"/>
                      <w:szCs w:val="21"/>
                    </w:rPr>
                  </w:pPr>
                  <w:r>
                    <w:rPr>
                      <w:color w:val="auto"/>
                      <w:kern w:val="0"/>
                      <w:sz w:val="18"/>
                      <w:szCs w:val="21"/>
                    </w:rPr>
                    <w:t>1.设置位置</w:t>
                  </w:r>
                </w:p>
                <w:p>
                  <w:pPr>
                    <w:widowControl/>
                    <w:jc w:val="left"/>
                    <w:rPr>
                      <w:color w:val="auto"/>
                      <w:kern w:val="0"/>
                      <w:sz w:val="18"/>
                      <w:szCs w:val="21"/>
                    </w:rPr>
                  </w:pPr>
                  <w:r>
                    <w:rPr>
                      <w:rFonts w:hint="eastAsia"/>
                      <w:color w:val="auto"/>
                      <w:kern w:val="0"/>
                      <w:sz w:val="18"/>
                      <w:szCs w:val="21"/>
                    </w:rPr>
                    <w:t>宜在危险废物贮存设施内的每一个贮存分区处设置危险废物贮存分区标志。宜设置在该贮存分区前的通道位置或墙壁、栏杆等易于观察的位置。可采用附着式（如钉挂、粘贴等）、悬挂式和柱式（固定于标志杆或支架等物体上）等固定形式，各贮存分区存放的危险废物种类信息可采用卡槽式或附着式（如钉挂、粘贴等）固定方式。</w:t>
                  </w:r>
                </w:p>
                <w:p>
                  <w:pPr>
                    <w:widowControl/>
                    <w:jc w:val="left"/>
                    <w:rPr>
                      <w:color w:val="auto"/>
                      <w:kern w:val="0"/>
                      <w:sz w:val="18"/>
                      <w:szCs w:val="21"/>
                    </w:rPr>
                  </w:pPr>
                  <w:r>
                    <w:rPr>
                      <w:color w:val="auto"/>
                      <w:kern w:val="0"/>
                      <w:sz w:val="18"/>
                      <w:szCs w:val="21"/>
                    </w:rPr>
                    <w:t>2.规格参数</w:t>
                  </w:r>
                </w:p>
                <w:p>
                  <w:pPr>
                    <w:widowControl/>
                    <w:jc w:val="left"/>
                    <w:rPr>
                      <w:color w:val="auto"/>
                      <w:kern w:val="0"/>
                      <w:sz w:val="18"/>
                      <w:szCs w:val="21"/>
                    </w:rPr>
                  </w:pPr>
                  <w:r>
                    <w:rPr>
                      <w:color w:val="auto"/>
                      <w:kern w:val="0"/>
                      <w:sz w:val="18"/>
                      <w:szCs w:val="21"/>
                    </w:rPr>
                    <w:t>（1）尺寸：</w:t>
                  </w:r>
                </w:p>
                <w:tbl>
                  <w:tblPr>
                    <w:tblStyle w:val="37"/>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76"/>
                    <w:gridCol w:w="2835"/>
                    <w:gridCol w:w="1477"/>
                    <w:gridCol w:w="200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776" w:type="dxa"/>
                        <w:vMerge w:val="restart"/>
                        <w:shd w:val="clear" w:color="auto" w:fill="auto"/>
                        <w:vAlign w:val="center"/>
                      </w:tcPr>
                      <w:p>
                        <w:pPr>
                          <w:widowControl/>
                          <w:jc w:val="center"/>
                          <w:rPr>
                            <w:color w:val="auto"/>
                            <w:kern w:val="0"/>
                            <w:sz w:val="15"/>
                            <w:szCs w:val="15"/>
                          </w:rPr>
                        </w:pPr>
                        <w:r>
                          <w:rPr>
                            <w:rFonts w:hint="eastAsia"/>
                            <w:color w:val="auto"/>
                            <w:kern w:val="0"/>
                            <w:sz w:val="15"/>
                            <w:szCs w:val="15"/>
                          </w:rPr>
                          <w:t>观察距离L（m）</w:t>
                        </w:r>
                      </w:p>
                    </w:tc>
                    <w:tc>
                      <w:tcPr>
                        <w:tcW w:w="2835" w:type="dxa"/>
                        <w:vMerge w:val="restart"/>
                        <w:shd w:val="clear" w:color="auto" w:fill="auto"/>
                        <w:vAlign w:val="center"/>
                      </w:tcPr>
                      <w:p>
                        <w:pPr>
                          <w:widowControl/>
                          <w:jc w:val="center"/>
                          <w:rPr>
                            <w:color w:val="auto"/>
                            <w:kern w:val="0"/>
                            <w:sz w:val="15"/>
                            <w:szCs w:val="15"/>
                          </w:rPr>
                        </w:pPr>
                        <w:r>
                          <w:rPr>
                            <w:rFonts w:hint="eastAsia"/>
                            <w:color w:val="auto"/>
                            <w:kern w:val="0"/>
                            <w:sz w:val="15"/>
                            <w:szCs w:val="15"/>
                          </w:rPr>
                          <w:t>标志牌整体外形最小尺寸（m</w:t>
                        </w:r>
                        <w:r>
                          <w:rPr>
                            <w:color w:val="auto"/>
                            <w:kern w:val="0"/>
                            <w:sz w:val="15"/>
                            <w:szCs w:val="15"/>
                          </w:rPr>
                          <w:t>m</w:t>
                        </w:r>
                        <w:r>
                          <w:rPr>
                            <w:rFonts w:hint="eastAsia"/>
                            <w:color w:val="auto"/>
                            <w:kern w:val="0"/>
                            <w:sz w:val="15"/>
                            <w:szCs w:val="15"/>
                          </w:rPr>
                          <w:t>）</w:t>
                        </w:r>
                      </w:p>
                    </w:tc>
                    <w:tc>
                      <w:tcPr>
                        <w:tcW w:w="3486" w:type="dxa"/>
                        <w:gridSpan w:val="2"/>
                        <w:shd w:val="clear" w:color="auto" w:fill="auto"/>
                        <w:vAlign w:val="center"/>
                      </w:tcPr>
                      <w:p>
                        <w:pPr>
                          <w:widowControl/>
                          <w:jc w:val="center"/>
                          <w:rPr>
                            <w:color w:val="auto"/>
                            <w:kern w:val="0"/>
                            <w:sz w:val="15"/>
                            <w:szCs w:val="15"/>
                          </w:rPr>
                        </w:pPr>
                        <w:r>
                          <w:rPr>
                            <w:rFonts w:hint="eastAsia"/>
                            <w:color w:val="auto"/>
                            <w:kern w:val="0"/>
                            <w:sz w:val="15"/>
                            <w:szCs w:val="15"/>
                          </w:rPr>
                          <w:t>最低文字高度（m</w:t>
                        </w:r>
                        <w:r>
                          <w:rPr>
                            <w:color w:val="auto"/>
                            <w:kern w:val="0"/>
                            <w:sz w:val="15"/>
                            <w:szCs w:val="15"/>
                          </w:rPr>
                          <w:t>m</w:t>
                        </w:r>
                        <w:r>
                          <w:rPr>
                            <w:rFonts w:hint="eastAsia"/>
                            <w:color w:val="auto"/>
                            <w:kern w:val="0"/>
                            <w:sz w:val="15"/>
                            <w:szCs w:val="15"/>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776" w:type="dxa"/>
                        <w:vMerge w:val="continue"/>
                        <w:shd w:val="clear" w:color="auto" w:fill="auto"/>
                        <w:vAlign w:val="center"/>
                      </w:tcPr>
                      <w:p>
                        <w:pPr>
                          <w:widowControl/>
                          <w:jc w:val="center"/>
                          <w:rPr>
                            <w:color w:val="auto"/>
                            <w:kern w:val="0"/>
                            <w:sz w:val="15"/>
                            <w:szCs w:val="15"/>
                          </w:rPr>
                        </w:pPr>
                      </w:p>
                    </w:tc>
                    <w:tc>
                      <w:tcPr>
                        <w:tcW w:w="2835" w:type="dxa"/>
                        <w:vMerge w:val="continue"/>
                        <w:shd w:val="clear" w:color="auto" w:fill="auto"/>
                        <w:vAlign w:val="center"/>
                      </w:tcPr>
                      <w:p>
                        <w:pPr>
                          <w:widowControl/>
                          <w:jc w:val="center"/>
                          <w:rPr>
                            <w:color w:val="auto"/>
                            <w:kern w:val="0"/>
                            <w:sz w:val="15"/>
                            <w:szCs w:val="15"/>
                          </w:rPr>
                        </w:pPr>
                      </w:p>
                    </w:tc>
                    <w:tc>
                      <w:tcPr>
                        <w:tcW w:w="1477" w:type="dxa"/>
                        <w:shd w:val="clear" w:color="auto" w:fill="auto"/>
                        <w:vAlign w:val="center"/>
                      </w:tcPr>
                      <w:p>
                        <w:pPr>
                          <w:widowControl/>
                          <w:jc w:val="center"/>
                          <w:rPr>
                            <w:color w:val="auto"/>
                            <w:kern w:val="0"/>
                            <w:sz w:val="15"/>
                            <w:szCs w:val="15"/>
                          </w:rPr>
                        </w:pPr>
                        <w:r>
                          <w:rPr>
                            <w:rFonts w:hint="eastAsia"/>
                            <w:color w:val="auto"/>
                            <w:kern w:val="0"/>
                            <w:sz w:val="15"/>
                            <w:szCs w:val="15"/>
                          </w:rPr>
                          <w:t>贮存分区标志</w:t>
                        </w:r>
                      </w:p>
                    </w:tc>
                    <w:tc>
                      <w:tcPr>
                        <w:tcW w:w="2009" w:type="dxa"/>
                        <w:shd w:val="clear" w:color="auto" w:fill="auto"/>
                        <w:vAlign w:val="center"/>
                      </w:tcPr>
                      <w:p>
                        <w:pPr>
                          <w:widowControl/>
                          <w:jc w:val="center"/>
                          <w:rPr>
                            <w:color w:val="auto"/>
                            <w:kern w:val="0"/>
                            <w:sz w:val="15"/>
                            <w:szCs w:val="15"/>
                          </w:rPr>
                        </w:pPr>
                        <w:r>
                          <w:rPr>
                            <w:rFonts w:hint="eastAsia"/>
                            <w:color w:val="auto"/>
                            <w:kern w:val="0"/>
                            <w:sz w:val="15"/>
                            <w:szCs w:val="15"/>
                          </w:rPr>
                          <w:t>其他文字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776" w:type="dxa"/>
                        <w:shd w:val="clear" w:color="auto" w:fill="auto"/>
                        <w:vAlign w:val="center"/>
                      </w:tcPr>
                      <w:p>
                        <w:pPr>
                          <w:widowControl/>
                          <w:jc w:val="center"/>
                          <w:rPr>
                            <w:color w:val="auto"/>
                            <w:kern w:val="0"/>
                            <w:sz w:val="15"/>
                            <w:szCs w:val="15"/>
                          </w:rPr>
                        </w:pPr>
                        <w:r>
                          <w:rPr>
                            <w:rFonts w:hint="eastAsia"/>
                            <w:color w:val="auto"/>
                            <w:kern w:val="0"/>
                            <w:sz w:val="15"/>
                            <w:szCs w:val="15"/>
                          </w:rPr>
                          <w:t>0＜L≤2</w:t>
                        </w:r>
                        <w:r>
                          <w:rPr>
                            <w:color w:val="auto"/>
                            <w:kern w:val="0"/>
                            <w:sz w:val="15"/>
                            <w:szCs w:val="15"/>
                          </w:rPr>
                          <w:t>.5</w:t>
                        </w:r>
                      </w:p>
                    </w:tc>
                    <w:tc>
                      <w:tcPr>
                        <w:tcW w:w="2835" w:type="dxa"/>
                        <w:shd w:val="clear" w:color="auto" w:fill="auto"/>
                        <w:vAlign w:val="center"/>
                      </w:tcPr>
                      <w:p>
                        <w:pPr>
                          <w:widowControl/>
                          <w:jc w:val="center"/>
                          <w:rPr>
                            <w:color w:val="auto"/>
                            <w:kern w:val="0"/>
                            <w:sz w:val="15"/>
                            <w:szCs w:val="15"/>
                          </w:rPr>
                        </w:pPr>
                        <w:r>
                          <w:rPr>
                            <w:rFonts w:hint="eastAsia"/>
                            <w:color w:val="auto"/>
                            <w:kern w:val="0"/>
                            <w:sz w:val="15"/>
                            <w:szCs w:val="15"/>
                          </w:rPr>
                          <w:t>3</w:t>
                        </w:r>
                        <w:r>
                          <w:rPr>
                            <w:color w:val="auto"/>
                            <w:kern w:val="0"/>
                            <w:sz w:val="15"/>
                            <w:szCs w:val="15"/>
                          </w:rPr>
                          <w:t>00</w:t>
                        </w:r>
                        <w:r>
                          <w:rPr>
                            <w:rFonts w:hint="eastAsia"/>
                            <w:color w:val="auto"/>
                            <w:kern w:val="0"/>
                            <w:sz w:val="15"/>
                            <w:szCs w:val="15"/>
                          </w:rPr>
                          <w:t>×3</w:t>
                        </w:r>
                        <w:r>
                          <w:rPr>
                            <w:color w:val="auto"/>
                            <w:kern w:val="0"/>
                            <w:sz w:val="15"/>
                            <w:szCs w:val="15"/>
                          </w:rPr>
                          <w:t>00</w:t>
                        </w:r>
                      </w:p>
                    </w:tc>
                    <w:tc>
                      <w:tcPr>
                        <w:tcW w:w="1477" w:type="dxa"/>
                        <w:shd w:val="clear" w:color="auto" w:fill="auto"/>
                        <w:vAlign w:val="center"/>
                      </w:tcPr>
                      <w:p>
                        <w:pPr>
                          <w:widowControl/>
                          <w:jc w:val="center"/>
                          <w:rPr>
                            <w:color w:val="auto"/>
                            <w:kern w:val="0"/>
                            <w:sz w:val="15"/>
                            <w:szCs w:val="15"/>
                          </w:rPr>
                        </w:pPr>
                        <w:r>
                          <w:rPr>
                            <w:rFonts w:hint="eastAsia"/>
                            <w:color w:val="auto"/>
                            <w:kern w:val="0"/>
                            <w:sz w:val="15"/>
                            <w:szCs w:val="15"/>
                          </w:rPr>
                          <w:t>2</w:t>
                        </w:r>
                        <w:r>
                          <w:rPr>
                            <w:color w:val="auto"/>
                            <w:kern w:val="0"/>
                            <w:sz w:val="15"/>
                            <w:szCs w:val="15"/>
                          </w:rPr>
                          <w:t>0</w:t>
                        </w:r>
                      </w:p>
                    </w:tc>
                    <w:tc>
                      <w:tcPr>
                        <w:tcW w:w="2009" w:type="dxa"/>
                        <w:shd w:val="clear" w:color="auto" w:fill="auto"/>
                        <w:vAlign w:val="center"/>
                      </w:tcPr>
                      <w:p>
                        <w:pPr>
                          <w:widowControl/>
                          <w:jc w:val="center"/>
                          <w:rPr>
                            <w:color w:val="auto"/>
                            <w:kern w:val="0"/>
                            <w:sz w:val="15"/>
                            <w:szCs w:val="15"/>
                          </w:rPr>
                        </w:pPr>
                        <w:r>
                          <w:rPr>
                            <w:rFonts w:hint="eastAsia"/>
                            <w:color w:val="auto"/>
                            <w:kern w:val="0"/>
                            <w:sz w:val="15"/>
                            <w:szCs w:val="15"/>
                          </w:rPr>
                          <w:t>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776" w:type="dxa"/>
                        <w:shd w:val="clear" w:color="auto" w:fill="auto"/>
                        <w:vAlign w:val="center"/>
                      </w:tcPr>
                      <w:p>
                        <w:pPr>
                          <w:widowControl/>
                          <w:jc w:val="center"/>
                          <w:rPr>
                            <w:color w:val="auto"/>
                            <w:kern w:val="0"/>
                            <w:sz w:val="15"/>
                            <w:szCs w:val="15"/>
                          </w:rPr>
                        </w:pPr>
                        <w:r>
                          <w:rPr>
                            <w:color w:val="auto"/>
                            <w:kern w:val="0"/>
                            <w:sz w:val="15"/>
                            <w:szCs w:val="15"/>
                          </w:rPr>
                          <w:t>2.5</w:t>
                        </w:r>
                        <w:r>
                          <w:rPr>
                            <w:rFonts w:hint="eastAsia"/>
                            <w:color w:val="auto"/>
                            <w:kern w:val="0"/>
                            <w:sz w:val="15"/>
                            <w:szCs w:val="15"/>
                          </w:rPr>
                          <w:t>＜L≤</w:t>
                        </w:r>
                        <w:r>
                          <w:rPr>
                            <w:color w:val="auto"/>
                            <w:kern w:val="0"/>
                            <w:sz w:val="15"/>
                            <w:szCs w:val="15"/>
                          </w:rPr>
                          <w:t>4</w:t>
                        </w:r>
                      </w:p>
                    </w:tc>
                    <w:tc>
                      <w:tcPr>
                        <w:tcW w:w="2835" w:type="dxa"/>
                        <w:shd w:val="clear" w:color="auto" w:fill="auto"/>
                        <w:vAlign w:val="center"/>
                      </w:tcPr>
                      <w:p>
                        <w:pPr>
                          <w:widowControl/>
                          <w:jc w:val="center"/>
                          <w:rPr>
                            <w:color w:val="auto"/>
                            <w:kern w:val="0"/>
                            <w:sz w:val="15"/>
                            <w:szCs w:val="15"/>
                          </w:rPr>
                        </w:pPr>
                        <w:r>
                          <w:rPr>
                            <w:color w:val="auto"/>
                            <w:kern w:val="0"/>
                            <w:sz w:val="15"/>
                            <w:szCs w:val="15"/>
                          </w:rPr>
                          <w:t>450</w:t>
                        </w:r>
                        <w:r>
                          <w:rPr>
                            <w:rFonts w:hint="eastAsia"/>
                            <w:color w:val="auto"/>
                            <w:kern w:val="0"/>
                            <w:sz w:val="15"/>
                            <w:szCs w:val="15"/>
                          </w:rPr>
                          <w:t>×</w:t>
                        </w:r>
                        <w:r>
                          <w:rPr>
                            <w:color w:val="auto"/>
                            <w:kern w:val="0"/>
                            <w:sz w:val="15"/>
                            <w:szCs w:val="15"/>
                          </w:rPr>
                          <w:t>450</w:t>
                        </w:r>
                      </w:p>
                    </w:tc>
                    <w:tc>
                      <w:tcPr>
                        <w:tcW w:w="1477" w:type="dxa"/>
                        <w:shd w:val="clear" w:color="auto" w:fill="auto"/>
                        <w:vAlign w:val="center"/>
                      </w:tcPr>
                      <w:p>
                        <w:pPr>
                          <w:widowControl/>
                          <w:jc w:val="center"/>
                          <w:rPr>
                            <w:color w:val="auto"/>
                            <w:kern w:val="0"/>
                            <w:sz w:val="15"/>
                            <w:szCs w:val="15"/>
                          </w:rPr>
                        </w:pPr>
                        <w:r>
                          <w:rPr>
                            <w:rFonts w:hint="eastAsia"/>
                            <w:color w:val="auto"/>
                            <w:kern w:val="0"/>
                            <w:sz w:val="15"/>
                            <w:szCs w:val="15"/>
                          </w:rPr>
                          <w:t>3</w:t>
                        </w:r>
                        <w:r>
                          <w:rPr>
                            <w:color w:val="auto"/>
                            <w:kern w:val="0"/>
                            <w:sz w:val="15"/>
                            <w:szCs w:val="15"/>
                          </w:rPr>
                          <w:t>0</w:t>
                        </w:r>
                      </w:p>
                    </w:tc>
                    <w:tc>
                      <w:tcPr>
                        <w:tcW w:w="2009" w:type="dxa"/>
                        <w:shd w:val="clear" w:color="auto" w:fill="auto"/>
                        <w:vAlign w:val="center"/>
                      </w:tcPr>
                      <w:p>
                        <w:pPr>
                          <w:widowControl/>
                          <w:jc w:val="center"/>
                          <w:rPr>
                            <w:color w:val="auto"/>
                            <w:kern w:val="0"/>
                            <w:sz w:val="15"/>
                            <w:szCs w:val="15"/>
                          </w:rPr>
                        </w:pPr>
                        <w:r>
                          <w:rPr>
                            <w:rFonts w:hint="eastAsia"/>
                            <w:color w:val="auto"/>
                            <w:kern w:val="0"/>
                            <w:sz w:val="15"/>
                            <w:szCs w:val="15"/>
                          </w:rPr>
                          <w:t>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776" w:type="dxa"/>
                        <w:shd w:val="clear" w:color="auto" w:fill="auto"/>
                        <w:vAlign w:val="center"/>
                      </w:tcPr>
                      <w:p>
                        <w:pPr>
                          <w:widowControl/>
                          <w:jc w:val="center"/>
                          <w:rPr>
                            <w:color w:val="auto"/>
                            <w:kern w:val="0"/>
                            <w:sz w:val="15"/>
                            <w:szCs w:val="15"/>
                          </w:rPr>
                        </w:pPr>
                        <w:r>
                          <w:rPr>
                            <w:rFonts w:hint="eastAsia"/>
                            <w:color w:val="auto"/>
                            <w:kern w:val="0"/>
                            <w:sz w:val="15"/>
                            <w:szCs w:val="15"/>
                          </w:rPr>
                          <w:t>L＞4</w:t>
                        </w:r>
                      </w:p>
                    </w:tc>
                    <w:tc>
                      <w:tcPr>
                        <w:tcW w:w="2835" w:type="dxa"/>
                        <w:shd w:val="clear" w:color="auto" w:fill="auto"/>
                        <w:vAlign w:val="center"/>
                      </w:tcPr>
                      <w:p>
                        <w:pPr>
                          <w:widowControl/>
                          <w:jc w:val="center"/>
                          <w:rPr>
                            <w:color w:val="auto"/>
                            <w:kern w:val="0"/>
                            <w:sz w:val="15"/>
                            <w:szCs w:val="15"/>
                          </w:rPr>
                        </w:pPr>
                        <w:r>
                          <w:rPr>
                            <w:color w:val="auto"/>
                            <w:kern w:val="0"/>
                            <w:sz w:val="15"/>
                            <w:szCs w:val="15"/>
                          </w:rPr>
                          <w:t>600</w:t>
                        </w:r>
                        <w:r>
                          <w:rPr>
                            <w:rFonts w:hint="eastAsia"/>
                            <w:color w:val="auto"/>
                            <w:kern w:val="0"/>
                            <w:sz w:val="15"/>
                            <w:szCs w:val="15"/>
                          </w:rPr>
                          <w:t>×</w:t>
                        </w:r>
                        <w:r>
                          <w:rPr>
                            <w:color w:val="auto"/>
                            <w:kern w:val="0"/>
                            <w:sz w:val="15"/>
                            <w:szCs w:val="15"/>
                          </w:rPr>
                          <w:t>600</w:t>
                        </w:r>
                      </w:p>
                    </w:tc>
                    <w:tc>
                      <w:tcPr>
                        <w:tcW w:w="1477" w:type="dxa"/>
                        <w:shd w:val="clear" w:color="auto" w:fill="auto"/>
                        <w:vAlign w:val="center"/>
                      </w:tcPr>
                      <w:p>
                        <w:pPr>
                          <w:widowControl/>
                          <w:jc w:val="center"/>
                          <w:rPr>
                            <w:color w:val="auto"/>
                            <w:kern w:val="0"/>
                            <w:sz w:val="15"/>
                            <w:szCs w:val="15"/>
                          </w:rPr>
                        </w:pPr>
                        <w:r>
                          <w:rPr>
                            <w:rFonts w:hint="eastAsia"/>
                            <w:color w:val="auto"/>
                            <w:kern w:val="0"/>
                            <w:sz w:val="15"/>
                            <w:szCs w:val="15"/>
                          </w:rPr>
                          <w:t>4</w:t>
                        </w:r>
                        <w:r>
                          <w:rPr>
                            <w:color w:val="auto"/>
                            <w:kern w:val="0"/>
                            <w:sz w:val="15"/>
                            <w:szCs w:val="15"/>
                          </w:rPr>
                          <w:t>0</w:t>
                        </w:r>
                      </w:p>
                    </w:tc>
                    <w:tc>
                      <w:tcPr>
                        <w:tcW w:w="2009" w:type="dxa"/>
                        <w:shd w:val="clear" w:color="auto" w:fill="auto"/>
                        <w:vAlign w:val="center"/>
                      </w:tcPr>
                      <w:p>
                        <w:pPr>
                          <w:widowControl/>
                          <w:jc w:val="center"/>
                          <w:rPr>
                            <w:color w:val="auto"/>
                            <w:kern w:val="0"/>
                            <w:sz w:val="15"/>
                            <w:szCs w:val="15"/>
                          </w:rPr>
                        </w:pPr>
                        <w:r>
                          <w:rPr>
                            <w:rFonts w:hint="eastAsia"/>
                            <w:color w:val="auto"/>
                            <w:kern w:val="0"/>
                            <w:sz w:val="15"/>
                            <w:szCs w:val="15"/>
                          </w:rPr>
                          <w:t>1</w:t>
                        </w:r>
                        <w:r>
                          <w:rPr>
                            <w:color w:val="auto"/>
                            <w:kern w:val="0"/>
                            <w:sz w:val="15"/>
                            <w:szCs w:val="15"/>
                          </w:rPr>
                          <w:t>2</w:t>
                        </w:r>
                      </w:p>
                    </w:tc>
                  </w:tr>
                </w:tbl>
                <w:p>
                  <w:pPr>
                    <w:widowControl/>
                    <w:jc w:val="left"/>
                    <w:rPr>
                      <w:color w:val="auto"/>
                      <w:kern w:val="0"/>
                      <w:sz w:val="18"/>
                      <w:szCs w:val="21"/>
                    </w:rPr>
                  </w:pPr>
                  <w:r>
                    <w:rPr>
                      <w:color w:val="auto"/>
                      <w:kern w:val="0"/>
                      <w:sz w:val="18"/>
                      <w:szCs w:val="21"/>
                    </w:rPr>
                    <w:t>（2）颜色与字体</w:t>
                  </w:r>
                  <w:r>
                    <w:rPr>
                      <w:rFonts w:hint="eastAsia"/>
                      <w:color w:val="auto"/>
                      <w:kern w:val="0"/>
                      <w:sz w:val="18"/>
                      <w:szCs w:val="21"/>
                    </w:rPr>
                    <w:t>：分区标志背景色应采用黄色，</w:t>
                  </w:r>
                  <w:r>
                    <w:rPr>
                      <w:color w:val="auto"/>
                      <w:kern w:val="0"/>
                      <w:sz w:val="18"/>
                      <w:szCs w:val="21"/>
                    </w:rPr>
                    <w:t xml:space="preserve">RGB </w:t>
                  </w:r>
                  <w:r>
                    <w:rPr>
                      <w:rFonts w:hint="eastAsia"/>
                      <w:color w:val="auto"/>
                      <w:kern w:val="0"/>
                      <w:sz w:val="18"/>
                      <w:szCs w:val="21"/>
                    </w:rPr>
                    <w:t>颜色值为（</w:t>
                  </w:r>
                  <w:r>
                    <w:rPr>
                      <w:color w:val="auto"/>
                      <w:kern w:val="0"/>
                      <w:sz w:val="18"/>
                      <w:szCs w:val="21"/>
                    </w:rPr>
                    <w:t>255</w:t>
                  </w:r>
                  <w:r>
                    <w:rPr>
                      <w:rFonts w:hint="eastAsia"/>
                      <w:color w:val="auto"/>
                      <w:kern w:val="0"/>
                      <w:sz w:val="18"/>
                      <w:szCs w:val="21"/>
                    </w:rPr>
                    <w:t>，</w:t>
                  </w:r>
                  <w:r>
                    <w:rPr>
                      <w:color w:val="auto"/>
                      <w:kern w:val="0"/>
                      <w:sz w:val="18"/>
                      <w:szCs w:val="21"/>
                    </w:rPr>
                    <w:t>255</w:t>
                  </w:r>
                  <w:r>
                    <w:rPr>
                      <w:rFonts w:hint="eastAsia"/>
                      <w:color w:val="auto"/>
                      <w:kern w:val="0"/>
                      <w:sz w:val="18"/>
                      <w:szCs w:val="21"/>
                    </w:rPr>
                    <w:t>，</w:t>
                  </w:r>
                  <w:r>
                    <w:rPr>
                      <w:color w:val="auto"/>
                      <w:kern w:val="0"/>
                      <w:sz w:val="18"/>
                      <w:szCs w:val="21"/>
                    </w:rPr>
                    <w:t>0</w:t>
                  </w:r>
                  <w:r>
                    <w:rPr>
                      <w:rFonts w:hint="eastAsia"/>
                      <w:color w:val="auto"/>
                      <w:kern w:val="0"/>
                      <w:sz w:val="18"/>
                      <w:szCs w:val="21"/>
                    </w:rPr>
                    <w:t>）。废物种类信息应采用醒目的橘黄色，</w:t>
                  </w:r>
                  <w:r>
                    <w:rPr>
                      <w:color w:val="auto"/>
                      <w:kern w:val="0"/>
                      <w:sz w:val="18"/>
                      <w:szCs w:val="21"/>
                    </w:rPr>
                    <w:t xml:space="preserve">RGB </w:t>
                  </w:r>
                  <w:r>
                    <w:rPr>
                      <w:rFonts w:hint="eastAsia"/>
                      <w:color w:val="auto"/>
                      <w:kern w:val="0"/>
                      <w:sz w:val="18"/>
                      <w:szCs w:val="21"/>
                    </w:rPr>
                    <w:t>颜色值为（</w:t>
                  </w:r>
                  <w:r>
                    <w:rPr>
                      <w:color w:val="auto"/>
                      <w:kern w:val="0"/>
                      <w:sz w:val="18"/>
                      <w:szCs w:val="21"/>
                    </w:rPr>
                    <w:t>255</w:t>
                  </w:r>
                  <w:r>
                    <w:rPr>
                      <w:rFonts w:hint="eastAsia"/>
                      <w:color w:val="auto"/>
                      <w:kern w:val="0"/>
                      <w:sz w:val="18"/>
                      <w:szCs w:val="21"/>
                    </w:rPr>
                    <w:t>，</w:t>
                  </w:r>
                  <w:r>
                    <w:rPr>
                      <w:color w:val="auto"/>
                      <w:kern w:val="0"/>
                      <w:sz w:val="18"/>
                      <w:szCs w:val="21"/>
                    </w:rPr>
                    <w:t>150</w:t>
                  </w:r>
                  <w:r>
                    <w:rPr>
                      <w:rFonts w:hint="eastAsia"/>
                      <w:color w:val="auto"/>
                      <w:kern w:val="0"/>
                      <w:sz w:val="18"/>
                      <w:szCs w:val="21"/>
                    </w:rPr>
                    <w:t>，</w:t>
                  </w:r>
                  <w:r>
                    <w:rPr>
                      <w:color w:val="auto"/>
                      <w:kern w:val="0"/>
                      <w:sz w:val="18"/>
                      <w:szCs w:val="21"/>
                    </w:rPr>
                    <w:t>0</w:t>
                  </w:r>
                  <w:r>
                    <w:rPr>
                      <w:rFonts w:hint="eastAsia"/>
                      <w:color w:val="auto"/>
                      <w:kern w:val="0"/>
                      <w:sz w:val="18"/>
                      <w:szCs w:val="21"/>
                    </w:rPr>
                    <w:t>）。字体颜色为黑色，</w:t>
                  </w:r>
                  <w:r>
                    <w:rPr>
                      <w:color w:val="auto"/>
                      <w:kern w:val="0"/>
                      <w:sz w:val="18"/>
                      <w:szCs w:val="21"/>
                    </w:rPr>
                    <w:t xml:space="preserve">RGB </w:t>
                  </w:r>
                  <w:r>
                    <w:rPr>
                      <w:rFonts w:hint="eastAsia"/>
                      <w:color w:val="auto"/>
                      <w:kern w:val="0"/>
                      <w:sz w:val="18"/>
                      <w:szCs w:val="21"/>
                    </w:rPr>
                    <w:t>颜色值为（</w:t>
                  </w:r>
                  <w:r>
                    <w:rPr>
                      <w:color w:val="auto"/>
                      <w:kern w:val="0"/>
                      <w:sz w:val="18"/>
                      <w:szCs w:val="21"/>
                    </w:rPr>
                    <w:t>0</w:t>
                  </w:r>
                  <w:r>
                    <w:rPr>
                      <w:rFonts w:hint="eastAsia"/>
                      <w:color w:val="auto"/>
                      <w:kern w:val="0"/>
                      <w:sz w:val="18"/>
                      <w:szCs w:val="21"/>
                    </w:rPr>
                    <w:t>，</w:t>
                  </w:r>
                  <w:r>
                    <w:rPr>
                      <w:color w:val="auto"/>
                      <w:kern w:val="0"/>
                      <w:sz w:val="18"/>
                      <w:szCs w:val="21"/>
                    </w:rPr>
                    <w:t>0</w:t>
                  </w:r>
                  <w:r>
                    <w:rPr>
                      <w:rFonts w:hint="eastAsia"/>
                      <w:color w:val="auto"/>
                      <w:kern w:val="0"/>
                      <w:sz w:val="18"/>
                      <w:szCs w:val="21"/>
                    </w:rPr>
                    <w:t>，</w:t>
                  </w:r>
                  <w:r>
                    <w:rPr>
                      <w:color w:val="auto"/>
                      <w:kern w:val="0"/>
                      <w:sz w:val="18"/>
                      <w:szCs w:val="21"/>
                    </w:rPr>
                    <w:t>0</w:t>
                  </w:r>
                  <w:r>
                    <w:rPr>
                      <w:rFonts w:hint="eastAsia"/>
                      <w:color w:val="auto"/>
                      <w:kern w:val="0"/>
                      <w:sz w:val="18"/>
                      <w:szCs w:val="21"/>
                    </w:rPr>
                    <w:t>），字体宜采用黑体字，其中“危险废物贮存分区标志”字样应加粗放大并居中显</w:t>
                  </w:r>
                </w:p>
                <w:p>
                  <w:pPr>
                    <w:widowControl/>
                    <w:jc w:val="left"/>
                    <w:rPr>
                      <w:color w:val="auto"/>
                      <w:kern w:val="0"/>
                      <w:sz w:val="18"/>
                      <w:szCs w:val="21"/>
                    </w:rPr>
                  </w:pPr>
                  <w:r>
                    <w:rPr>
                      <w:rFonts w:hint="eastAsia"/>
                      <w:color w:val="auto"/>
                      <w:kern w:val="0"/>
                      <w:sz w:val="18"/>
                      <w:szCs w:val="21"/>
                    </w:rPr>
                    <w:t>示。</w:t>
                  </w:r>
                </w:p>
                <w:p>
                  <w:pPr>
                    <w:widowControl/>
                    <w:jc w:val="left"/>
                    <w:rPr>
                      <w:color w:val="auto"/>
                      <w:kern w:val="0"/>
                      <w:sz w:val="18"/>
                      <w:szCs w:val="21"/>
                    </w:rPr>
                  </w:pPr>
                  <w:r>
                    <w:rPr>
                      <w:color w:val="auto"/>
                      <w:kern w:val="0"/>
                      <w:sz w:val="18"/>
                      <w:szCs w:val="21"/>
                    </w:rPr>
                    <w:t>（3）材料：</w:t>
                  </w:r>
                  <w:r>
                    <w:rPr>
                      <w:rFonts w:hint="eastAsia"/>
                      <w:color w:val="auto"/>
                      <w:kern w:val="0"/>
                      <w:sz w:val="18"/>
                      <w:szCs w:val="21"/>
                    </w:rPr>
                    <w:t>分区标志的衬底宜采用坚固耐用的材料，并具有耐用性和防水性。废物贮存种类信息等可采用印刷纸张、不粘胶材质或塑料卡片等，以便固定在衬底上。</w:t>
                  </w:r>
                </w:p>
                <w:p>
                  <w:pPr>
                    <w:widowControl/>
                    <w:jc w:val="left"/>
                    <w:rPr>
                      <w:color w:val="auto"/>
                      <w:kern w:val="0"/>
                      <w:sz w:val="18"/>
                      <w:szCs w:val="21"/>
                    </w:rPr>
                  </w:pPr>
                  <w:r>
                    <w:rPr>
                      <w:color w:val="auto"/>
                      <w:kern w:val="0"/>
                      <w:sz w:val="18"/>
                      <w:szCs w:val="21"/>
                    </w:rPr>
                    <w:t>3.公开内容</w:t>
                  </w:r>
                </w:p>
                <w:p>
                  <w:pPr>
                    <w:pStyle w:val="2"/>
                    <w:spacing w:before="0" w:after="0" w:line="240" w:lineRule="auto"/>
                    <w:rPr>
                      <w:color w:val="auto"/>
                      <w:sz w:val="21"/>
                      <w:szCs w:val="21"/>
                    </w:rPr>
                  </w:pPr>
                  <w:r>
                    <w:rPr>
                      <w:rFonts w:hint="eastAsia"/>
                      <w:b w:val="0"/>
                      <w:bCs w:val="0"/>
                      <w:color w:val="auto"/>
                      <w:kern w:val="0"/>
                      <w:sz w:val="18"/>
                      <w:szCs w:val="21"/>
                    </w:rPr>
                    <w:t>包含但不限于设施内部所有贮存分区的平面分布、各分区存放的危险废物信息、本贮存分区的具体位置、环境应急物资所在位置以及进出口位置和方向、可根据自身贮存设施建设情况，在危险废物贮存分区标志中添加收集池、导流沟和通道等信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167" w:type="dxa"/>
                </w:tcPr>
                <w:p>
                  <w:pPr>
                    <w:widowControl/>
                    <w:adjustRightInd w:val="0"/>
                    <w:snapToGrid w:val="0"/>
                    <w:jc w:val="center"/>
                    <w:rPr>
                      <w:color w:val="auto"/>
                      <w:sz w:val="18"/>
                      <w:szCs w:val="18"/>
                    </w:rPr>
                  </w:pPr>
                  <w:r>
                    <w:rPr>
                      <w:color w:val="auto"/>
                    </w:rPr>
                    <w:drawing>
                      <wp:inline distT="0" distB="0" distL="0" distR="0">
                        <wp:extent cx="2362200" cy="199961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382856" cy="2017601"/>
                                </a:xfrm>
                                <a:prstGeom prst="rect">
                                  <a:avLst/>
                                </a:prstGeom>
                                <a:noFill/>
                                <a:ln>
                                  <a:noFill/>
                                </a:ln>
                              </pic:spPr>
                            </pic:pic>
                          </a:graphicData>
                        </a:graphic>
                      </wp:inline>
                    </w:drawing>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167" w:type="dxa"/>
                </w:tcPr>
                <w:p>
                  <w:pPr>
                    <w:widowControl/>
                    <w:jc w:val="left"/>
                    <w:rPr>
                      <w:b/>
                      <w:bCs/>
                      <w:color w:val="auto"/>
                      <w:kern w:val="0"/>
                      <w:sz w:val="18"/>
                      <w:szCs w:val="21"/>
                    </w:rPr>
                  </w:pPr>
                  <w:r>
                    <w:rPr>
                      <w:b/>
                      <w:bCs/>
                      <w:color w:val="auto"/>
                      <w:kern w:val="0"/>
                      <w:sz w:val="18"/>
                      <w:szCs w:val="21"/>
                    </w:rPr>
                    <w:t>危险废物暂存场所包装识别标签：</w:t>
                  </w:r>
                </w:p>
                <w:p>
                  <w:pPr>
                    <w:widowControl/>
                    <w:jc w:val="left"/>
                    <w:rPr>
                      <w:color w:val="auto"/>
                      <w:kern w:val="0"/>
                      <w:sz w:val="18"/>
                      <w:szCs w:val="21"/>
                    </w:rPr>
                  </w:pPr>
                  <w:r>
                    <w:rPr>
                      <w:color w:val="auto"/>
                      <w:kern w:val="0"/>
                      <w:sz w:val="18"/>
                      <w:szCs w:val="21"/>
                    </w:rPr>
                    <w:t>1、设置位置</w:t>
                  </w:r>
                </w:p>
                <w:p>
                  <w:pPr>
                    <w:widowControl/>
                    <w:jc w:val="left"/>
                    <w:rPr>
                      <w:color w:val="auto"/>
                      <w:kern w:val="0"/>
                      <w:sz w:val="18"/>
                      <w:szCs w:val="21"/>
                    </w:rPr>
                  </w:pPr>
                  <w:r>
                    <w:rPr>
                      <w:rFonts w:hint="eastAsia"/>
                      <w:color w:val="auto"/>
                      <w:kern w:val="0"/>
                      <w:sz w:val="18"/>
                      <w:szCs w:val="21"/>
                    </w:rPr>
                    <w:t>危险废物标签的固定可采用印刷、粘贴、栓挂、钉附等方式，标签的固定应保证在贮存、转移期间不易脱落和损坏。危险废物标签的设置位置应明显可见且易读，不应被容器、包装物自身的任何部分或其他标签遮挡。危险废物标签在各种包装上的粘贴位置分别为</w:t>
                  </w:r>
                  <w:r>
                    <w:rPr>
                      <w:color w:val="auto"/>
                      <w:kern w:val="0"/>
                      <w:sz w:val="18"/>
                      <w:szCs w:val="21"/>
                    </w:rPr>
                    <w:t>:</w:t>
                  </w:r>
                </w:p>
                <w:p>
                  <w:pPr>
                    <w:widowControl/>
                    <w:jc w:val="left"/>
                    <w:rPr>
                      <w:color w:val="auto"/>
                      <w:kern w:val="0"/>
                      <w:sz w:val="18"/>
                      <w:szCs w:val="21"/>
                    </w:rPr>
                  </w:pPr>
                  <w:r>
                    <w:rPr>
                      <w:color w:val="auto"/>
                      <w:kern w:val="0"/>
                      <w:sz w:val="18"/>
                      <w:szCs w:val="21"/>
                    </w:rPr>
                    <w:t>a</w:t>
                  </w:r>
                  <w:r>
                    <w:rPr>
                      <w:rFonts w:hint="eastAsia"/>
                      <w:color w:val="auto"/>
                      <w:kern w:val="0"/>
                      <w:sz w:val="18"/>
                      <w:szCs w:val="21"/>
                    </w:rPr>
                    <w:t>）</w:t>
                  </w:r>
                  <w:r>
                    <w:rPr>
                      <w:color w:val="auto"/>
                      <w:kern w:val="0"/>
                      <w:sz w:val="18"/>
                      <w:szCs w:val="21"/>
                    </w:rPr>
                    <w:t xml:space="preserve"> </w:t>
                  </w:r>
                  <w:r>
                    <w:rPr>
                      <w:rFonts w:hint="eastAsia"/>
                      <w:color w:val="auto"/>
                      <w:kern w:val="0"/>
                      <w:sz w:val="18"/>
                      <w:szCs w:val="21"/>
                    </w:rPr>
                    <w:t>箱类包装：位于包装端面或侧面；</w:t>
                  </w:r>
                </w:p>
                <w:p>
                  <w:pPr>
                    <w:widowControl/>
                    <w:jc w:val="left"/>
                    <w:rPr>
                      <w:color w:val="auto"/>
                      <w:kern w:val="0"/>
                      <w:sz w:val="18"/>
                      <w:szCs w:val="21"/>
                    </w:rPr>
                  </w:pPr>
                  <w:r>
                    <w:rPr>
                      <w:color w:val="auto"/>
                      <w:kern w:val="0"/>
                      <w:sz w:val="18"/>
                      <w:szCs w:val="21"/>
                    </w:rPr>
                    <w:t>b</w:t>
                  </w:r>
                  <w:r>
                    <w:rPr>
                      <w:rFonts w:hint="eastAsia"/>
                      <w:color w:val="auto"/>
                      <w:kern w:val="0"/>
                      <w:sz w:val="18"/>
                      <w:szCs w:val="21"/>
                    </w:rPr>
                    <w:t>）</w:t>
                  </w:r>
                  <w:r>
                    <w:rPr>
                      <w:color w:val="auto"/>
                      <w:kern w:val="0"/>
                      <w:sz w:val="18"/>
                      <w:szCs w:val="21"/>
                    </w:rPr>
                    <w:t xml:space="preserve"> </w:t>
                  </w:r>
                  <w:r>
                    <w:rPr>
                      <w:rFonts w:hint="eastAsia"/>
                      <w:color w:val="auto"/>
                      <w:kern w:val="0"/>
                      <w:sz w:val="18"/>
                      <w:szCs w:val="21"/>
                    </w:rPr>
                    <w:t>袋类包装：位于包装明显处；</w:t>
                  </w:r>
                </w:p>
                <w:p>
                  <w:pPr>
                    <w:widowControl/>
                    <w:jc w:val="left"/>
                    <w:rPr>
                      <w:color w:val="auto"/>
                      <w:kern w:val="0"/>
                      <w:sz w:val="18"/>
                      <w:szCs w:val="21"/>
                    </w:rPr>
                  </w:pPr>
                  <w:r>
                    <w:rPr>
                      <w:color w:val="auto"/>
                      <w:kern w:val="0"/>
                      <w:sz w:val="18"/>
                      <w:szCs w:val="21"/>
                    </w:rPr>
                    <w:t>c</w:t>
                  </w:r>
                  <w:r>
                    <w:rPr>
                      <w:rFonts w:hint="eastAsia"/>
                      <w:color w:val="auto"/>
                      <w:kern w:val="0"/>
                      <w:sz w:val="18"/>
                      <w:szCs w:val="21"/>
                    </w:rPr>
                    <w:t>）</w:t>
                  </w:r>
                  <w:r>
                    <w:rPr>
                      <w:color w:val="auto"/>
                      <w:kern w:val="0"/>
                      <w:sz w:val="18"/>
                      <w:szCs w:val="21"/>
                    </w:rPr>
                    <w:t xml:space="preserve"> </w:t>
                  </w:r>
                  <w:r>
                    <w:rPr>
                      <w:rFonts w:hint="eastAsia"/>
                      <w:color w:val="auto"/>
                      <w:kern w:val="0"/>
                      <w:sz w:val="18"/>
                      <w:szCs w:val="21"/>
                    </w:rPr>
                    <w:t>桶类包装：位于桶身或桶盖；</w:t>
                  </w:r>
                </w:p>
                <w:p>
                  <w:pPr>
                    <w:widowControl/>
                    <w:jc w:val="left"/>
                    <w:rPr>
                      <w:color w:val="auto"/>
                      <w:kern w:val="0"/>
                      <w:sz w:val="18"/>
                      <w:szCs w:val="21"/>
                    </w:rPr>
                  </w:pPr>
                  <w:r>
                    <w:rPr>
                      <w:color w:val="auto"/>
                      <w:kern w:val="0"/>
                      <w:sz w:val="18"/>
                      <w:szCs w:val="21"/>
                    </w:rPr>
                    <w:t>d</w:t>
                  </w:r>
                  <w:r>
                    <w:rPr>
                      <w:rFonts w:hint="eastAsia"/>
                      <w:color w:val="auto"/>
                      <w:kern w:val="0"/>
                      <w:sz w:val="18"/>
                      <w:szCs w:val="21"/>
                    </w:rPr>
                    <w:t>）</w:t>
                  </w:r>
                  <w:r>
                    <w:rPr>
                      <w:color w:val="auto"/>
                      <w:kern w:val="0"/>
                      <w:sz w:val="18"/>
                      <w:szCs w:val="21"/>
                    </w:rPr>
                    <w:t xml:space="preserve"> </w:t>
                  </w:r>
                  <w:r>
                    <w:rPr>
                      <w:rFonts w:hint="eastAsia"/>
                      <w:color w:val="auto"/>
                      <w:kern w:val="0"/>
                      <w:sz w:val="18"/>
                      <w:szCs w:val="21"/>
                    </w:rPr>
                    <w:t>其他包装：位于明显处。</w:t>
                  </w:r>
                </w:p>
                <w:p>
                  <w:pPr>
                    <w:widowControl/>
                    <w:jc w:val="left"/>
                    <w:rPr>
                      <w:color w:val="auto"/>
                      <w:kern w:val="0"/>
                      <w:sz w:val="18"/>
                      <w:szCs w:val="21"/>
                    </w:rPr>
                  </w:pPr>
                  <w:r>
                    <w:rPr>
                      <w:rFonts w:hint="eastAsia"/>
                      <w:color w:val="auto"/>
                      <w:kern w:val="0"/>
                      <w:sz w:val="18"/>
                      <w:szCs w:val="21"/>
                    </w:rPr>
                    <w:t>对于盛装同一类危险废物的组合包装容器，应在组合包装容器的外表面设置危险废物标签。容积超过</w:t>
                  </w:r>
                  <w:r>
                    <w:rPr>
                      <w:color w:val="auto"/>
                      <w:kern w:val="0"/>
                      <w:sz w:val="18"/>
                      <w:szCs w:val="21"/>
                    </w:rPr>
                    <w:t xml:space="preserve">450 L </w:t>
                  </w:r>
                  <w:r>
                    <w:rPr>
                      <w:rFonts w:hint="eastAsia"/>
                      <w:color w:val="auto"/>
                      <w:kern w:val="0"/>
                      <w:sz w:val="18"/>
                      <w:szCs w:val="21"/>
                    </w:rPr>
                    <w:t>的容器或包装物，应在相对的两面都设置危险废物标签。当危险废物容器或包装物还需同时设置危险货物运输相关标志时，危险废物标签可与其分开设置在不同的面上，也可设在相邻的位置。在贮存池的或贮存设施内堆存的无包装或无容器的危险废物，宜在其附近参照危险废物标签的格式和内容设置柱式标志牌。</w:t>
                  </w:r>
                </w:p>
                <w:p>
                  <w:pPr>
                    <w:widowControl/>
                    <w:jc w:val="left"/>
                    <w:rPr>
                      <w:color w:val="auto"/>
                      <w:kern w:val="0"/>
                      <w:sz w:val="18"/>
                      <w:szCs w:val="21"/>
                    </w:rPr>
                  </w:pPr>
                  <w:r>
                    <w:rPr>
                      <w:color w:val="auto"/>
                      <w:kern w:val="0"/>
                      <w:sz w:val="18"/>
                      <w:szCs w:val="21"/>
                    </w:rPr>
                    <w:t>2.规格参数</w:t>
                  </w:r>
                </w:p>
                <w:p>
                  <w:pPr>
                    <w:widowControl/>
                    <w:jc w:val="left"/>
                    <w:rPr>
                      <w:color w:val="auto"/>
                      <w:kern w:val="0"/>
                      <w:sz w:val="18"/>
                      <w:szCs w:val="21"/>
                    </w:rPr>
                  </w:pPr>
                  <w:r>
                    <w:rPr>
                      <w:color w:val="auto"/>
                      <w:kern w:val="0"/>
                      <w:sz w:val="18"/>
                      <w:szCs w:val="21"/>
                    </w:rPr>
                    <w:t>（1）尺寸：</w:t>
                  </w:r>
                </w:p>
                <w:tbl>
                  <w:tblPr>
                    <w:tblStyle w:val="37"/>
                    <w:tblW w:w="8623"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09"/>
                    <w:gridCol w:w="2410"/>
                    <w:gridCol w:w="3148"/>
                    <w:gridCol w:w="215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09" w:type="dxa"/>
                        <w:shd w:val="clear" w:color="auto" w:fill="auto"/>
                        <w:vAlign w:val="center"/>
                      </w:tcPr>
                      <w:p>
                        <w:pPr>
                          <w:widowControl/>
                          <w:jc w:val="center"/>
                          <w:rPr>
                            <w:color w:val="auto"/>
                            <w:kern w:val="0"/>
                            <w:sz w:val="15"/>
                            <w:szCs w:val="15"/>
                          </w:rPr>
                        </w:pPr>
                        <w:r>
                          <w:rPr>
                            <w:rFonts w:hint="eastAsia"/>
                            <w:color w:val="auto"/>
                            <w:kern w:val="0"/>
                            <w:sz w:val="15"/>
                            <w:szCs w:val="15"/>
                          </w:rPr>
                          <w:t>序号</w:t>
                        </w:r>
                      </w:p>
                    </w:tc>
                    <w:tc>
                      <w:tcPr>
                        <w:tcW w:w="2410" w:type="dxa"/>
                        <w:shd w:val="clear" w:color="auto" w:fill="auto"/>
                        <w:vAlign w:val="center"/>
                      </w:tcPr>
                      <w:p>
                        <w:pPr>
                          <w:widowControl/>
                          <w:jc w:val="center"/>
                          <w:rPr>
                            <w:color w:val="auto"/>
                            <w:kern w:val="0"/>
                            <w:sz w:val="15"/>
                            <w:szCs w:val="15"/>
                          </w:rPr>
                        </w:pPr>
                        <w:r>
                          <w:rPr>
                            <w:rFonts w:hint="eastAsia"/>
                            <w:color w:val="auto"/>
                            <w:kern w:val="0"/>
                            <w:sz w:val="15"/>
                            <w:szCs w:val="15"/>
                          </w:rPr>
                          <w:t>容器或包装物容积（L）</w:t>
                        </w:r>
                      </w:p>
                    </w:tc>
                    <w:tc>
                      <w:tcPr>
                        <w:tcW w:w="3148" w:type="dxa"/>
                        <w:shd w:val="clear" w:color="auto" w:fill="auto"/>
                        <w:vAlign w:val="center"/>
                      </w:tcPr>
                      <w:p>
                        <w:pPr>
                          <w:widowControl/>
                          <w:jc w:val="center"/>
                          <w:rPr>
                            <w:color w:val="auto"/>
                            <w:kern w:val="0"/>
                            <w:sz w:val="15"/>
                            <w:szCs w:val="15"/>
                          </w:rPr>
                        </w:pPr>
                        <w:r>
                          <w:rPr>
                            <w:rFonts w:hint="eastAsia"/>
                            <w:color w:val="auto"/>
                            <w:kern w:val="0"/>
                            <w:sz w:val="15"/>
                            <w:szCs w:val="15"/>
                          </w:rPr>
                          <w:t>标志牌整体外形最小尺寸（m</w:t>
                        </w:r>
                        <w:r>
                          <w:rPr>
                            <w:color w:val="auto"/>
                            <w:kern w:val="0"/>
                            <w:sz w:val="15"/>
                            <w:szCs w:val="15"/>
                          </w:rPr>
                          <w:t>m</w:t>
                        </w:r>
                        <w:r>
                          <w:rPr>
                            <w:rFonts w:hint="eastAsia"/>
                            <w:color w:val="auto"/>
                            <w:kern w:val="0"/>
                            <w:sz w:val="15"/>
                            <w:szCs w:val="15"/>
                          </w:rPr>
                          <w:t>）</w:t>
                        </w:r>
                      </w:p>
                    </w:tc>
                    <w:tc>
                      <w:tcPr>
                        <w:tcW w:w="2156" w:type="dxa"/>
                        <w:shd w:val="clear" w:color="auto" w:fill="auto"/>
                        <w:vAlign w:val="center"/>
                      </w:tcPr>
                      <w:p>
                        <w:pPr>
                          <w:widowControl/>
                          <w:jc w:val="center"/>
                          <w:rPr>
                            <w:color w:val="auto"/>
                            <w:kern w:val="0"/>
                            <w:sz w:val="15"/>
                            <w:szCs w:val="15"/>
                          </w:rPr>
                        </w:pPr>
                        <w:r>
                          <w:rPr>
                            <w:rFonts w:hint="eastAsia"/>
                            <w:color w:val="auto"/>
                            <w:kern w:val="0"/>
                            <w:sz w:val="15"/>
                            <w:szCs w:val="15"/>
                          </w:rPr>
                          <w:t>最低文字高度（m</w:t>
                        </w:r>
                        <w:r>
                          <w:rPr>
                            <w:color w:val="auto"/>
                            <w:kern w:val="0"/>
                            <w:sz w:val="15"/>
                            <w:szCs w:val="15"/>
                          </w:rPr>
                          <w:t>m</w:t>
                        </w:r>
                        <w:r>
                          <w:rPr>
                            <w:rFonts w:hint="eastAsia"/>
                            <w:color w:val="auto"/>
                            <w:kern w:val="0"/>
                            <w:sz w:val="15"/>
                            <w:szCs w:val="15"/>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09" w:type="dxa"/>
                        <w:shd w:val="clear" w:color="auto" w:fill="auto"/>
                        <w:vAlign w:val="center"/>
                      </w:tcPr>
                      <w:p>
                        <w:pPr>
                          <w:widowControl/>
                          <w:jc w:val="center"/>
                          <w:rPr>
                            <w:color w:val="auto"/>
                            <w:kern w:val="0"/>
                            <w:sz w:val="15"/>
                            <w:szCs w:val="15"/>
                          </w:rPr>
                        </w:pPr>
                        <w:r>
                          <w:rPr>
                            <w:rFonts w:hint="eastAsia"/>
                            <w:color w:val="auto"/>
                            <w:kern w:val="0"/>
                            <w:sz w:val="15"/>
                            <w:szCs w:val="15"/>
                          </w:rPr>
                          <w:t>1</w:t>
                        </w:r>
                      </w:p>
                    </w:tc>
                    <w:tc>
                      <w:tcPr>
                        <w:tcW w:w="2410" w:type="dxa"/>
                        <w:shd w:val="clear" w:color="auto" w:fill="auto"/>
                        <w:vAlign w:val="center"/>
                      </w:tcPr>
                      <w:p>
                        <w:pPr>
                          <w:widowControl/>
                          <w:jc w:val="center"/>
                          <w:rPr>
                            <w:color w:val="auto"/>
                            <w:kern w:val="0"/>
                            <w:sz w:val="15"/>
                            <w:szCs w:val="15"/>
                          </w:rPr>
                        </w:pPr>
                        <w:r>
                          <w:rPr>
                            <w:rFonts w:hint="eastAsia"/>
                            <w:color w:val="auto"/>
                            <w:kern w:val="0"/>
                            <w:sz w:val="15"/>
                            <w:szCs w:val="15"/>
                          </w:rPr>
                          <w:t>≤5</w:t>
                        </w:r>
                        <w:r>
                          <w:rPr>
                            <w:color w:val="auto"/>
                            <w:kern w:val="0"/>
                            <w:sz w:val="15"/>
                            <w:szCs w:val="15"/>
                          </w:rPr>
                          <w:t>0</w:t>
                        </w:r>
                      </w:p>
                    </w:tc>
                    <w:tc>
                      <w:tcPr>
                        <w:tcW w:w="3148" w:type="dxa"/>
                        <w:shd w:val="clear" w:color="auto" w:fill="auto"/>
                        <w:vAlign w:val="center"/>
                      </w:tcPr>
                      <w:p>
                        <w:pPr>
                          <w:widowControl/>
                          <w:jc w:val="center"/>
                          <w:rPr>
                            <w:color w:val="auto"/>
                            <w:kern w:val="0"/>
                            <w:sz w:val="15"/>
                            <w:szCs w:val="15"/>
                          </w:rPr>
                        </w:pPr>
                        <w:r>
                          <w:rPr>
                            <w:color w:val="auto"/>
                            <w:kern w:val="0"/>
                            <w:sz w:val="15"/>
                            <w:szCs w:val="15"/>
                          </w:rPr>
                          <w:t>100</w:t>
                        </w:r>
                        <w:r>
                          <w:rPr>
                            <w:rFonts w:hint="eastAsia"/>
                            <w:color w:val="auto"/>
                            <w:kern w:val="0"/>
                            <w:sz w:val="15"/>
                            <w:szCs w:val="15"/>
                          </w:rPr>
                          <w:t>×</w:t>
                        </w:r>
                        <w:r>
                          <w:rPr>
                            <w:color w:val="auto"/>
                            <w:kern w:val="0"/>
                            <w:sz w:val="15"/>
                            <w:szCs w:val="15"/>
                          </w:rPr>
                          <w:t>100</w:t>
                        </w:r>
                      </w:p>
                    </w:tc>
                    <w:tc>
                      <w:tcPr>
                        <w:tcW w:w="2156" w:type="dxa"/>
                        <w:shd w:val="clear" w:color="auto" w:fill="auto"/>
                        <w:vAlign w:val="center"/>
                      </w:tcPr>
                      <w:p>
                        <w:pPr>
                          <w:widowControl/>
                          <w:jc w:val="center"/>
                          <w:rPr>
                            <w:color w:val="auto"/>
                            <w:kern w:val="0"/>
                            <w:sz w:val="15"/>
                            <w:szCs w:val="15"/>
                          </w:rPr>
                        </w:pPr>
                        <w:r>
                          <w:rPr>
                            <w:rFonts w:hint="eastAsia"/>
                            <w:color w:val="auto"/>
                            <w:kern w:val="0"/>
                            <w:sz w:val="15"/>
                            <w:szCs w:val="15"/>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09" w:type="dxa"/>
                        <w:shd w:val="clear" w:color="auto" w:fill="auto"/>
                        <w:vAlign w:val="center"/>
                      </w:tcPr>
                      <w:p>
                        <w:pPr>
                          <w:widowControl/>
                          <w:jc w:val="center"/>
                          <w:rPr>
                            <w:color w:val="auto"/>
                            <w:kern w:val="0"/>
                            <w:sz w:val="15"/>
                            <w:szCs w:val="15"/>
                          </w:rPr>
                        </w:pPr>
                        <w:r>
                          <w:rPr>
                            <w:rFonts w:hint="eastAsia"/>
                            <w:color w:val="auto"/>
                            <w:kern w:val="0"/>
                            <w:sz w:val="15"/>
                            <w:szCs w:val="15"/>
                          </w:rPr>
                          <w:t>2</w:t>
                        </w:r>
                      </w:p>
                    </w:tc>
                    <w:tc>
                      <w:tcPr>
                        <w:tcW w:w="2410" w:type="dxa"/>
                        <w:shd w:val="clear" w:color="auto" w:fill="auto"/>
                        <w:vAlign w:val="center"/>
                      </w:tcPr>
                      <w:p>
                        <w:pPr>
                          <w:widowControl/>
                          <w:jc w:val="center"/>
                          <w:rPr>
                            <w:color w:val="auto"/>
                            <w:kern w:val="0"/>
                            <w:sz w:val="15"/>
                            <w:szCs w:val="15"/>
                          </w:rPr>
                        </w:pPr>
                        <w:r>
                          <w:rPr>
                            <w:rFonts w:hint="eastAsia"/>
                            <w:color w:val="auto"/>
                            <w:kern w:val="0"/>
                            <w:sz w:val="15"/>
                            <w:szCs w:val="15"/>
                          </w:rPr>
                          <w:t>＞5</w:t>
                        </w:r>
                        <w:r>
                          <w:rPr>
                            <w:color w:val="auto"/>
                            <w:kern w:val="0"/>
                            <w:sz w:val="15"/>
                            <w:szCs w:val="15"/>
                          </w:rPr>
                          <w:t>0~</w:t>
                        </w:r>
                        <w:r>
                          <w:rPr>
                            <w:rFonts w:hint="eastAsia"/>
                            <w:color w:val="auto"/>
                            <w:kern w:val="0"/>
                            <w:sz w:val="15"/>
                            <w:szCs w:val="15"/>
                          </w:rPr>
                          <w:t>≤4</w:t>
                        </w:r>
                        <w:r>
                          <w:rPr>
                            <w:color w:val="auto"/>
                            <w:kern w:val="0"/>
                            <w:sz w:val="15"/>
                            <w:szCs w:val="15"/>
                          </w:rPr>
                          <w:t>50</w:t>
                        </w:r>
                      </w:p>
                    </w:tc>
                    <w:tc>
                      <w:tcPr>
                        <w:tcW w:w="3148" w:type="dxa"/>
                        <w:shd w:val="clear" w:color="auto" w:fill="auto"/>
                        <w:vAlign w:val="center"/>
                      </w:tcPr>
                      <w:p>
                        <w:pPr>
                          <w:widowControl/>
                          <w:jc w:val="center"/>
                          <w:rPr>
                            <w:color w:val="auto"/>
                            <w:kern w:val="0"/>
                            <w:sz w:val="15"/>
                            <w:szCs w:val="15"/>
                          </w:rPr>
                        </w:pPr>
                        <w:r>
                          <w:rPr>
                            <w:color w:val="auto"/>
                            <w:kern w:val="0"/>
                            <w:sz w:val="15"/>
                            <w:szCs w:val="15"/>
                          </w:rPr>
                          <w:t>150</w:t>
                        </w:r>
                        <w:r>
                          <w:rPr>
                            <w:rFonts w:hint="eastAsia"/>
                            <w:color w:val="auto"/>
                            <w:kern w:val="0"/>
                            <w:sz w:val="15"/>
                            <w:szCs w:val="15"/>
                          </w:rPr>
                          <w:t>×</w:t>
                        </w:r>
                        <w:r>
                          <w:rPr>
                            <w:color w:val="auto"/>
                            <w:kern w:val="0"/>
                            <w:sz w:val="15"/>
                            <w:szCs w:val="15"/>
                          </w:rPr>
                          <w:t>150</w:t>
                        </w:r>
                      </w:p>
                    </w:tc>
                    <w:tc>
                      <w:tcPr>
                        <w:tcW w:w="2156" w:type="dxa"/>
                        <w:shd w:val="clear" w:color="auto" w:fill="auto"/>
                        <w:vAlign w:val="center"/>
                      </w:tcPr>
                      <w:p>
                        <w:pPr>
                          <w:widowControl/>
                          <w:jc w:val="center"/>
                          <w:rPr>
                            <w:color w:val="auto"/>
                            <w:kern w:val="0"/>
                            <w:sz w:val="15"/>
                            <w:szCs w:val="15"/>
                          </w:rPr>
                        </w:pPr>
                        <w:r>
                          <w:rPr>
                            <w:rFonts w:hint="eastAsia"/>
                            <w:color w:val="auto"/>
                            <w:kern w:val="0"/>
                            <w:sz w:val="15"/>
                            <w:szCs w:val="15"/>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909" w:type="dxa"/>
                        <w:shd w:val="clear" w:color="auto" w:fill="auto"/>
                        <w:vAlign w:val="center"/>
                      </w:tcPr>
                      <w:p>
                        <w:pPr>
                          <w:widowControl/>
                          <w:jc w:val="center"/>
                          <w:rPr>
                            <w:color w:val="auto"/>
                            <w:kern w:val="0"/>
                            <w:sz w:val="15"/>
                            <w:szCs w:val="15"/>
                          </w:rPr>
                        </w:pPr>
                        <w:r>
                          <w:rPr>
                            <w:rFonts w:hint="eastAsia"/>
                            <w:color w:val="auto"/>
                            <w:kern w:val="0"/>
                            <w:sz w:val="15"/>
                            <w:szCs w:val="15"/>
                          </w:rPr>
                          <w:t>3</w:t>
                        </w:r>
                      </w:p>
                    </w:tc>
                    <w:tc>
                      <w:tcPr>
                        <w:tcW w:w="2410" w:type="dxa"/>
                        <w:shd w:val="clear" w:color="auto" w:fill="auto"/>
                        <w:vAlign w:val="center"/>
                      </w:tcPr>
                      <w:p>
                        <w:pPr>
                          <w:widowControl/>
                          <w:jc w:val="center"/>
                          <w:rPr>
                            <w:color w:val="auto"/>
                            <w:kern w:val="0"/>
                            <w:sz w:val="15"/>
                            <w:szCs w:val="15"/>
                          </w:rPr>
                        </w:pPr>
                        <w:r>
                          <w:rPr>
                            <w:rFonts w:hint="eastAsia"/>
                            <w:color w:val="auto"/>
                            <w:kern w:val="0"/>
                            <w:sz w:val="15"/>
                            <w:szCs w:val="15"/>
                          </w:rPr>
                          <w:t>＞4</w:t>
                        </w:r>
                        <w:r>
                          <w:rPr>
                            <w:color w:val="auto"/>
                            <w:kern w:val="0"/>
                            <w:sz w:val="15"/>
                            <w:szCs w:val="15"/>
                          </w:rPr>
                          <w:t>50</w:t>
                        </w:r>
                      </w:p>
                    </w:tc>
                    <w:tc>
                      <w:tcPr>
                        <w:tcW w:w="3148" w:type="dxa"/>
                        <w:shd w:val="clear" w:color="auto" w:fill="auto"/>
                        <w:vAlign w:val="center"/>
                      </w:tcPr>
                      <w:p>
                        <w:pPr>
                          <w:widowControl/>
                          <w:jc w:val="center"/>
                          <w:rPr>
                            <w:color w:val="auto"/>
                            <w:kern w:val="0"/>
                            <w:sz w:val="15"/>
                            <w:szCs w:val="15"/>
                          </w:rPr>
                        </w:pPr>
                        <w:r>
                          <w:rPr>
                            <w:color w:val="auto"/>
                            <w:kern w:val="0"/>
                            <w:sz w:val="15"/>
                            <w:szCs w:val="15"/>
                          </w:rPr>
                          <w:t>200</w:t>
                        </w:r>
                        <w:r>
                          <w:rPr>
                            <w:rFonts w:hint="eastAsia"/>
                            <w:color w:val="auto"/>
                            <w:kern w:val="0"/>
                            <w:sz w:val="15"/>
                            <w:szCs w:val="15"/>
                          </w:rPr>
                          <w:t>×</w:t>
                        </w:r>
                        <w:r>
                          <w:rPr>
                            <w:color w:val="auto"/>
                            <w:kern w:val="0"/>
                            <w:sz w:val="15"/>
                            <w:szCs w:val="15"/>
                          </w:rPr>
                          <w:t>200</w:t>
                        </w:r>
                      </w:p>
                    </w:tc>
                    <w:tc>
                      <w:tcPr>
                        <w:tcW w:w="2156" w:type="dxa"/>
                        <w:shd w:val="clear" w:color="auto" w:fill="auto"/>
                        <w:vAlign w:val="center"/>
                      </w:tcPr>
                      <w:p>
                        <w:pPr>
                          <w:widowControl/>
                          <w:jc w:val="center"/>
                          <w:rPr>
                            <w:color w:val="auto"/>
                            <w:kern w:val="0"/>
                            <w:sz w:val="15"/>
                            <w:szCs w:val="15"/>
                          </w:rPr>
                        </w:pPr>
                        <w:r>
                          <w:rPr>
                            <w:rFonts w:hint="eastAsia"/>
                            <w:color w:val="auto"/>
                            <w:kern w:val="0"/>
                            <w:sz w:val="15"/>
                            <w:szCs w:val="15"/>
                          </w:rPr>
                          <w:t>6</w:t>
                        </w:r>
                      </w:p>
                    </w:tc>
                  </w:tr>
                </w:tbl>
                <w:p>
                  <w:pPr>
                    <w:widowControl/>
                    <w:jc w:val="left"/>
                    <w:rPr>
                      <w:color w:val="auto"/>
                      <w:kern w:val="0"/>
                      <w:sz w:val="18"/>
                      <w:szCs w:val="21"/>
                    </w:rPr>
                  </w:pPr>
                  <w:r>
                    <w:rPr>
                      <w:color w:val="auto"/>
                      <w:kern w:val="0"/>
                      <w:sz w:val="18"/>
                      <w:szCs w:val="21"/>
                    </w:rPr>
                    <w:t>（2）颜色与字体：</w:t>
                  </w:r>
                  <w:r>
                    <w:rPr>
                      <w:rFonts w:hint="eastAsia"/>
                      <w:color w:val="auto"/>
                      <w:kern w:val="0"/>
                      <w:sz w:val="18"/>
                      <w:szCs w:val="21"/>
                    </w:rPr>
                    <w:t>背景色应采用醒目的橘黄色，</w:t>
                  </w:r>
                  <w:r>
                    <w:rPr>
                      <w:color w:val="auto"/>
                      <w:kern w:val="0"/>
                      <w:sz w:val="18"/>
                      <w:szCs w:val="21"/>
                    </w:rPr>
                    <w:t xml:space="preserve">RGB </w:t>
                  </w:r>
                  <w:r>
                    <w:rPr>
                      <w:rFonts w:hint="eastAsia"/>
                      <w:color w:val="auto"/>
                      <w:kern w:val="0"/>
                      <w:sz w:val="18"/>
                      <w:szCs w:val="21"/>
                    </w:rPr>
                    <w:t>颜色值为（</w:t>
                  </w:r>
                  <w:r>
                    <w:rPr>
                      <w:color w:val="auto"/>
                      <w:kern w:val="0"/>
                      <w:sz w:val="18"/>
                      <w:szCs w:val="21"/>
                    </w:rPr>
                    <w:t>255</w:t>
                  </w:r>
                  <w:r>
                    <w:rPr>
                      <w:rFonts w:hint="eastAsia"/>
                      <w:color w:val="auto"/>
                      <w:kern w:val="0"/>
                      <w:sz w:val="18"/>
                      <w:szCs w:val="21"/>
                    </w:rPr>
                    <w:t>，</w:t>
                  </w:r>
                  <w:r>
                    <w:rPr>
                      <w:color w:val="auto"/>
                      <w:kern w:val="0"/>
                      <w:sz w:val="18"/>
                      <w:szCs w:val="21"/>
                    </w:rPr>
                    <w:t>150</w:t>
                  </w:r>
                  <w:r>
                    <w:rPr>
                      <w:rFonts w:hint="eastAsia"/>
                      <w:color w:val="auto"/>
                      <w:kern w:val="0"/>
                      <w:sz w:val="18"/>
                      <w:szCs w:val="21"/>
                    </w:rPr>
                    <w:t>，</w:t>
                  </w:r>
                  <w:r>
                    <w:rPr>
                      <w:color w:val="auto"/>
                      <w:kern w:val="0"/>
                      <w:sz w:val="18"/>
                      <w:szCs w:val="21"/>
                    </w:rPr>
                    <w:t>0</w:t>
                  </w:r>
                  <w:r>
                    <w:rPr>
                      <w:rFonts w:hint="eastAsia"/>
                      <w:color w:val="auto"/>
                      <w:kern w:val="0"/>
                      <w:sz w:val="18"/>
                      <w:szCs w:val="21"/>
                    </w:rPr>
                    <w:t>）。标签边框和字体颜色为黑色，</w:t>
                  </w:r>
                  <w:r>
                    <w:rPr>
                      <w:color w:val="auto"/>
                      <w:kern w:val="0"/>
                      <w:sz w:val="18"/>
                      <w:szCs w:val="21"/>
                    </w:rPr>
                    <w:t xml:space="preserve">RGB </w:t>
                  </w:r>
                  <w:r>
                    <w:rPr>
                      <w:rFonts w:hint="eastAsia"/>
                      <w:color w:val="auto"/>
                      <w:kern w:val="0"/>
                      <w:sz w:val="18"/>
                      <w:szCs w:val="21"/>
                    </w:rPr>
                    <w:t>颜色值为（</w:t>
                  </w:r>
                  <w:r>
                    <w:rPr>
                      <w:color w:val="auto"/>
                      <w:kern w:val="0"/>
                      <w:sz w:val="18"/>
                      <w:szCs w:val="21"/>
                    </w:rPr>
                    <w:t>0</w:t>
                  </w:r>
                  <w:r>
                    <w:rPr>
                      <w:rFonts w:hint="eastAsia"/>
                      <w:color w:val="auto"/>
                      <w:kern w:val="0"/>
                      <w:sz w:val="18"/>
                      <w:szCs w:val="21"/>
                    </w:rPr>
                    <w:t>，</w:t>
                  </w:r>
                  <w:r>
                    <w:rPr>
                      <w:color w:val="auto"/>
                      <w:kern w:val="0"/>
                      <w:sz w:val="18"/>
                      <w:szCs w:val="21"/>
                    </w:rPr>
                    <w:t>0</w:t>
                  </w:r>
                  <w:r>
                    <w:rPr>
                      <w:rFonts w:hint="eastAsia"/>
                      <w:color w:val="auto"/>
                      <w:kern w:val="0"/>
                      <w:sz w:val="18"/>
                      <w:szCs w:val="21"/>
                    </w:rPr>
                    <w:t>，</w:t>
                  </w:r>
                  <w:r>
                    <w:rPr>
                      <w:color w:val="auto"/>
                      <w:kern w:val="0"/>
                      <w:sz w:val="18"/>
                      <w:szCs w:val="21"/>
                    </w:rPr>
                    <w:t>0</w:t>
                  </w:r>
                  <w:r>
                    <w:rPr>
                      <w:rFonts w:hint="eastAsia"/>
                      <w:color w:val="auto"/>
                      <w:kern w:val="0"/>
                      <w:sz w:val="18"/>
                      <w:szCs w:val="21"/>
                    </w:rPr>
                    <w:t>）。字体宜采用黑体字，其中“危险废物”字样应加粗放大。</w:t>
                  </w:r>
                </w:p>
                <w:p>
                  <w:pPr>
                    <w:widowControl/>
                    <w:jc w:val="left"/>
                    <w:rPr>
                      <w:color w:val="auto"/>
                      <w:kern w:val="0"/>
                      <w:sz w:val="18"/>
                      <w:szCs w:val="21"/>
                    </w:rPr>
                  </w:pPr>
                  <w:r>
                    <w:rPr>
                      <w:color w:val="auto"/>
                      <w:kern w:val="0"/>
                      <w:sz w:val="18"/>
                      <w:szCs w:val="21"/>
                    </w:rPr>
                    <w:t>（3）材料：</w:t>
                  </w:r>
                  <w:r>
                    <w:rPr>
                      <w:rFonts w:hint="eastAsia"/>
                      <w:color w:val="auto"/>
                      <w:kern w:val="0"/>
                      <w:sz w:val="18"/>
                      <w:szCs w:val="21"/>
                    </w:rPr>
                    <w:t>宜具有一定的耐用性和防水性。标签可采用不干胶印刷品，或印刷品外加防水塑料袋或塑封等。</w:t>
                  </w:r>
                </w:p>
                <w:p>
                  <w:pPr>
                    <w:widowControl/>
                    <w:jc w:val="left"/>
                    <w:rPr>
                      <w:color w:val="auto"/>
                      <w:kern w:val="0"/>
                      <w:sz w:val="18"/>
                      <w:szCs w:val="21"/>
                    </w:rPr>
                  </w:pPr>
                  <w:r>
                    <w:rPr>
                      <w:color w:val="auto"/>
                      <w:kern w:val="0"/>
                      <w:sz w:val="18"/>
                      <w:szCs w:val="21"/>
                    </w:rPr>
                    <w:t>3.内容填报</w:t>
                  </w:r>
                </w:p>
                <w:p>
                  <w:pPr>
                    <w:widowControl/>
                    <w:jc w:val="left"/>
                    <w:rPr>
                      <w:color w:val="auto"/>
                      <w:kern w:val="0"/>
                      <w:sz w:val="18"/>
                      <w:szCs w:val="21"/>
                    </w:rPr>
                  </w:pPr>
                  <w:r>
                    <w:rPr>
                      <w:color w:val="auto"/>
                      <w:kern w:val="0"/>
                      <w:sz w:val="18"/>
                      <w:szCs w:val="21"/>
                    </w:rPr>
                    <w:t>（1）</w:t>
                  </w:r>
                  <w:r>
                    <w:rPr>
                      <w:rFonts w:hint="eastAsia"/>
                      <w:color w:val="auto"/>
                      <w:kern w:val="0"/>
                      <w:sz w:val="18"/>
                      <w:szCs w:val="21"/>
                    </w:rPr>
                    <w:t>废物名称：列入《国家危险废物名录》中的危险废物，应参考《国家危险废物名录》中“危险废物”一栏，填写简化的废物名称或行业内通用的俗称；经</w:t>
                  </w:r>
                  <w:r>
                    <w:rPr>
                      <w:color w:val="auto"/>
                      <w:kern w:val="0"/>
                      <w:sz w:val="18"/>
                      <w:szCs w:val="21"/>
                    </w:rPr>
                    <w:t>GB 5085</w:t>
                  </w:r>
                  <w:r>
                    <w:rPr>
                      <w:rFonts w:hint="eastAsia"/>
                      <w:color w:val="auto"/>
                      <w:kern w:val="0"/>
                      <w:sz w:val="18"/>
                      <w:szCs w:val="21"/>
                    </w:rPr>
                    <w:t>（所有部分）和</w:t>
                  </w:r>
                  <w:r>
                    <w:rPr>
                      <w:color w:val="auto"/>
                      <w:kern w:val="0"/>
                      <w:sz w:val="18"/>
                      <w:szCs w:val="21"/>
                    </w:rPr>
                    <w:t xml:space="preserve">HJ 298 </w:t>
                  </w:r>
                  <w:r>
                    <w:rPr>
                      <w:rFonts w:hint="eastAsia"/>
                      <w:color w:val="auto"/>
                      <w:kern w:val="0"/>
                      <w:sz w:val="18"/>
                      <w:szCs w:val="21"/>
                    </w:rPr>
                    <w:t>鉴别属于危险废物的，应按照其产生来源和工艺填写废物名称。</w:t>
                  </w:r>
                </w:p>
                <w:p>
                  <w:pPr>
                    <w:widowControl/>
                    <w:jc w:val="left"/>
                    <w:rPr>
                      <w:color w:val="auto"/>
                      <w:kern w:val="0"/>
                      <w:sz w:val="18"/>
                      <w:szCs w:val="21"/>
                    </w:rPr>
                  </w:pPr>
                  <w:r>
                    <w:rPr>
                      <w:color w:val="auto"/>
                      <w:kern w:val="0"/>
                      <w:sz w:val="18"/>
                      <w:szCs w:val="21"/>
                    </w:rPr>
                    <w:t>（2）</w:t>
                  </w:r>
                  <w:r>
                    <w:rPr>
                      <w:rFonts w:hint="eastAsia"/>
                      <w:color w:val="auto"/>
                      <w:kern w:val="0"/>
                      <w:sz w:val="18"/>
                      <w:szCs w:val="21"/>
                    </w:rPr>
                    <w:t>废物类别、废物代码：列入《国家危险废物名录》中的危险废物，应参考《国家危险废物名录》中的内容填写；经</w:t>
                  </w:r>
                  <w:r>
                    <w:rPr>
                      <w:color w:val="auto"/>
                      <w:kern w:val="0"/>
                      <w:sz w:val="18"/>
                      <w:szCs w:val="21"/>
                    </w:rPr>
                    <w:t>GB 5085</w:t>
                  </w:r>
                  <w:r>
                    <w:rPr>
                      <w:rFonts w:hint="eastAsia"/>
                      <w:color w:val="auto"/>
                      <w:kern w:val="0"/>
                      <w:sz w:val="18"/>
                      <w:szCs w:val="21"/>
                    </w:rPr>
                    <w:t>（所有部分）和</w:t>
                  </w:r>
                  <w:r>
                    <w:rPr>
                      <w:color w:val="auto"/>
                      <w:kern w:val="0"/>
                      <w:sz w:val="18"/>
                      <w:szCs w:val="21"/>
                    </w:rPr>
                    <w:t xml:space="preserve">HJ 298 </w:t>
                  </w:r>
                  <w:r>
                    <w:rPr>
                      <w:rFonts w:hint="eastAsia"/>
                      <w:color w:val="auto"/>
                      <w:kern w:val="0"/>
                      <w:sz w:val="18"/>
                      <w:szCs w:val="21"/>
                    </w:rPr>
                    <w:t>鉴别属于危险废物的，应根据其主要有害成分和危险特性确定所属废物类别，并按代码“</w:t>
                  </w:r>
                  <w:r>
                    <w:rPr>
                      <w:color w:val="auto"/>
                      <w:kern w:val="0"/>
                      <w:sz w:val="18"/>
                      <w:szCs w:val="21"/>
                    </w:rPr>
                    <w:t>900-000-XX</w:t>
                  </w:r>
                  <w:r>
                    <w:rPr>
                      <w:rFonts w:hint="eastAsia"/>
                      <w:color w:val="auto"/>
                      <w:kern w:val="0"/>
                      <w:sz w:val="18"/>
                      <w:szCs w:val="21"/>
                    </w:rPr>
                    <w:t>”（</w:t>
                  </w:r>
                  <w:r>
                    <w:rPr>
                      <w:color w:val="auto"/>
                      <w:kern w:val="0"/>
                      <w:sz w:val="18"/>
                      <w:szCs w:val="21"/>
                    </w:rPr>
                    <w:t xml:space="preserve">XX </w:t>
                  </w:r>
                  <w:r>
                    <w:rPr>
                      <w:rFonts w:hint="eastAsia"/>
                      <w:color w:val="auto"/>
                      <w:kern w:val="0"/>
                      <w:sz w:val="18"/>
                      <w:szCs w:val="21"/>
                    </w:rPr>
                    <w:t>为危险废物类别代码）填写。</w:t>
                  </w:r>
                </w:p>
                <w:p>
                  <w:pPr>
                    <w:widowControl/>
                    <w:jc w:val="left"/>
                    <w:rPr>
                      <w:color w:val="auto"/>
                      <w:kern w:val="0"/>
                      <w:sz w:val="18"/>
                      <w:szCs w:val="21"/>
                    </w:rPr>
                  </w:pPr>
                  <w:r>
                    <w:rPr>
                      <w:color w:val="auto"/>
                      <w:kern w:val="0"/>
                      <w:sz w:val="18"/>
                      <w:szCs w:val="21"/>
                    </w:rPr>
                    <w:t>（3）</w:t>
                  </w:r>
                  <w:r>
                    <w:rPr>
                      <w:rFonts w:hint="eastAsia"/>
                      <w:color w:val="auto"/>
                      <w:kern w:val="0"/>
                      <w:sz w:val="18"/>
                      <w:szCs w:val="21"/>
                    </w:rPr>
                    <w:t>废物形态：应填写容器或包装物内盛装危险废物的物理形态。</w:t>
                  </w:r>
                </w:p>
                <w:p>
                  <w:pPr>
                    <w:widowControl/>
                    <w:jc w:val="left"/>
                    <w:rPr>
                      <w:color w:val="auto"/>
                      <w:kern w:val="0"/>
                      <w:sz w:val="18"/>
                      <w:szCs w:val="21"/>
                    </w:rPr>
                  </w:pPr>
                  <w:r>
                    <w:rPr>
                      <w:color w:val="auto"/>
                      <w:kern w:val="0"/>
                      <w:sz w:val="18"/>
                      <w:szCs w:val="21"/>
                    </w:rPr>
                    <w:t>（4）</w:t>
                  </w:r>
                  <w:r>
                    <w:rPr>
                      <w:rFonts w:hint="eastAsia"/>
                      <w:color w:val="auto"/>
                      <w:kern w:val="0"/>
                      <w:sz w:val="18"/>
                      <w:szCs w:val="21"/>
                    </w:rPr>
                    <w:t>危险特性：应根据危险废物的危险特性（包括腐蚀性、毒性、易燃性和反应性），选择附录</w:t>
                  </w:r>
                  <w:r>
                    <w:rPr>
                      <w:color w:val="auto"/>
                      <w:kern w:val="0"/>
                      <w:sz w:val="18"/>
                      <w:szCs w:val="21"/>
                    </w:rPr>
                    <w:t xml:space="preserve">A </w:t>
                  </w:r>
                  <w:r>
                    <w:rPr>
                      <w:rFonts w:hint="eastAsia"/>
                      <w:color w:val="auto"/>
                      <w:kern w:val="0"/>
                      <w:sz w:val="18"/>
                      <w:szCs w:val="21"/>
                    </w:rPr>
                    <w:t>中对应的危险特性警示图形，印刷在标签上相应位置，或单独打印后粘贴于标签上相应的位置。具有多种危险特性的应设置相应的全部图形。</w:t>
                  </w:r>
                </w:p>
                <w:p>
                  <w:pPr>
                    <w:widowControl/>
                    <w:jc w:val="left"/>
                    <w:rPr>
                      <w:color w:val="auto"/>
                      <w:kern w:val="0"/>
                      <w:sz w:val="18"/>
                      <w:szCs w:val="21"/>
                    </w:rPr>
                  </w:pPr>
                  <w:r>
                    <w:rPr>
                      <w:color w:val="auto"/>
                      <w:kern w:val="0"/>
                      <w:sz w:val="18"/>
                      <w:szCs w:val="21"/>
                    </w:rPr>
                    <w:t>（5）</w:t>
                  </w:r>
                  <w:r>
                    <w:rPr>
                      <w:rFonts w:hint="eastAsia"/>
                      <w:color w:val="auto"/>
                      <w:kern w:val="0"/>
                      <w:sz w:val="18"/>
                      <w:szCs w:val="21"/>
                    </w:rPr>
                    <w:t>主要成分：应填写危险废物主要的化学组成或成分，可使用汉字、化学分子式、元素符号或英文缩写等。</w:t>
                  </w:r>
                </w:p>
                <w:p>
                  <w:pPr>
                    <w:widowControl/>
                    <w:jc w:val="left"/>
                    <w:rPr>
                      <w:color w:val="auto"/>
                      <w:kern w:val="0"/>
                      <w:sz w:val="18"/>
                      <w:szCs w:val="21"/>
                    </w:rPr>
                  </w:pPr>
                  <w:r>
                    <w:rPr>
                      <w:rFonts w:hint="eastAsia"/>
                      <w:color w:val="auto"/>
                      <w:kern w:val="0"/>
                      <w:sz w:val="18"/>
                      <w:szCs w:val="21"/>
                    </w:rPr>
                    <w:t>（6）有害成分：应填写废物中对生态环境或人体健康有害的主要污染物名称，可使用汉字、化学分子式、元素符号或英文缩写等。</w:t>
                  </w:r>
                </w:p>
                <w:p>
                  <w:pPr>
                    <w:widowControl/>
                    <w:jc w:val="left"/>
                    <w:rPr>
                      <w:color w:val="auto"/>
                      <w:kern w:val="0"/>
                      <w:sz w:val="18"/>
                      <w:szCs w:val="21"/>
                    </w:rPr>
                  </w:pPr>
                  <w:r>
                    <w:rPr>
                      <w:rFonts w:hint="eastAsia"/>
                      <w:color w:val="auto"/>
                      <w:kern w:val="0"/>
                      <w:sz w:val="18"/>
                      <w:szCs w:val="21"/>
                    </w:rPr>
                    <w:t>（7）注意事项：应根据危险废物的组成、成分和理化特性，填写收集、贮存、利用、处置时必要的注意事项，可参考附录</w:t>
                  </w:r>
                  <w:r>
                    <w:rPr>
                      <w:color w:val="auto"/>
                      <w:kern w:val="0"/>
                      <w:sz w:val="18"/>
                      <w:szCs w:val="21"/>
                    </w:rPr>
                    <w:t xml:space="preserve">B </w:t>
                  </w:r>
                  <w:r>
                    <w:rPr>
                      <w:rFonts w:hint="eastAsia"/>
                      <w:color w:val="auto"/>
                      <w:kern w:val="0"/>
                      <w:sz w:val="18"/>
                      <w:szCs w:val="21"/>
                    </w:rPr>
                    <w:t>常见的注意事项用语填写，也可根据废物具体的理化性质填写其他要求。</w:t>
                  </w:r>
                </w:p>
                <w:p>
                  <w:pPr>
                    <w:widowControl/>
                    <w:jc w:val="left"/>
                    <w:rPr>
                      <w:color w:val="auto"/>
                      <w:kern w:val="0"/>
                      <w:sz w:val="18"/>
                      <w:szCs w:val="21"/>
                    </w:rPr>
                  </w:pPr>
                  <w:r>
                    <w:rPr>
                      <w:rFonts w:hint="eastAsia"/>
                      <w:color w:val="auto"/>
                      <w:kern w:val="0"/>
                      <w:sz w:val="18"/>
                      <w:szCs w:val="21"/>
                    </w:rPr>
                    <w:t>（8）产生/收集单位名称、联系人和联系方式：应填写危险废物产生单位的信息。当从事收集、贮存、利用、处置危险废物经营活动的单位收集危险废物时，在满足国家危险废物相关污染控制标准等规定的条件下，容器内盛装两家及以上单位的危险废物（如废矿物油）时，应填写收集单位的信息。</w:t>
                  </w:r>
                </w:p>
                <w:p>
                  <w:pPr>
                    <w:widowControl/>
                    <w:jc w:val="left"/>
                    <w:rPr>
                      <w:color w:val="auto"/>
                      <w:kern w:val="0"/>
                      <w:sz w:val="18"/>
                      <w:szCs w:val="21"/>
                    </w:rPr>
                  </w:pPr>
                  <w:r>
                    <w:rPr>
                      <w:rFonts w:hint="eastAsia"/>
                      <w:color w:val="auto"/>
                      <w:kern w:val="0"/>
                      <w:sz w:val="18"/>
                      <w:szCs w:val="21"/>
                    </w:rPr>
                    <w:t>（9）产生日期：应填写开始盛装危险废物时的日期，可按照年月日的格式填写。当从事收集、贮存、利用和处置危险废物经营活动的单位收集危险废物时，在满足国家危险废物相关污染控制标准等规定的条件下，容器内盛装相同种类但不同初始产生日期的危险废物（如废矿物油）时，应填写收集危险废物时的日期。</w:t>
                  </w:r>
                </w:p>
                <w:p>
                  <w:pPr>
                    <w:widowControl/>
                    <w:jc w:val="left"/>
                    <w:rPr>
                      <w:color w:val="auto"/>
                      <w:kern w:val="0"/>
                      <w:sz w:val="18"/>
                      <w:szCs w:val="21"/>
                    </w:rPr>
                  </w:pPr>
                  <w:r>
                    <w:rPr>
                      <w:rFonts w:hint="eastAsia"/>
                      <w:color w:val="auto"/>
                      <w:kern w:val="0"/>
                      <w:sz w:val="18"/>
                      <w:szCs w:val="21"/>
                    </w:rPr>
                    <w:t>（1</w:t>
                  </w:r>
                  <w:r>
                    <w:rPr>
                      <w:color w:val="auto"/>
                      <w:kern w:val="0"/>
                      <w:sz w:val="18"/>
                      <w:szCs w:val="21"/>
                    </w:rPr>
                    <w:t>0</w:t>
                  </w:r>
                  <w:r>
                    <w:rPr>
                      <w:rFonts w:hint="eastAsia"/>
                      <w:color w:val="auto"/>
                      <w:kern w:val="0"/>
                      <w:sz w:val="18"/>
                      <w:szCs w:val="21"/>
                    </w:rPr>
                    <w:t>）废物重量：应填写完成收集后容器或包装物内危险废物的重量（</w:t>
                  </w:r>
                  <w:r>
                    <w:rPr>
                      <w:color w:val="auto"/>
                      <w:kern w:val="0"/>
                      <w:sz w:val="18"/>
                      <w:szCs w:val="21"/>
                    </w:rPr>
                    <w:t xml:space="preserve">kg </w:t>
                  </w:r>
                  <w:r>
                    <w:rPr>
                      <w:rFonts w:hint="eastAsia"/>
                      <w:color w:val="auto"/>
                      <w:kern w:val="0"/>
                      <w:sz w:val="18"/>
                      <w:szCs w:val="21"/>
                    </w:rPr>
                    <w:t>或</w:t>
                  </w:r>
                  <w:r>
                    <w:rPr>
                      <w:color w:val="auto"/>
                      <w:kern w:val="0"/>
                      <w:sz w:val="18"/>
                      <w:szCs w:val="21"/>
                    </w:rPr>
                    <w:t>t</w:t>
                  </w:r>
                  <w:r>
                    <w:rPr>
                      <w:rFonts w:hint="eastAsia"/>
                      <w:color w:val="auto"/>
                      <w:kern w:val="0"/>
                      <w:sz w:val="18"/>
                      <w:szCs w:val="21"/>
                    </w:rPr>
                    <w:t>）。</w:t>
                  </w:r>
                </w:p>
                <w:p>
                  <w:pPr>
                    <w:widowControl/>
                    <w:jc w:val="left"/>
                    <w:rPr>
                      <w:color w:val="auto"/>
                      <w:kern w:val="0"/>
                      <w:sz w:val="18"/>
                      <w:szCs w:val="21"/>
                    </w:rPr>
                  </w:pPr>
                  <w:r>
                    <w:rPr>
                      <w:rFonts w:hint="eastAsia"/>
                      <w:color w:val="auto"/>
                      <w:kern w:val="0"/>
                      <w:sz w:val="18"/>
                      <w:szCs w:val="21"/>
                    </w:rPr>
                    <w:t>（1</w:t>
                  </w:r>
                  <w:r>
                    <w:rPr>
                      <w:color w:val="auto"/>
                      <w:kern w:val="0"/>
                      <w:sz w:val="18"/>
                      <w:szCs w:val="21"/>
                    </w:rPr>
                    <w:t>1</w:t>
                  </w:r>
                  <w:r>
                    <w:rPr>
                      <w:rFonts w:hint="eastAsia"/>
                      <w:color w:val="auto"/>
                      <w:kern w:val="0"/>
                      <w:sz w:val="18"/>
                      <w:szCs w:val="21"/>
                    </w:rPr>
                    <w:t>）数字识别码和二维码：数字识别码按照本标准第</w:t>
                  </w:r>
                  <w:r>
                    <w:rPr>
                      <w:color w:val="auto"/>
                      <w:kern w:val="0"/>
                      <w:sz w:val="18"/>
                      <w:szCs w:val="21"/>
                    </w:rPr>
                    <w:t xml:space="preserve">8 </w:t>
                  </w:r>
                  <w:r>
                    <w:rPr>
                      <w:rFonts w:hint="eastAsia"/>
                      <w:color w:val="auto"/>
                      <w:kern w:val="0"/>
                      <w:sz w:val="18"/>
                      <w:szCs w:val="21"/>
                    </w:rPr>
                    <w:t>条的要求进行编码，并实现“一物一码”。危险废物标签二维码的编码数据结构中应包含数字识别码的内容，信息服务系统所含信息宜包含标签中设置的信息。从事收集、贮存、利用、处置危险废物经营活动的单位可利用电子标签等物联网技术对危险废物进行信息化管理。</w:t>
                  </w:r>
                </w:p>
                <w:p>
                  <w:pPr>
                    <w:widowControl/>
                    <w:adjustRightInd w:val="0"/>
                    <w:snapToGrid w:val="0"/>
                    <w:rPr>
                      <w:color w:val="auto"/>
                      <w:kern w:val="0"/>
                      <w:sz w:val="18"/>
                      <w:szCs w:val="18"/>
                    </w:rPr>
                  </w:pPr>
                  <w:r>
                    <w:rPr>
                      <w:rFonts w:hint="eastAsia"/>
                      <w:color w:val="auto"/>
                      <w:kern w:val="0"/>
                      <w:sz w:val="18"/>
                      <w:szCs w:val="21"/>
                    </w:rPr>
                    <w:t>（1</w:t>
                  </w:r>
                  <w:r>
                    <w:rPr>
                      <w:color w:val="auto"/>
                      <w:kern w:val="0"/>
                      <w:sz w:val="18"/>
                      <w:szCs w:val="21"/>
                    </w:rPr>
                    <w:t>2</w:t>
                  </w:r>
                  <w:r>
                    <w:rPr>
                      <w:rFonts w:hint="eastAsia"/>
                      <w:color w:val="auto"/>
                      <w:kern w:val="0"/>
                      <w:sz w:val="18"/>
                      <w:szCs w:val="21"/>
                    </w:rPr>
                    <w:t>）备注：危险废物标签的设置单位可根据自身实际管理需求或按照县级及以上生态环境主管部门的要求，填写与所盛装危险废物相关的信息。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167" w:type="dxa"/>
                </w:tcPr>
                <w:p>
                  <w:pPr>
                    <w:widowControl/>
                    <w:adjustRightInd w:val="0"/>
                    <w:snapToGrid w:val="0"/>
                    <w:jc w:val="center"/>
                    <w:rPr>
                      <w:color w:val="auto"/>
                      <w:sz w:val="18"/>
                      <w:szCs w:val="18"/>
                    </w:rPr>
                  </w:pPr>
                  <w:r>
                    <w:rPr>
                      <w:color w:val="auto"/>
                    </w:rPr>
                    <w:drawing>
                      <wp:inline distT="0" distB="0" distL="0" distR="0">
                        <wp:extent cx="2656840" cy="2651760"/>
                        <wp:effectExtent l="0" t="0" r="10160" b="152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656840" cy="2651760"/>
                                </a:xfrm>
                                <a:prstGeom prst="rect">
                                  <a:avLst/>
                                </a:prstGeom>
                                <a:noFill/>
                                <a:ln>
                                  <a:noFill/>
                                </a:ln>
                              </pic:spPr>
                            </pic:pic>
                          </a:graphicData>
                        </a:graphic>
                      </wp:inline>
                    </w:drawing>
                  </w:r>
                </w:p>
              </w:tc>
            </w:tr>
          </w:tbl>
          <w:p>
            <w:pPr>
              <w:adjustRightInd w:val="0"/>
              <w:snapToGrid w:val="0"/>
              <w:spacing w:before="120" w:beforeLines="50" w:line="360" w:lineRule="auto"/>
              <w:ind w:firstLine="420" w:firstLineChars="200"/>
              <w:rPr>
                <w:color w:val="auto"/>
                <w:szCs w:val="21"/>
              </w:rPr>
            </w:pPr>
            <w:r>
              <w:rPr>
                <w:color w:val="auto"/>
                <w:szCs w:val="21"/>
              </w:rPr>
              <w:t>（7）</w:t>
            </w:r>
            <w:r>
              <w:rPr>
                <w:bCs/>
                <w:color w:val="auto"/>
                <w:szCs w:val="21"/>
              </w:rPr>
              <w:t>危险废物</w:t>
            </w:r>
            <w:r>
              <w:rPr>
                <w:color w:val="auto"/>
                <w:szCs w:val="21"/>
              </w:rPr>
              <w:t>运输过程的环境影响分析</w:t>
            </w:r>
          </w:p>
          <w:p>
            <w:pPr>
              <w:spacing w:line="360" w:lineRule="auto"/>
              <w:ind w:firstLine="420" w:firstLineChars="200"/>
              <w:rPr>
                <w:color w:val="auto"/>
                <w:szCs w:val="21"/>
              </w:rPr>
            </w:pPr>
            <w:r>
              <w:rPr>
                <w:color w:val="auto"/>
                <w:szCs w:val="21"/>
              </w:rPr>
              <w:t>本项目危险废物委托资质单位进行运输，在运输过程中要采用专用的车辆，密闭运输，严格禁止跑冒滴漏，杜绝在运输过程中造成环境的二次污染，在危险废物的运输中执行《危险废物转移联单管理办法》中有关的规定和要求。</w:t>
            </w:r>
          </w:p>
          <w:p>
            <w:pPr>
              <w:spacing w:line="360" w:lineRule="auto"/>
              <w:ind w:firstLine="420" w:firstLineChars="200"/>
              <w:rPr>
                <w:bCs/>
                <w:color w:val="auto"/>
                <w:szCs w:val="21"/>
              </w:rPr>
            </w:pPr>
            <w:r>
              <w:rPr>
                <w:bCs/>
                <w:color w:val="auto"/>
                <w:szCs w:val="21"/>
              </w:rPr>
              <w:t>（8）危险废物环境风险评价</w:t>
            </w:r>
          </w:p>
          <w:p>
            <w:pPr>
              <w:spacing w:line="360" w:lineRule="auto"/>
              <w:ind w:firstLine="420" w:firstLineChars="200"/>
              <w:rPr>
                <w:color w:val="auto"/>
                <w:szCs w:val="21"/>
              </w:rPr>
            </w:pPr>
            <w:r>
              <w:rPr>
                <w:color w:val="auto"/>
                <w:szCs w:val="21"/>
              </w:rPr>
              <w:t>按照《建设项目环境风险评价技术导则》（HJ169-2018），</w:t>
            </w:r>
            <w:r>
              <w:rPr>
                <w:rFonts w:hint="eastAsia"/>
                <w:color w:val="auto"/>
                <w:szCs w:val="21"/>
              </w:rPr>
              <w:t>废活性炭</w:t>
            </w:r>
            <w:r>
              <w:rPr>
                <w:color w:val="auto"/>
                <w:szCs w:val="21"/>
              </w:rPr>
              <w:t>中含有可燃成分，一旦储存不当或遭遇明火，可能会发生火灾事件，会对环境和社会造成不利影响，严重时会引发人员伤亡。</w:t>
            </w:r>
            <w:r>
              <w:rPr>
                <w:rFonts w:hint="eastAsia"/>
                <w:color w:val="auto"/>
                <w:szCs w:val="21"/>
              </w:rPr>
              <w:t>企业</w:t>
            </w:r>
            <w:r>
              <w:rPr>
                <w:color w:val="auto"/>
                <w:szCs w:val="21"/>
              </w:rPr>
              <w:t>应在危废贮存间内设置禁火标志，并布置灭火器、沙包等消防物资，防止火灾的发生和蔓延。</w:t>
            </w:r>
          </w:p>
          <w:p>
            <w:pPr>
              <w:spacing w:line="360" w:lineRule="auto"/>
              <w:ind w:firstLine="420" w:firstLineChars="200"/>
              <w:rPr>
                <w:color w:val="auto"/>
                <w:szCs w:val="21"/>
              </w:rPr>
            </w:pPr>
            <w:r>
              <w:rPr>
                <w:color w:val="auto"/>
                <w:szCs w:val="21"/>
              </w:rPr>
              <w:t>厂区发生火灾事故在燃烧中产生含有一氧化碳、二氧化碳</w:t>
            </w:r>
            <w:r>
              <w:rPr>
                <w:rFonts w:hint="eastAsia"/>
                <w:color w:val="auto"/>
                <w:szCs w:val="21"/>
              </w:rPr>
              <w:t>、二氧化硫</w:t>
            </w:r>
            <w:r>
              <w:rPr>
                <w:color w:val="auto"/>
                <w:szCs w:val="21"/>
              </w:rPr>
              <w:t>等有毒气体，对大气环境产生不利影响。另厂区发生泄漏以及火灾、爆炸事故也可能会导致有毒有害物质渗透入土壤中，造成土壤、地下水污染。主要影响如下：</w:t>
            </w:r>
          </w:p>
          <w:p>
            <w:pPr>
              <w:spacing w:line="360" w:lineRule="auto"/>
              <w:ind w:firstLine="420" w:firstLineChars="200"/>
              <w:rPr>
                <w:color w:val="auto"/>
                <w:szCs w:val="21"/>
              </w:rPr>
            </w:pPr>
            <w:r>
              <w:rPr>
                <w:color w:val="auto"/>
                <w:szCs w:val="21"/>
              </w:rPr>
              <w:t>1）对环境空气的影响：</w:t>
            </w:r>
          </w:p>
          <w:p>
            <w:pPr>
              <w:spacing w:line="360" w:lineRule="auto"/>
              <w:ind w:firstLine="420" w:firstLineChars="200"/>
              <w:rPr>
                <w:color w:val="auto"/>
                <w:szCs w:val="21"/>
              </w:rPr>
            </w:pPr>
            <w:r>
              <w:rPr>
                <w:color w:val="auto"/>
                <w:szCs w:val="21"/>
              </w:rPr>
              <w:t>本项目危险废物以密封的袋装或桶装包装贮存，有效减少挥发性物质对环境空气的影响。</w:t>
            </w:r>
          </w:p>
          <w:p>
            <w:pPr>
              <w:spacing w:line="360" w:lineRule="auto"/>
              <w:ind w:firstLine="420" w:firstLineChars="200"/>
              <w:rPr>
                <w:color w:val="auto"/>
                <w:szCs w:val="21"/>
              </w:rPr>
            </w:pPr>
            <w:r>
              <w:rPr>
                <w:color w:val="auto"/>
                <w:szCs w:val="21"/>
              </w:rPr>
              <w:t>2）对地表水的影响：</w:t>
            </w:r>
          </w:p>
          <w:p>
            <w:pPr>
              <w:spacing w:line="360" w:lineRule="auto"/>
              <w:ind w:firstLine="420" w:firstLineChars="200"/>
              <w:rPr>
                <w:color w:val="auto"/>
                <w:szCs w:val="21"/>
              </w:rPr>
            </w:pPr>
            <w:r>
              <w:rPr>
                <w:color w:val="auto"/>
                <w:szCs w:val="21"/>
              </w:rPr>
              <w:t>危废仓库所具有防雨、防漏、防渗措施，当事故发生时，不会产生废液进入厂区雨水系统，对周边地表水产生不良影响。</w:t>
            </w:r>
          </w:p>
          <w:p>
            <w:pPr>
              <w:spacing w:line="360" w:lineRule="auto"/>
              <w:ind w:firstLine="420" w:firstLineChars="200"/>
              <w:rPr>
                <w:color w:val="auto"/>
                <w:szCs w:val="21"/>
              </w:rPr>
            </w:pPr>
            <w:r>
              <w:rPr>
                <w:color w:val="auto"/>
                <w:szCs w:val="21"/>
              </w:rPr>
              <w:t>3）对地下水的影响：</w:t>
            </w:r>
          </w:p>
          <w:p>
            <w:pPr>
              <w:spacing w:line="360" w:lineRule="auto"/>
              <w:ind w:firstLine="420" w:firstLineChars="200"/>
              <w:rPr>
                <w:color w:val="auto"/>
                <w:szCs w:val="21"/>
              </w:rPr>
            </w:pPr>
            <w:r>
              <w:rPr>
                <w:color w:val="auto"/>
                <w:szCs w:val="21"/>
              </w:rPr>
              <w:t>危废仓库所应按照</w:t>
            </w:r>
            <w:r>
              <w:rPr>
                <w:rFonts w:hint="eastAsia"/>
                <w:color w:val="auto"/>
                <w:szCs w:val="21"/>
              </w:rPr>
              <w:t>《危险废物贮存污染控制标准》（GB18597-2023）</w:t>
            </w:r>
            <w:r>
              <w:rPr>
                <w:color w:val="auto"/>
                <w:szCs w:val="21"/>
              </w:rPr>
              <w:t>要求，进行防腐、防渗，暂存场所地面铺设等效2mm厚高密度聚乙烯防渗层，渗透系数≤10</w:t>
            </w:r>
            <w:r>
              <w:rPr>
                <w:color w:val="auto"/>
                <w:szCs w:val="21"/>
                <w:vertAlign w:val="superscript"/>
              </w:rPr>
              <w:t>-10</w:t>
            </w:r>
            <w:r>
              <w:rPr>
                <w:color w:val="auto"/>
                <w:szCs w:val="21"/>
              </w:rPr>
              <w:t>cm/s，设集液托盘，正常情况下不会泄漏至室外污染土壤和地下水，不会对区域地下水环境产生影响。</w:t>
            </w:r>
          </w:p>
          <w:p>
            <w:pPr>
              <w:spacing w:line="360" w:lineRule="auto"/>
              <w:ind w:firstLine="420" w:firstLineChars="200"/>
              <w:rPr>
                <w:color w:val="auto"/>
                <w:szCs w:val="21"/>
              </w:rPr>
            </w:pPr>
            <w:r>
              <w:rPr>
                <w:color w:val="auto"/>
                <w:szCs w:val="21"/>
              </w:rPr>
              <w:t>4）对环境敏感保护目标的影响：</w:t>
            </w:r>
          </w:p>
          <w:p>
            <w:pPr>
              <w:spacing w:line="360" w:lineRule="auto"/>
              <w:ind w:firstLine="420" w:firstLineChars="200"/>
              <w:rPr>
                <w:color w:val="auto"/>
                <w:szCs w:val="21"/>
              </w:rPr>
            </w:pPr>
            <w:r>
              <w:rPr>
                <w:color w:val="auto"/>
                <w:szCs w:val="21"/>
              </w:rPr>
              <w:t>本项目暂存的危险废物都按要求妥善保管，仓库地面按控制标准的要求做了防渗漏处理，一旦发生泄漏事故及时采取控制措施，环境风险水平在可控制范围内。</w:t>
            </w:r>
          </w:p>
          <w:p>
            <w:pPr>
              <w:spacing w:line="360" w:lineRule="auto"/>
              <w:ind w:firstLine="420" w:firstLineChars="200"/>
              <w:rPr>
                <w:color w:val="auto"/>
                <w:szCs w:val="21"/>
              </w:rPr>
            </w:pPr>
            <w:r>
              <w:rPr>
                <w:color w:val="auto"/>
                <w:szCs w:val="21"/>
              </w:rPr>
              <w:t>综上，本项目危废发生少量泄漏事件，可及时收集，能及时处置，影响不会扩散，能够控制厂区内，环境风险可接受。</w:t>
            </w:r>
          </w:p>
          <w:p>
            <w:pPr>
              <w:spacing w:line="360" w:lineRule="auto"/>
              <w:ind w:firstLine="420" w:firstLineChars="200"/>
              <w:rPr>
                <w:color w:val="auto"/>
                <w:szCs w:val="21"/>
              </w:rPr>
            </w:pPr>
            <w:r>
              <w:rPr>
                <w:bCs/>
                <w:color w:val="auto"/>
                <w:szCs w:val="21"/>
              </w:rPr>
              <w:t>（9）环境管理</w:t>
            </w:r>
          </w:p>
          <w:p>
            <w:pPr>
              <w:spacing w:line="360" w:lineRule="auto"/>
              <w:ind w:firstLine="420" w:firstLineChars="200"/>
              <w:rPr>
                <w:color w:val="auto"/>
                <w:szCs w:val="21"/>
              </w:rPr>
            </w:pPr>
            <w:r>
              <w:rPr>
                <w:color w:val="auto"/>
                <w:szCs w:val="21"/>
              </w:rPr>
              <w:t>针对本项目正常运行阶段所产生的危险废物的日常管理提出要求：</w:t>
            </w:r>
          </w:p>
          <w:p>
            <w:pPr>
              <w:spacing w:line="360" w:lineRule="auto"/>
              <w:ind w:firstLine="420" w:firstLineChars="200"/>
              <w:rPr>
                <w:color w:val="auto"/>
                <w:szCs w:val="21"/>
              </w:rPr>
            </w:pPr>
            <w:r>
              <w:rPr>
                <w:color w:val="auto"/>
                <w:szCs w:val="21"/>
              </w:rPr>
              <w:t>1）履行申报登记制度；</w:t>
            </w:r>
          </w:p>
          <w:p>
            <w:pPr>
              <w:spacing w:line="360" w:lineRule="auto"/>
              <w:ind w:firstLine="420" w:firstLineChars="200"/>
              <w:rPr>
                <w:color w:val="auto"/>
                <w:szCs w:val="21"/>
              </w:rPr>
            </w:pPr>
            <w:r>
              <w:rPr>
                <w:color w:val="auto"/>
                <w:szCs w:val="21"/>
              </w:rPr>
              <w:t>2）建立台账管理制度，企业须做好危险废物情况的记录，记录上需注明危险废物的名称、来源、数量、特性和包装容器的类别；</w:t>
            </w:r>
          </w:p>
          <w:p>
            <w:pPr>
              <w:spacing w:line="360" w:lineRule="auto"/>
              <w:ind w:firstLine="420" w:firstLineChars="200"/>
              <w:rPr>
                <w:color w:val="auto"/>
                <w:szCs w:val="21"/>
              </w:rPr>
            </w:pPr>
            <w:r>
              <w:rPr>
                <w:color w:val="auto"/>
                <w:szCs w:val="21"/>
              </w:rPr>
              <w:t>3）委托处置应执行报批和转移联单等制度；</w:t>
            </w:r>
          </w:p>
          <w:p>
            <w:pPr>
              <w:spacing w:line="360" w:lineRule="auto"/>
              <w:ind w:firstLine="420" w:firstLineChars="200"/>
              <w:rPr>
                <w:color w:val="auto"/>
                <w:szCs w:val="21"/>
              </w:rPr>
            </w:pPr>
            <w:r>
              <w:rPr>
                <w:color w:val="auto"/>
                <w:szCs w:val="21"/>
              </w:rPr>
              <w:t>4）定期对暂存的危险废物包装容器及贮存设施进行检查，及早发现破损，及时采取措施清理更换；</w:t>
            </w:r>
          </w:p>
          <w:p>
            <w:pPr>
              <w:spacing w:line="360" w:lineRule="auto"/>
              <w:ind w:firstLine="420" w:firstLineChars="200"/>
              <w:rPr>
                <w:color w:val="auto"/>
                <w:szCs w:val="21"/>
              </w:rPr>
            </w:pPr>
            <w:r>
              <w:rPr>
                <w:color w:val="auto"/>
                <w:szCs w:val="21"/>
              </w:rPr>
              <w:t>5）直接从事收集、贮存、运输、利用、处置危险废物的人员，应当接受专业培训，经考核合格，方可从事该项工作。</w:t>
            </w:r>
          </w:p>
          <w:p>
            <w:pPr>
              <w:spacing w:line="360" w:lineRule="auto"/>
              <w:ind w:firstLine="420" w:firstLineChars="200"/>
              <w:rPr>
                <w:color w:val="auto"/>
                <w:szCs w:val="21"/>
              </w:rPr>
            </w:pPr>
            <w:r>
              <w:rPr>
                <w:color w:val="auto"/>
                <w:szCs w:val="21"/>
              </w:rPr>
              <w:t>6）固废贮存（处置）场所规范化设置，固体废物贮存（处置）场所应在醒目处设置标志牌。</w:t>
            </w:r>
          </w:p>
          <w:p>
            <w:pPr>
              <w:spacing w:line="360" w:lineRule="auto"/>
              <w:ind w:firstLine="420" w:firstLineChars="200"/>
              <w:rPr>
                <w:color w:val="auto"/>
                <w:szCs w:val="21"/>
              </w:rPr>
            </w:pPr>
            <w:r>
              <w:rPr>
                <w:color w:val="auto"/>
                <w:szCs w:val="21"/>
              </w:rPr>
              <w:t>7）危废应根据其化学特性选择合适的容器和存放地点，通过密闭容器存放，不可混合贮存，容器标签必须标明废物种类、贮存时间，定期处理。</w:t>
            </w:r>
          </w:p>
          <w:p>
            <w:pPr>
              <w:spacing w:line="360" w:lineRule="auto"/>
              <w:ind w:firstLine="420" w:firstLineChars="200"/>
              <w:rPr>
                <w:color w:val="auto"/>
                <w:szCs w:val="21"/>
              </w:rPr>
            </w:pPr>
            <w:r>
              <w:rPr>
                <w:color w:val="auto"/>
                <w:szCs w:val="21"/>
              </w:rPr>
              <w:t>8）危险废物产生单位在关键位置设置在线视频监控，企业应指定专人专职维护视频监控设施运行，定期巡视并做好相应的监控运行、维修、使用记录，保持摄像头表面整洁干净、监控拍摄位置正确、监控设施完好无损，确保视频传输图像清晰、监控设备正常稳定运行。</w:t>
            </w:r>
          </w:p>
          <w:p>
            <w:pPr>
              <w:adjustRightInd w:val="0"/>
              <w:snapToGrid w:val="0"/>
              <w:spacing w:line="360" w:lineRule="auto"/>
              <w:ind w:firstLine="420" w:firstLineChars="200"/>
              <w:rPr>
                <w:color w:val="auto"/>
                <w:szCs w:val="21"/>
              </w:rPr>
            </w:pPr>
            <w:r>
              <w:rPr>
                <w:color w:val="auto"/>
                <w:szCs w:val="21"/>
              </w:rPr>
              <w:t>综上所述，本项目固废采取上述治理措施后，各类固废均能得到合理处置，不产生二次污染，不会对周围环境产生影响。</w:t>
            </w:r>
          </w:p>
          <w:p>
            <w:pPr>
              <w:adjustRightInd w:val="0"/>
              <w:snapToGrid w:val="0"/>
              <w:spacing w:line="360" w:lineRule="auto"/>
              <w:ind w:firstLine="422" w:firstLineChars="200"/>
              <w:rPr>
                <w:b/>
                <w:bCs/>
                <w:color w:val="auto"/>
                <w:kern w:val="0"/>
                <w:szCs w:val="21"/>
              </w:rPr>
            </w:pPr>
            <w:r>
              <w:rPr>
                <w:b/>
                <w:bCs/>
                <w:color w:val="auto"/>
                <w:kern w:val="0"/>
                <w:szCs w:val="21"/>
              </w:rPr>
              <w:t>5、</w:t>
            </w:r>
            <w:r>
              <w:rPr>
                <w:b/>
                <w:bCs/>
                <w:color w:val="auto"/>
                <w:szCs w:val="21"/>
              </w:rPr>
              <w:t>土壤、地下水污染防治措施</w:t>
            </w:r>
          </w:p>
          <w:p>
            <w:pPr>
              <w:autoSpaceDE w:val="0"/>
              <w:autoSpaceDN w:val="0"/>
              <w:adjustRightInd w:val="0"/>
              <w:snapToGrid w:val="0"/>
              <w:spacing w:line="360" w:lineRule="auto"/>
              <w:ind w:firstLine="420" w:firstLineChars="200"/>
              <w:rPr>
                <w:color w:val="auto"/>
                <w:kern w:val="0"/>
                <w:szCs w:val="21"/>
              </w:rPr>
            </w:pPr>
            <w:r>
              <w:rPr>
                <w:color w:val="auto"/>
                <w:kern w:val="0"/>
                <w:szCs w:val="21"/>
              </w:rPr>
              <w:t>根据项目所在地水文地质条件分析，项目所在区域的浅层地层岩性主要为粉质粘土，自然防渗条件较好。但本项目仍需要加强地下水保护，采取相应的污染防治措施。</w:t>
            </w:r>
          </w:p>
          <w:p>
            <w:pPr>
              <w:autoSpaceDE w:val="0"/>
              <w:autoSpaceDN w:val="0"/>
              <w:adjustRightInd w:val="0"/>
              <w:snapToGrid w:val="0"/>
              <w:spacing w:line="360" w:lineRule="auto"/>
              <w:ind w:firstLine="420" w:firstLineChars="200"/>
              <w:rPr>
                <w:color w:val="auto"/>
                <w:kern w:val="0"/>
                <w:szCs w:val="21"/>
              </w:rPr>
            </w:pPr>
            <w:r>
              <w:rPr>
                <w:rFonts w:hint="eastAsia"/>
                <w:color w:val="auto"/>
                <w:kern w:val="0"/>
                <w:szCs w:val="21"/>
              </w:rPr>
              <w:t>本项目生产车间，一般固废仓库及危废仓库均依托租赁方。</w:t>
            </w:r>
            <w:r>
              <w:rPr>
                <w:color w:val="auto"/>
                <w:kern w:val="0"/>
                <w:szCs w:val="21"/>
              </w:rPr>
              <w:t>对车间及各装置设施</w:t>
            </w:r>
            <w:r>
              <w:rPr>
                <w:rFonts w:hint="eastAsia"/>
                <w:color w:val="auto"/>
                <w:kern w:val="0"/>
                <w:szCs w:val="21"/>
              </w:rPr>
              <w:t>已</w:t>
            </w:r>
            <w:r>
              <w:rPr>
                <w:color w:val="auto"/>
                <w:kern w:val="0"/>
                <w:szCs w:val="21"/>
              </w:rPr>
              <w:t>采取严格的防渗措施。防渗处理是防止地下水污染的重要环保保护措施，也是杜绝地下水污染的最后一道防线，依据项目区域水文地质情况及项目特点，提出如下污染防治措施及防渗要求：本项目厂区应划分为重点防渗区和一般防渗区，不同的污染物区，采取不同等级的防渗措施，并确保其可靠性和有效性。一般污染区的防渗设计应满足《一般工业固体废物贮存和填埋污染控制标准》（GB18599-2020）要求，重点及特殊污染区的防渗设计应满足</w:t>
            </w:r>
            <w:r>
              <w:rPr>
                <w:rFonts w:hint="eastAsia"/>
                <w:color w:val="auto"/>
                <w:szCs w:val="21"/>
              </w:rPr>
              <w:t>《危险废物贮存污染控制标准》（GB18597-2023）</w:t>
            </w:r>
            <w:r>
              <w:rPr>
                <w:color w:val="auto"/>
                <w:kern w:val="0"/>
                <w:szCs w:val="21"/>
              </w:rPr>
              <w:t>。</w:t>
            </w:r>
          </w:p>
          <w:p>
            <w:pPr>
              <w:autoSpaceDE w:val="0"/>
              <w:autoSpaceDN w:val="0"/>
              <w:adjustRightInd w:val="0"/>
              <w:snapToGrid w:val="0"/>
              <w:spacing w:line="360" w:lineRule="auto"/>
              <w:ind w:firstLine="420" w:firstLineChars="200"/>
              <w:rPr>
                <w:color w:val="auto"/>
                <w:kern w:val="0"/>
                <w:szCs w:val="21"/>
              </w:rPr>
            </w:pPr>
            <w:r>
              <w:rPr>
                <w:color w:val="auto"/>
                <w:kern w:val="0"/>
                <w:szCs w:val="21"/>
              </w:rPr>
              <w:t>本项目防渗分区划分及防渗技术要求见表4-2</w:t>
            </w:r>
            <w:r>
              <w:rPr>
                <w:rFonts w:hint="eastAsia"/>
                <w:color w:val="auto"/>
                <w:kern w:val="0"/>
                <w:szCs w:val="21"/>
              </w:rPr>
              <w:t>6</w:t>
            </w:r>
            <w:r>
              <w:rPr>
                <w:color w:val="auto"/>
                <w:kern w:val="0"/>
                <w:szCs w:val="21"/>
              </w:rPr>
              <w:t>，设计采取的各项防渗措施具体见表4-2</w:t>
            </w:r>
            <w:r>
              <w:rPr>
                <w:rFonts w:hint="eastAsia"/>
                <w:color w:val="auto"/>
                <w:kern w:val="0"/>
                <w:szCs w:val="21"/>
              </w:rPr>
              <w:t>7</w:t>
            </w:r>
            <w:r>
              <w:rPr>
                <w:color w:val="auto"/>
                <w:kern w:val="0"/>
                <w:szCs w:val="21"/>
              </w:rPr>
              <w:t>。</w:t>
            </w:r>
          </w:p>
          <w:p>
            <w:pPr>
              <w:adjustRightInd w:val="0"/>
              <w:snapToGrid w:val="0"/>
              <w:jc w:val="center"/>
              <w:rPr>
                <w:b/>
                <w:snapToGrid w:val="0"/>
                <w:color w:val="auto"/>
                <w:kern w:val="0"/>
                <w:szCs w:val="21"/>
              </w:rPr>
            </w:pPr>
            <w:r>
              <w:rPr>
                <w:b/>
                <w:snapToGrid w:val="0"/>
                <w:color w:val="auto"/>
                <w:kern w:val="0"/>
                <w:szCs w:val="21"/>
              </w:rPr>
              <w:t>表4-2</w:t>
            </w:r>
            <w:r>
              <w:rPr>
                <w:rFonts w:hint="eastAsia"/>
                <w:b/>
                <w:snapToGrid w:val="0"/>
                <w:color w:val="auto"/>
                <w:kern w:val="0"/>
                <w:szCs w:val="21"/>
              </w:rPr>
              <w:t>6</w:t>
            </w:r>
            <w:r>
              <w:rPr>
                <w:b/>
                <w:snapToGrid w:val="0"/>
                <w:color w:val="auto"/>
                <w:kern w:val="0"/>
                <w:szCs w:val="21"/>
              </w:rPr>
              <w:t xml:space="preserve">  项目污染区划分及防渗要求</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05"/>
              <w:gridCol w:w="1849"/>
              <w:gridCol w:w="1023"/>
              <w:gridCol w:w="879"/>
              <w:gridCol w:w="930"/>
              <w:gridCol w:w="1680"/>
              <w:gridCol w:w="193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3" w:type="pct"/>
                  <w:vAlign w:val="center"/>
                </w:tcPr>
                <w:p>
                  <w:pPr>
                    <w:adjustRightInd w:val="0"/>
                    <w:snapToGrid w:val="0"/>
                    <w:jc w:val="center"/>
                    <w:rPr>
                      <w:b/>
                      <w:bCs/>
                      <w:color w:val="auto"/>
                      <w:sz w:val="18"/>
                      <w:szCs w:val="18"/>
                    </w:rPr>
                  </w:pPr>
                  <w:r>
                    <w:rPr>
                      <w:b/>
                      <w:bCs/>
                      <w:color w:val="auto"/>
                      <w:sz w:val="18"/>
                      <w:szCs w:val="18"/>
                    </w:rPr>
                    <w:t>防渗</w:t>
                  </w:r>
                </w:p>
                <w:p>
                  <w:pPr>
                    <w:adjustRightInd w:val="0"/>
                    <w:snapToGrid w:val="0"/>
                    <w:jc w:val="center"/>
                    <w:rPr>
                      <w:b/>
                      <w:bCs/>
                      <w:color w:val="auto"/>
                      <w:sz w:val="18"/>
                      <w:szCs w:val="18"/>
                    </w:rPr>
                  </w:pPr>
                  <w:r>
                    <w:rPr>
                      <w:b/>
                      <w:bCs/>
                      <w:color w:val="auto"/>
                      <w:sz w:val="18"/>
                      <w:szCs w:val="18"/>
                    </w:rPr>
                    <w:t>分区</w:t>
                  </w:r>
                </w:p>
              </w:tc>
              <w:tc>
                <w:tcPr>
                  <w:tcW w:w="1016" w:type="pct"/>
                  <w:vAlign w:val="center"/>
                </w:tcPr>
                <w:p>
                  <w:pPr>
                    <w:adjustRightInd w:val="0"/>
                    <w:snapToGrid w:val="0"/>
                    <w:jc w:val="center"/>
                    <w:rPr>
                      <w:b/>
                      <w:bCs/>
                      <w:color w:val="auto"/>
                      <w:sz w:val="18"/>
                      <w:szCs w:val="18"/>
                    </w:rPr>
                  </w:pPr>
                  <w:r>
                    <w:rPr>
                      <w:b/>
                      <w:bCs/>
                      <w:color w:val="auto"/>
                      <w:sz w:val="18"/>
                      <w:szCs w:val="18"/>
                    </w:rPr>
                    <w:t>定义</w:t>
                  </w:r>
                </w:p>
              </w:tc>
              <w:tc>
                <w:tcPr>
                  <w:tcW w:w="562" w:type="pct"/>
                  <w:vAlign w:val="center"/>
                </w:tcPr>
                <w:p>
                  <w:pPr>
                    <w:adjustRightInd w:val="0"/>
                    <w:snapToGrid w:val="0"/>
                    <w:jc w:val="center"/>
                    <w:rPr>
                      <w:b/>
                      <w:bCs/>
                      <w:color w:val="auto"/>
                      <w:sz w:val="18"/>
                      <w:szCs w:val="18"/>
                    </w:rPr>
                  </w:pPr>
                  <w:r>
                    <w:rPr>
                      <w:b/>
                      <w:bCs/>
                      <w:color w:val="auto"/>
                      <w:sz w:val="18"/>
                      <w:szCs w:val="18"/>
                    </w:rPr>
                    <w:t>包气带防污性能</w:t>
                  </w:r>
                </w:p>
              </w:tc>
              <w:tc>
                <w:tcPr>
                  <w:tcW w:w="483" w:type="pct"/>
                  <w:vAlign w:val="center"/>
                </w:tcPr>
                <w:p>
                  <w:pPr>
                    <w:adjustRightInd w:val="0"/>
                    <w:snapToGrid w:val="0"/>
                    <w:jc w:val="center"/>
                    <w:rPr>
                      <w:b/>
                      <w:bCs/>
                      <w:color w:val="auto"/>
                      <w:sz w:val="18"/>
                      <w:szCs w:val="18"/>
                    </w:rPr>
                  </w:pPr>
                  <w:r>
                    <w:rPr>
                      <w:b/>
                      <w:bCs/>
                      <w:color w:val="auto"/>
                      <w:sz w:val="18"/>
                      <w:szCs w:val="18"/>
                    </w:rPr>
                    <w:t>污染控制难易程度</w:t>
                  </w:r>
                </w:p>
              </w:tc>
              <w:tc>
                <w:tcPr>
                  <w:tcW w:w="511" w:type="pct"/>
                  <w:vAlign w:val="center"/>
                </w:tcPr>
                <w:p>
                  <w:pPr>
                    <w:adjustRightInd w:val="0"/>
                    <w:snapToGrid w:val="0"/>
                    <w:jc w:val="center"/>
                    <w:rPr>
                      <w:b/>
                      <w:bCs/>
                      <w:color w:val="auto"/>
                      <w:sz w:val="18"/>
                      <w:szCs w:val="18"/>
                    </w:rPr>
                  </w:pPr>
                  <w:r>
                    <w:rPr>
                      <w:b/>
                      <w:bCs/>
                      <w:color w:val="auto"/>
                      <w:sz w:val="18"/>
                      <w:szCs w:val="18"/>
                    </w:rPr>
                    <w:t>污染物类型</w:t>
                  </w:r>
                </w:p>
              </w:tc>
              <w:tc>
                <w:tcPr>
                  <w:tcW w:w="923" w:type="pct"/>
                  <w:vAlign w:val="center"/>
                </w:tcPr>
                <w:p>
                  <w:pPr>
                    <w:adjustRightInd w:val="0"/>
                    <w:snapToGrid w:val="0"/>
                    <w:jc w:val="center"/>
                    <w:rPr>
                      <w:b/>
                      <w:bCs/>
                      <w:color w:val="auto"/>
                      <w:sz w:val="18"/>
                      <w:szCs w:val="18"/>
                    </w:rPr>
                  </w:pPr>
                  <w:r>
                    <w:rPr>
                      <w:b/>
                      <w:bCs/>
                      <w:color w:val="auto"/>
                      <w:sz w:val="18"/>
                      <w:szCs w:val="18"/>
                    </w:rPr>
                    <w:t>厂内分区</w:t>
                  </w:r>
                </w:p>
              </w:tc>
              <w:tc>
                <w:tcPr>
                  <w:tcW w:w="1062" w:type="pct"/>
                  <w:vAlign w:val="center"/>
                </w:tcPr>
                <w:p>
                  <w:pPr>
                    <w:adjustRightInd w:val="0"/>
                    <w:snapToGrid w:val="0"/>
                    <w:jc w:val="center"/>
                    <w:rPr>
                      <w:b/>
                      <w:bCs/>
                      <w:color w:val="auto"/>
                      <w:sz w:val="18"/>
                      <w:szCs w:val="18"/>
                    </w:rPr>
                  </w:pPr>
                  <w:r>
                    <w:rPr>
                      <w:b/>
                      <w:bCs/>
                      <w:color w:val="auto"/>
                      <w:sz w:val="18"/>
                      <w:szCs w:val="18"/>
                    </w:rPr>
                    <w:t>防渗技术要求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3" w:type="pct"/>
                  <w:vAlign w:val="center"/>
                </w:tcPr>
                <w:p>
                  <w:pPr>
                    <w:adjustRightInd w:val="0"/>
                    <w:snapToGrid w:val="0"/>
                    <w:jc w:val="center"/>
                    <w:rPr>
                      <w:color w:val="auto"/>
                      <w:sz w:val="18"/>
                      <w:szCs w:val="18"/>
                    </w:rPr>
                  </w:pPr>
                  <w:r>
                    <w:rPr>
                      <w:color w:val="auto"/>
                      <w:sz w:val="18"/>
                      <w:szCs w:val="18"/>
                    </w:rPr>
                    <w:t>重点防渗区</w:t>
                  </w:r>
                </w:p>
              </w:tc>
              <w:tc>
                <w:tcPr>
                  <w:tcW w:w="1016" w:type="pct"/>
                  <w:vAlign w:val="center"/>
                </w:tcPr>
                <w:p>
                  <w:pPr>
                    <w:adjustRightInd w:val="0"/>
                    <w:snapToGrid w:val="0"/>
                    <w:jc w:val="center"/>
                    <w:rPr>
                      <w:color w:val="auto"/>
                      <w:sz w:val="18"/>
                      <w:szCs w:val="18"/>
                    </w:rPr>
                  </w:pPr>
                  <w:r>
                    <w:rPr>
                      <w:color w:val="auto"/>
                      <w:sz w:val="18"/>
                      <w:szCs w:val="18"/>
                    </w:rPr>
                    <w:t>危害性大、毒性较大的生产装置区、物料仓库等</w:t>
                  </w:r>
                </w:p>
              </w:tc>
              <w:tc>
                <w:tcPr>
                  <w:tcW w:w="562" w:type="pct"/>
                  <w:vAlign w:val="center"/>
                </w:tcPr>
                <w:p>
                  <w:pPr>
                    <w:adjustRightInd w:val="0"/>
                    <w:snapToGrid w:val="0"/>
                    <w:jc w:val="center"/>
                    <w:rPr>
                      <w:color w:val="auto"/>
                      <w:sz w:val="18"/>
                      <w:szCs w:val="18"/>
                    </w:rPr>
                  </w:pPr>
                  <w:r>
                    <w:rPr>
                      <w:color w:val="auto"/>
                      <w:sz w:val="18"/>
                      <w:szCs w:val="18"/>
                    </w:rPr>
                    <w:t>弱</w:t>
                  </w:r>
                </w:p>
              </w:tc>
              <w:tc>
                <w:tcPr>
                  <w:tcW w:w="483" w:type="pct"/>
                  <w:vAlign w:val="center"/>
                </w:tcPr>
                <w:p>
                  <w:pPr>
                    <w:adjustRightInd w:val="0"/>
                    <w:snapToGrid w:val="0"/>
                    <w:jc w:val="center"/>
                    <w:rPr>
                      <w:color w:val="auto"/>
                      <w:sz w:val="18"/>
                      <w:szCs w:val="18"/>
                    </w:rPr>
                  </w:pPr>
                  <w:r>
                    <w:rPr>
                      <w:color w:val="auto"/>
                      <w:sz w:val="18"/>
                      <w:szCs w:val="18"/>
                    </w:rPr>
                    <w:t>难</w:t>
                  </w:r>
                </w:p>
              </w:tc>
              <w:tc>
                <w:tcPr>
                  <w:tcW w:w="511" w:type="pct"/>
                  <w:vAlign w:val="center"/>
                </w:tcPr>
                <w:p>
                  <w:pPr>
                    <w:adjustRightInd w:val="0"/>
                    <w:snapToGrid w:val="0"/>
                    <w:jc w:val="center"/>
                    <w:rPr>
                      <w:color w:val="auto"/>
                      <w:sz w:val="18"/>
                      <w:szCs w:val="18"/>
                    </w:rPr>
                  </w:pPr>
                  <w:r>
                    <w:rPr>
                      <w:color w:val="auto"/>
                      <w:sz w:val="18"/>
                      <w:szCs w:val="18"/>
                    </w:rPr>
                    <w:t>持久性有机物污染物</w:t>
                  </w:r>
                </w:p>
              </w:tc>
              <w:tc>
                <w:tcPr>
                  <w:tcW w:w="923" w:type="pct"/>
                  <w:vAlign w:val="center"/>
                </w:tcPr>
                <w:p>
                  <w:pPr>
                    <w:adjustRightInd w:val="0"/>
                    <w:snapToGrid w:val="0"/>
                    <w:jc w:val="center"/>
                    <w:rPr>
                      <w:color w:val="auto"/>
                      <w:sz w:val="18"/>
                      <w:szCs w:val="18"/>
                    </w:rPr>
                  </w:pPr>
                  <w:r>
                    <w:rPr>
                      <w:color w:val="auto"/>
                      <w:sz w:val="18"/>
                      <w:szCs w:val="18"/>
                    </w:rPr>
                    <w:t>危废仓库</w:t>
                  </w:r>
                  <w:r>
                    <w:rPr>
                      <w:rFonts w:hint="eastAsia"/>
                      <w:color w:val="auto"/>
                      <w:sz w:val="18"/>
                      <w:szCs w:val="18"/>
                    </w:rPr>
                    <w:t>、一楼车间生产区域</w:t>
                  </w:r>
                </w:p>
              </w:tc>
              <w:tc>
                <w:tcPr>
                  <w:tcW w:w="1062" w:type="pct"/>
                  <w:vAlign w:val="center"/>
                </w:tcPr>
                <w:p>
                  <w:pPr>
                    <w:adjustRightInd w:val="0"/>
                    <w:snapToGrid w:val="0"/>
                    <w:jc w:val="center"/>
                    <w:rPr>
                      <w:color w:val="auto"/>
                      <w:sz w:val="18"/>
                      <w:szCs w:val="18"/>
                    </w:rPr>
                  </w:pPr>
                  <w:r>
                    <w:rPr>
                      <w:color w:val="auto"/>
                      <w:sz w:val="18"/>
                      <w:szCs w:val="18"/>
                    </w:rPr>
                    <w:t>等效黏土防渗层Mb≥6.0m，K≤1×10</w:t>
                  </w:r>
                  <w:r>
                    <w:rPr>
                      <w:color w:val="auto"/>
                      <w:sz w:val="18"/>
                      <w:szCs w:val="18"/>
                      <w:vertAlign w:val="superscript"/>
                    </w:rPr>
                    <w:t>-10</w:t>
                  </w:r>
                  <w:r>
                    <w:rPr>
                      <w:color w:val="auto"/>
                      <w:sz w:val="18"/>
                      <w:szCs w:val="18"/>
                    </w:rPr>
                    <w:t>cm/s；或参照GB18598执行</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43" w:type="pct"/>
                  <w:vAlign w:val="center"/>
                </w:tcPr>
                <w:p>
                  <w:pPr>
                    <w:adjustRightInd w:val="0"/>
                    <w:snapToGrid w:val="0"/>
                    <w:jc w:val="center"/>
                    <w:rPr>
                      <w:color w:val="auto"/>
                      <w:sz w:val="18"/>
                      <w:szCs w:val="18"/>
                    </w:rPr>
                  </w:pPr>
                  <w:r>
                    <w:rPr>
                      <w:color w:val="auto"/>
                      <w:sz w:val="18"/>
                      <w:szCs w:val="18"/>
                    </w:rPr>
                    <w:t>一般防渗区</w:t>
                  </w:r>
                </w:p>
              </w:tc>
              <w:tc>
                <w:tcPr>
                  <w:tcW w:w="1016" w:type="pct"/>
                  <w:vAlign w:val="center"/>
                </w:tcPr>
                <w:p>
                  <w:pPr>
                    <w:adjustRightInd w:val="0"/>
                    <w:snapToGrid w:val="0"/>
                    <w:jc w:val="center"/>
                    <w:rPr>
                      <w:color w:val="auto"/>
                      <w:sz w:val="18"/>
                      <w:szCs w:val="18"/>
                    </w:rPr>
                  </w:pPr>
                  <w:r>
                    <w:rPr>
                      <w:color w:val="auto"/>
                      <w:sz w:val="18"/>
                      <w:szCs w:val="18"/>
                    </w:rPr>
                    <w:t>无毒性或毒性小的生产装置区、装置区外管廊区</w:t>
                  </w:r>
                </w:p>
              </w:tc>
              <w:tc>
                <w:tcPr>
                  <w:tcW w:w="562" w:type="pct"/>
                  <w:vAlign w:val="center"/>
                </w:tcPr>
                <w:p>
                  <w:pPr>
                    <w:adjustRightInd w:val="0"/>
                    <w:snapToGrid w:val="0"/>
                    <w:jc w:val="center"/>
                    <w:rPr>
                      <w:color w:val="auto"/>
                      <w:sz w:val="18"/>
                      <w:szCs w:val="18"/>
                    </w:rPr>
                  </w:pPr>
                  <w:r>
                    <w:rPr>
                      <w:color w:val="auto"/>
                      <w:sz w:val="18"/>
                      <w:szCs w:val="18"/>
                    </w:rPr>
                    <w:t>弱</w:t>
                  </w:r>
                </w:p>
              </w:tc>
              <w:tc>
                <w:tcPr>
                  <w:tcW w:w="483" w:type="pct"/>
                  <w:vAlign w:val="center"/>
                </w:tcPr>
                <w:p>
                  <w:pPr>
                    <w:adjustRightInd w:val="0"/>
                    <w:snapToGrid w:val="0"/>
                    <w:jc w:val="center"/>
                    <w:rPr>
                      <w:color w:val="auto"/>
                      <w:sz w:val="18"/>
                      <w:szCs w:val="18"/>
                    </w:rPr>
                  </w:pPr>
                  <w:r>
                    <w:rPr>
                      <w:color w:val="auto"/>
                      <w:sz w:val="18"/>
                      <w:szCs w:val="18"/>
                    </w:rPr>
                    <w:t>易</w:t>
                  </w:r>
                </w:p>
              </w:tc>
              <w:tc>
                <w:tcPr>
                  <w:tcW w:w="511" w:type="pct"/>
                  <w:vAlign w:val="center"/>
                </w:tcPr>
                <w:p>
                  <w:pPr>
                    <w:adjustRightInd w:val="0"/>
                    <w:snapToGrid w:val="0"/>
                    <w:jc w:val="center"/>
                    <w:rPr>
                      <w:color w:val="auto"/>
                      <w:sz w:val="18"/>
                      <w:szCs w:val="18"/>
                    </w:rPr>
                  </w:pPr>
                  <w:r>
                    <w:rPr>
                      <w:color w:val="auto"/>
                      <w:sz w:val="18"/>
                      <w:szCs w:val="18"/>
                    </w:rPr>
                    <w:t>其它</w:t>
                  </w:r>
                </w:p>
                <w:p>
                  <w:pPr>
                    <w:adjustRightInd w:val="0"/>
                    <w:snapToGrid w:val="0"/>
                    <w:jc w:val="center"/>
                    <w:rPr>
                      <w:color w:val="auto"/>
                      <w:sz w:val="18"/>
                      <w:szCs w:val="18"/>
                    </w:rPr>
                  </w:pPr>
                  <w:r>
                    <w:rPr>
                      <w:color w:val="auto"/>
                      <w:sz w:val="18"/>
                      <w:szCs w:val="18"/>
                    </w:rPr>
                    <w:t>类型</w:t>
                  </w:r>
                </w:p>
              </w:tc>
              <w:tc>
                <w:tcPr>
                  <w:tcW w:w="923" w:type="pct"/>
                  <w:vAlign w:val="center"/>
                </w:tcPr>
                <w:p>
                  <w:pPr>
                    <w:adjustRightInd w:val="0"/>
                    <w:snapToGrid w:val="0"/>
                    <w:jc w:val="center"/>
                    <w:rPr>
                      <w:color w:val="auto"/>
                      <w:sz w:val="18"/>
                      <w:szCs w:val="18"/>
                    </w:rPr>
                  </w:pPr>
                  <w:r>
                    <w:rPr>
                      <w:color w:val="auto"/>
                      <w:sz w:val="18"/>
                      <w:szCs w:val="18"/>
                    </w:rPr>
                    <w:t>一般工业固废仓库，车间内其他区域</w:t>
                  </w:r>
                </w:p>
              </w:tc>
              <w:tc>
                <w:tcPr>
                  <w:tcW w:w="1062" w:type="pct"/>
                  <w:vAlign w:val="center"/>
                </w:tcPr>
                <w:p>
                  <w:pPr>
                    <w:adjustRightInd w:val="0"/>
                    <w:snapToGrid w:val="0"/>
                    <w:jc w:val="center"/>
                    <w:rPr>
                      <w:color w:val="auto"/>
                      <w:sz w:val="18"/>
                      <w:szCs w:val="18"/>
                    </w:rPr>
                  </w:pPr>
                  <w:r>
                    <w:rPr>
                      <w:color w:val="auto"/>
                      <w:sz w:val="18"/>
                      <w:szCs w:val="18"/>
                    </w:rPr>
                    <w:t>等效黏土防渗层Mb≥1.5m，K≤1×10</w:t>
                  </w:r>
                  <w:r>
                    <w:rPr>
                      <w:color w:val="auto"/>
                      <w:sz w:val="18"/>
                      <w:szCs w:val="18"/>
                      <w:vertAlign w:val="superscript"/>
                    </w:rPr>
                    <w:t>-10</w:t>
                  </w:r>
                  <w:r>
                    <w:rPr>
                      <w:color w:val="auto"/>
                      <w:sz w:val="18"/>
                      <w:szCs w:val="18"/>
                    </w:rPr>
                    <w:t>cm/s；或参照GB16889执行</w:t>
                  </w:r>
                </w:p>
              </w:tc>
            </w:tr>
          </w:tbl>
          <w:p>
            <w:pPr>
              <w:adjustRightInd w:val="0"/>
              <w:snapToGrid w:val="0"/>
              <w:spacing w:before="120" w:beforeLines="50"/>
              <w:jc w:val="center"/>
              <w:rPr>
                <w:b/>
                <w:bCs/>
                <w:color w:val="auto"/>
                <w:szCs w:val="21"/>
              </w:rPr>
            </w:pPr>
            <w:r>
              <w:rPr>
                <w:b/>
                <w:snapToGrid w:val="0"/>
                <w:color w:val="auto"/>
                <w:kern w:val="0"/>
                <w:szCs w:val="21"/>
              </w:rPr>
              <w:t>表4-2</w:t>
            </w:r>
            <w:r>
              <w:rPr>
                <w:rFonts w:hint="eastAsia"/>
                <w:b/>
                <w:snapToGrid w:val="0"/>
                <w:color w:val="auto"/>
                <w:kern w:val="0"/>
                <w:szCs w:val="21"/>
              </w:rPr>
              <w:t>7</w:t>
            </w:r>
            <w:r>
              <w:rPr>
                <w:b/>
                <w:snapToGrid w:val="0"/>
                <w:color w:val="auto"/>
                <w:kern w:val="0"/>
                <w:szCs w:val="21"/>
              </w:rPr>
              <w:t xml:space="preserve"> 项目设计采取的防渗处理措施一览表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1922"/>
              <w:gridCol w:w="632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8" w:type="pct"/>
                  <w:vAlign w:val="center"/>
                </w:tcPr>
                <w:p>
                  <w:pPr>
                    <w:adjustRightInd w:val="0"/>
                    <w:snapToGrid w:val="0"/>
                    <w:jc w:val="center"/>
                    <w:rPr>
                      <w:b/>
                      <w:bCs/>
                      <w:color w:val="auto"/>
                      <w:sz w:val="18"/>
                      <w:szCs w:val="18"/>
                    </w:rPr>
                  </w:pPr>
                  <w:r>
                    <w:rPr>
                      <w:b/>
                      <w:bCs/>
                      <w:color w:val="auto"/>
                      <w:sz w:val="18"/>
                      <w:szCs w:val="18"/>
                    </w:rPr>
                    <w:t>序号</w:t>
                  </w:r>
                </w:p>
              </w:tc>
              <w:tc>
                <w:tcPr>
                  <w:tcW w:w="1056" w:type="pct"/>
                  <w:vAlign w:val="center"/>
                </w:tcPr>
                <w:p>
                  <w:pPr>
                    <w:adjustRightInd w:val="0"/>
                    <w:snapToGrid w:val="0"/>
                    <w:jc w:val="center"/>
                    <w:rPr>
                      <w:b/>
                      <w:bCs/>
                      <w:color w:val="auto"/>
                      <w:sz w:val="18"/>
                      <w:szCs w:val="18"/>
                    </w:rPr>
                  </w:pPr>
                  <w:r>
                    <w:rPr>
                      <w:b/>
                      <w:bCs/>
                      <w:color w:val="auto"/>
                      <w:sz w:val="18"/>
                      <w:szCs w:val="18"/>
                    </w:rPr>
                    <w:t>名称</w:t>
                  </w:r>
                </w:p>
              </w:tc>
              <w:tc>
                <w:tcPr>
                  <w:tcW w:w="3476" w:type="pct"/>
                  <w:vAlign w:val="center"/>
                </w:tcPr>
                <w:p>
                  <w:pPr>
                    <w:adjustRightInd w:val="0"/>
                    <w:snapToGrid w:val="0"/>
                    <w:jc w:val="center"/>
                    <w:rPr>
                      <w:b/>
                      <w:bCs/>
                      <w:color w:val="auto"/>
                      <w:sz w:val="18"/>
                      <w:szCs w:val="18"/>
                    </w:rPr>
                  </w:pPr>
                  <w:r>
                    <w:rPr>
                      <w:b/>
                      <w:bCs/>
                      <w:color w:val="auto"/>
                      <w:sz w:val="18"/>
                      <w:szCs w:val="18"/>
                    </w:rPr>
                    <w:t>防腐、防渗措施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8" w:type="pct"/>
                  <w:vAlign w:val="center"/>
                </w:tcPr>
                <w:p>
                  <w:pPr>
                    <w:adjustRightInd w:val="0"/>
                    <w:snapToGrid w:val="0"/>
                    <w:jc w:val="center"/>
                    <w:rPr>
                      <w:color w:val="auto"/>
                      <w:sz w:val="18"/>
                      <w:szCs w:val="18"/>
                    </w:rPr>
                  </w:pPr>
                  <w:r>
                    <w:rPr>
                      <w:color w:val="auto"/>
                      <w:sz w:val="18"/>
                      <w:szCs w:val="18"/>
                    </w:rPr>
                    <w:t>1</w:t>
                  </w:r>
                </w:p>
              </w:tc>
              <w:tc>
                <w:tcPr>
                  <w:tcW w:w="1922" w:type="dxa"/>
                  <w:vAlign w:val="center"/>
                </w:tcPr>
                <w:p>
                  <w:pPr>
                    <w:adjustRightInd w:val="0"/>
                    <w:snapToGrid w:val="0"/>
                    <w:jc w:val="center"/>
                    <w:rPr>
                      <w:color w:val="auto"/>
                      <w:sz w:val="18"/>
                      <w:szCs w:val="18"/>
                    </w:rPr>
                  </w:pPr>
                  <w:r>
                    <w:rPr>
                      <w:color w:val="auto"/>
                      <w:sz w:val="18"/>
                      <w:szCs w:val="18"/>
                    </w:rPr>
                    <w:t>危废仓库</w:t>
                  </w:r>
                  <w:r>
                    <w:rPr>
                      <w:rFonts w:hint="eastAsia"/>
                      <w:color w:val="auto"/>
                      <w:sz w:val="18"/>
                      <w:szCs w:val="18"/>
                    </w:rPr>
                    <w:t>、一楼车间生产区域</w:t>
                  </w:r>
                </w:p>
              </w:tc>
              <w:tc>
                <w:tcPr>
                  <w:tcW w:w="3476" w:type="pct"/>
                  <w:vAlign w:val="center"/>
                </w:tcPr>
                <w:p>
                  <w:pPr>
                    <w:adjustRightInd w:val="0"/>
                    <w:snapToGrid w:val="0"/>
                    <w:rPr>
                      <w:color w:val="auto"/>
                      <w:sz w:val="18"/>
                      <w:szCs w:val="18"/>
                    </w:rPr>
                  </w:pPr>
                  <w:r>
                    <w:rPr>
                      <w:rFonts w:hint="eastAsia" w:ascii="宋体" w:hAnsi="宋体" w:cs="宋体"/>
                      <w:color w:val="auto"/>
                      <w:sz w:val="18"/>
                      <w:szCs w:val="18"/>
                    </w:rPr>
                    <w:t>①</w:t>
                  </w:r>
                  <w:r>
                    <w:rPr>
                      <w:color w:val="auto"/>
                      <w:sz w:val="18"/>
                      <w:szCs w:val="18"/>
                    </w:rPr>
                    <w:t>对各环节(包括生产车间、集水管线、排水管线、废物临时存放点等)要进行特殊防渗处理。借鉴国家《危险废物填埋污染控制标准》(GB18598-2001)中的防渗设计要求，进行天然基础层、复合衬层或双人工衬层设计建设，采取高标准的防渗处理措施。</w:t>
                  </w:r>
                  <w:r>
                    <w:rPr>
                      <w:rFonts w:hint="eastAsia" w:ascii="宋体" w:hAnsi="宋体" w:cs="宋体"/>
                      <w:color w:val="auto"/>
                      <w:sz w:val="18"/>
                      <w:szCs w:val="18"/>
                    </w:rPr>
                    <w:t>②</w:t>
                  </w:r>
                  <w:r>
                    <w:rPr>
                      <w:color w:val="auto"/>
                      <w:sz w:val="18"/>
                      <w:szCs w:val="18"/>
                    </w:rPr>
                    <w:t>严格按照施工规范施工，保证施工质量，保证无废水渗漏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8" w:type="pct"/>
                  <w:vAlign w:val="center"/>
                </w:tcPr>
                <w:p>
                  <w:pPr>
                    <w:adjustRightInd w:val="0"/>
                    <w:snapToGrid w:val="0"/>
                    <w:jc w:val="center"/>
                    <w:rPr>
                      <w:color w:val="auto"/>
                      <w:sz w:val="18"/>
                      <w:szCs w:val="18"/>
                    </w:rPr>
                  </w:pPr>
                  <w:r>
                    <w:rPr>
                      <w:color w:val="auto"/>
                      <w:sz w:val="18"/>
                      <w:szCs w:val="18"/>
                    </w:rPr>
                    <w:t>2</w:t>
                  </w:r>
                </w:p>
              </w:tc>
              <w:tc>
                <w:tcPr>
                  <w:tcW w:w="1922" w:type="dxa"/>
                  <w:vAlign w:val="center"/>
                </w:tcPr>
                <w:p>
                  <w:pPr>
                    <w:adjustRightInd w:val="0"/>
                    <w:snapToGrid w:val="0"/>
                    <w:jc w:val="center"/>
                    <w:rPr>
                      <w:color w:val="auto"/>
                      <w:sz w:val="18"/>
                      <w:szCs w:val="18"/>
                    </w:rPr>
                  </w:pPr>
                  <w:r>
                    <w:rPr>
                      <w:color w:val="auto"/>
                      <w:sz w:val="18"/>
                      <w:szCs w:val="18"/>
                    </w:rPr>
                    <w:t>一般工业固废仓库，车间内其他区域</w:t>
                  </w:r>
                </w:p>
              </w:tc>
              <w:tc>
                <w:tcPr>
                  <w:tcW w:w="3476" w:type="pct"/>
                  <w:vAlign w:val="center"/>
                </w:tcPr>
                <w:p>
                  <w:pPr>
                    <w:adjustRightInd w:val="0"/>
                    <w:snapToGrid w:val="0"/>
                    <w:rPr>
                      <w:color w:val="auto"/>
                      <w:sz w:val="18"/>
                      <w:szCs w:val="18"/>
                    </w:rPr>
                  </w:pPr>
                  <w:r>
                    <w:rPr>
                      <w:color w:val="auto"/>
                      <w:sz w:val="18"/>
                      <w:szCs w:val="18"/>
                    </w:rPr>
                    <w:t>自上而下采用人工大理石+水泥防渗结构，路面全部进行粘土夯实、混凝硬化；生产车间应严格按照建筑防渗设计规范，采高标号的防水混凝土，装置区集中做防渗地坪</w:t>
                  </w:r>
                </w:p>
              </w:tc>
            </w:tr>
          </w:tbl>
          <w:p>
            <w:pPr>
              <w:adjustRightInd w:val="0"/>
              <w:snapToGrid w:val="0"/>
              <w:spacing w:before="120" w:beforeLines="50" w:line="360" w:lineRule="auto"/>
              <w:ind w:firstLine="420" w:firstLineChars="200"/>
              <w:rPr>
                <w:color w:val="auto"/>
                <w:szCs w:val="21"/>
              </w:rPr>
            </w:pPr>
            <w:r>
              <w:rPr>
                <w:color w:val="auto"/>
                <w:kern w:val="0"/>
                <w:szCs w:val="21"/>
              </w:rPr>
              <w:t>企业</w:t>
            </w:r>
            <w:r>
              <w:rPr>
                <w:rFonts w:hint="eastAsia"/>
                <w:color w:val="auto"/>
                <w:kern w:val="0"/>
                <w:szCs w:val="21"/>
              </w:rPr>
              <w:t>应</w:t>
            </w:r>
            <w:r>
              <w:rPr>
                <w:color w:val="auto"/>
                <w:kern w:val="0"/>
                <w:szCs w:val="21"/>
              </w:rPr>
              <w:t>加强生产管理，避免事故发生，同时定期对地下水质及土壤进行监测，以便及时发现并采取有效的补救措施。</w:t>
            </w:r>
          </w:p>
          <w:p>
            <w:pPr>
              <w:spacing w:line="360" w:lineRule="auto"/>
              <w:ind w:firstLine="422" w:firstLineChars="200"/>
              <w:rPr>
                <w:b/>
                <w:bCs/>
                <w:color w:val="auto"/>
                <w:kern w:val="0"/>
                <w:szCs w:val="21"/>
              </w:rPr>
            </w:pPr>
            <w:r>
              <w:rPr>
                <w:b/>
                <w:bCs/>
                <w:color w:val="auto"/>
                <w:kern w:val="0"/>
                <w:szCs w:val="21"/>
              </w:rPr>
              <w:t>6、环境风险</w:t>
            </w:r>
          </w:p>
          <w:p>
            <w:pPr>
              <w:spacing w:line="360" w:lineRule="auto"/>
              <w:ind w:firstLine="420" w:firstLineChars="200"/>
              <w:rPr>
                <w:color w:val="auto"/>
                <w:szCs w:val="21"/>
              </w:rPr>
            </w:pPr>
            <w:r>
              <w:rPr>
                <w:color w:val="auto"/>
                <w:szCs w:val="21"/>
              </w:rPr>
              <w:t>（1）风险调查</w:t>
            </w:r>
          </w:p>
          <w:p>
            <w:pPr>
              <w:spacing w:line="360" w:lineRule="auto"/>
              <w:ind w:firstLine="420" w:firstLineChars="200"/>
              <w:rPr>
                <w:color w:val="auto"/>
                <w:szCs w:val="21"/>
              </w:rPr>
            </w:pPr>
            <w:r>
              <w:rPr>
                <w:rFonts w:hint="eastAsia"/>
                <w:color w:val="auto"/>
                <w:szCs w:val="21"/>
              </w:rPr>
              <w:t>全厂</w:t>
            </w:r>
            <w:r>
              <w:rPr>
                <w:color w:val="auto"/>
                <w:szCs w:val="21"/>
              </w:rPr>
              <w:t>涉及风险的物质及数量见表4-2</w:t>
            </w:r>
            <w:r>
              <w:rPr>
                <w:rFonts w:hint="eastAsia"/>
                <w:color w:val="auto"/>
                <w:szCs w:val="21"/>
              </w:rPr>
              <w:t>8</w:t>
            </w:r>
            <w:r>
              <w:rPr>
                <w:color w:val="auto"/>
                <w:szCs w:val="21"/>
              </w:rPr>
              <w:t>。</w:t>
            </w:r>
          </w:p>
          <w:p>
            <w:pPr>
              <w:jc w:val="center"/>
              <w:rPr>
                <w:b/>
                <w:color w:val="auto"/>
                <w:szCs w:val="21"/>
              </w:rPr>
            </w:pPr>
            <w:r>
              <w:rPr>
                <w:b/>
                <w:color w:val="auto"/>
                <w:szCs w:val="21"/>
              </w:rPr>
              <w:t>表4-2</w:t>
            </w:r>
            <w:r>
              <w:rPr>
                <w:rFonts w:hint="eastAsia"/>
                <w:b/>
                <w:color w:val="auto"/>
                <w:szCs w:val="21"/>
              </w:rPr>
              <w:t>8</w:t>
            </w:r>
            <w:r>
              <w:rPr>
                <w:b/>
                <w:color w:val="auto"/>
                <w:szCs w:val="21"/>
              </w:rPr>
              <w:t xml:space="preserve">  </w:t>
            </w:r>
            <w:r>
              <w:rPr>
                <w:rFonts w:hint="eastAsia"/>
                <w:b/>
                <w:color w:val="auto"/>
                <w:szCs w:val="21"/>
              </w:rPr>
              <w:t>全厂</w:t>
            </w:r>
            <w:r>
              <w:rPr>
                <w:b/>
                <w:color w:val="auto"/>
                <w:szCs w:val="21"/>
              </w:rPr>
              <w:t>涉及危险物质及数量</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531"/>
              <w:gridCol w:w="1198"/>
              <w:gridCol w:w="1985"/>
              <w:gridCol w:w="2400"/>
              <w:gridCol w:w="1570"/>
              <w:gridCol w:w="14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2" w:type="pct"/>
                  <w:vAlign w:val="center"/>
                </w:tcPr>
                <w:p>
                  <w:pPr>
                    <w:adjustRightInd w:val="0"/>
                    <w:snapToGrid w:val="0"/>
                    <w:jc w:val="center"/>
                    <w:rPr>
                      <w:b/>
                      <w:color w:val="auto"/>
                      <w:sz w:val="18"/>
                      <w:szCs w:val="18"/>
                    </w:rPr>
                  </w:pPr>
                  <w:bookmarkStart w:id="15" w:name="_Hlk123895481"/>
                  <w:r>
                    <w:rPr>
                      <w:b/>
                      <w:color w:val="auto"/>
                      <w:sz w:val="18"/>
                      <w:szCs w:val="18"/>
                    </w:rPr>
                    <w:t>序号</w:t>
                  </w:r>
                </w:p>
              </w:tc>
              <w:tc>
                <w:tcPr>
                  <w:tcW w:w="658" w:type="pct"/>
                  <w:vAlign w:val="center"/>
                </w:tcPr>
                <w:p>
                  <w:pPr>
                    <w:adjustRightInd w:val="0"/>
                    <w:snapToGrid w:val="0"/>
                    <w:jc w:val="center"/>
                    <w:rPr>
                      <w:b/>
                      <w:color w:val="auto"/>
                      <w:sz w:val="18"/>
                      <w:szCs w:val="18"/>
                    </w:rPr>
                  </w:pPr>
                  <w:r>
                    <w:rPr>
                      <w:b/>
                      <w:color w:val="auto"/>
                      <w:sz w:val="18"/>
                      <w:szCs w:val="18"/>
                    </w:rPr>
                    <w:t>名称</w:t>
                  </w:r>
                </w:p>
              </w:tc>
              <w:tc>
                <w:tcPr>
                  <w:tcW w:w="1090" w:type="pct"/>
                  <w:vAlign w:val="center"/>
                </w:tcPr>
                <w:p>
                  <w:pPr>
                    <w:adjustRightInd w:val="0"/>
                    <w:snapToGrid w:val="0"/>
                    <w:jc w:val="center"/>
                    <w:rPr>
                      <w:b/>
                      <w:color w:val="auto"/>
                      <w:sz w:val="18"/>
                      <w:szCs w:val="18"/>
                    </w:rPr>
                  </w:pPr>
                  <w:r>
                    <w:rPr>
                      <w:b/>
                      <w:color w:val="auto"/>
                      <w:sz w:val="18"/>
                      <w:szCs w:val="18"/>
                    </w:rPr>
                    <w:t>年用量/年产生量（t）</w:t>
                  </w:r>
                </w:p>
              </w:tc>
              <w:tc>
                <w:tcPr>
                  <w:tcW w:w="1318" w:type="pct"/>
                  <w:vAlign w:val="center"/>
                </w:tcPr>
                <w:p>
                  <w:pPr>
                    <w:adjustRightInd w:val="0"/>
                    <w:snapToGrid w:val="0"/>
                    <w:jc w:val="center"/>
                    <w:rPr>
                      <w:b/>
                      <w:color w:val="auto"/>
                      <w:sz w:val="18"/>
                      <w:szCs w:val="18"/>
                    </w:rPr>
                  </w:pPr>
                  <w:r>
                    <w:rPr>
                      <w:b/>
                      <w:color w:val="auto"/>
                      <w:sz w:val="18"/>
                      <w:szCs w:val="18"/>
                    </w:rPr>
                    <w:t>储存方式</w:t>
                  </w:r>
                </w:p>
              </w:tc>
              <w:tc>
                <w:tcPr>
                  <w:tcW w:w="862" w:type="pct"/>
                  <w:vAlign w:val="center"/>
                </w:tcPr>
                <w:p>
                  <w:pPr>
                    <w:adjustRightInd w:val="0"/>
                    <w:snapToGrid w:val="0"/>
                    <w:jc w:val="center"/>
                    <w:rPr>
                      <w:b/>
                      <w:color w:val="auto"/>
                      <w:sz w:val="18"/>
                      <w:szCs w:val="18"/>
                    </w:rPr>
                  </w:pPr>
                  <w:r>
                    <w:rPr>
                      <w:b/>
                      <w:color w:val="auto"/>
                      <w:sz w:val="18"/>
                      <w:szCs w:val="18"/>
                    </w:rPr>
                    <w:t>最大储存量（t）</w:t>
                  </w:r>
                </w:p>
              </w:tc>
              <w:tc>
                <w:tcPr>
                  <w:tcW w:w="777" w:type="pct"/>
                  <w:vAlign w:val="center"/>
                </w:tcPr>
                <w:p>
                  <w:pPr>
                    <w:adjustRightInd w:val="0"/>
                    <w:snapToGrid w:val="0"/>
                    <w:jc w:val="center"/>
                    <w:rPr>
                      <w:b/>
                      <w:color w:val="auto"/>
                      <w:sz w:val="18"/>
                      <w:szCs w:val="18"/>
                    </w:rPr>
                  </w:pPr>
                  <w:r>
                    <w:rPr>
                      <w:b/>
                      <w:color w:val="auto"/>
                      <w:sz w:val="18"/>
                      <w:szCs w:val="18"/>
                    </w:rPr>
                    <w:t>存储位置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2" w:type="pct"/>
                  <w:vAlign w:val="center"/>
                </w:tcPr>
                <w:p>
                  <w:pPr>
                    <w:adjustRightInd w:val="0"/>
                    <w:snapToGrid w:val="0"/>
                    <w:jc w:val="center"/>
                    <w:rPr>
                      <w:color w:val="auto"/>
                      <w:sz w:val="18"/>
                      <w:szCs w:val="18"/>
                    </w:rPr>
                  </w:pPr>
                  <w:r>
                    <w:rPr>
                      <w:color w:val="auto"/>
                      <w:sz w:val="18"/>
                      <w:szCs w:val="18"/>
                    </w:rPr>
                    <w:t>1</w:t>
                  </w:r>
                </w:p>
              </w:tc>
              <w:tc>
                <w:tcPr>
                  <w:tcW w:w="658" w:type="pct"/>
                  <w:vAlign w:val="center"/>
                </w:tcPr>
                <w:p>
                  <w:pPr>
                    <w:adjustRightInd w:val="0"/>
                    <w:snapToGrid w:val="0"/>
                    <w:jc w:val="center"/>
                    <w:rPr>
                      <w:color w:val="auto"/>
                      <w:sz w:val="18"/>
                      <w:szCs w:val="18"/>
                    </w:rPr>
                  </w:pPr>
                  <w:r>
                    <w:rPr>
                      <w:rFonts w:hint="eastAsia"/>
                      <w:color w:val="auto"/>
                      <w:sz w:val="18"/>
                      <w:szCs w:val="18"/>
                    </w:rPr>
                    <w:t>双二五硫化剂（2，5-二甲基-2，5-双(叔丁基过氧基)己烷）</w:t>
                  </w:r>
                </w:p>
              </w:tc>
              <w:tc>
                <w:tcPr>
                  <w:tcW w:w="1090" w:type="pct"/>
                  <w:vAlign w:val="center"/>
                </w:tcPr>
                <w:p>
                  <w:pPr>
                    <w:adjustRightInd w:val="0"/>
                    <w:snapToGrid w:val="0"/>
                    <w:jc w:val="center"/>
                    <w:rPr>
                      <w:color w:val="auto"/>
                      <w:sz w:val="18"/>
                      <w:szCs w:val="18"/>
                    </w:rPr>
                  </w:pPr>
                  <w:r>
                    <w:rPr>
                      <w:rFonts w:hint="eastAsia"/>
                      <w:color w:val="auto"/>
                      <w:sz w:val="18"/>
                      <w:szCs w:val="18"/>
                    </w:rPr>
                    <w:t>0.5</w:t>
                  </w:r>
                </w:p>
              </w:tc>
              <w:tc>
                <w:tcPr>
                  <w:tcW w:w="1318" w:type="pct"/>
                  <w:vAlign w:val="center"/>
                </w:tcPr>
                <w:p>
                  <w:pPr>
                    <w:adjustRightInd w:val="0"/>
                    <w:snapToGrid w:val="0"/>
                    <w:jc w:val="center"/>
                    <w:rPr>
                      <w:color w:val="auto"/>
                      <w:sz w:val="18"/>
                      <w:szCs w:val="18"/>
                    </w:rPr>
                  </w:pPr>
                  <w:r>
                    <w:rPr>
                      <w:rFonts w:hint="eastAsia"/>
                      <w:color w:val="auto"/>
                      <w:sz w:val="18"/>
                      <w:szCs w:val="18"/>
                    </w:rPr>
                    <w:t>包装桶</w:t>
                  </w:r>
                </w:p>
              </w:tc>
              <w:tc>
                <w:tcPr>
                  <w:tcW w:w="862" w:type="pct"/>
                  <w:vAlign w:val="center"/>
                </w:tcPr>
                <w:p>
                  <w:pPr>
                    <w:adjustRightInd w:val="0"/>
                    <w:snapToGrid w:val="0"/>
                    <w:jc w:val="center"/>
                    <w:rPr>
                      <w:color w:val="auto"/>
                      <w:sz w:val="18"/>
                      <w:szCs w:val="18"/>
                    </w:rPr>
                  </w:pPr>
                  <w:r>
                    <w:rPr>
                      <w:rFonts w:hint="eastAsia"/>
                      <w:color w:val="auto"/>
                      <w:sz w:val="18"/>
                      <w:szCs w:val="18"/>
                    </w:rPr>
                    <w:t>0.1</w:t>
                  </w:r>
                </w:p>
              </w:tc>
              <w:tc>
                <w:tcPr>
                  <w:tcW w:w="777" w:type="pct"/>
                  <w:vAlign w:val="center"/>
                </w:tcPr>
                <w:p>
                  <w:pPr>
                    <w:adjustRightInd w:val="0"/>
                    <w:snapToGrid w:val="0"/>
                    <w:jc w:val="center"/>
                    <w:rPr>
                      <w:color w:val="auto"/>
                      <w:sz w:val="18"/>
                      <w:szCs w:val="18"/>
                    </w:rPr>
                  </w:pPr>
                  <w:r>
                    <w:rPr>
                      <w:rFonts w:hint="eastAsia"/>
                      <w:color w:val="auto"/>
                      <w:sz w:val="18"/>
                      <w:szCs w:val="18"/>
                    </w:rPr>
                    <w:t>仓库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2" w:type="pct"/>
                  <w:vAlign w:val="center"/>
                </w:tcPr>
                <w:p>
                  <w:pPr>
                    <w:adjustRightInd w:val="0"/>
                    <w:snapToGrid w:val="0"/>
                    <w:jc w:val="center"/>
                    <w:rPr>
                      <w:color w:val="auto"/>
                      <w:sz w:val="18"/>
                      <w:szCs w:val="18"/>
                    </w:rPr>
                  </w:pPr>
                  <w:r>
                    <w:rPr>
                      <w:rFonts w:hint="eastAsia"/>
                      <w:color w:val="auto"/>
                      <w:sz w:val="18"/>
                      <w:szCs w:val="18"/>
                    </w:rPr>
                    <w:t>2</w:t>
                  </w:r>
                </w:p>
              </w:tc>
              <w:tc>
                <w:tcPr>
                  <w:tcW w:w="658" w:type="pct"/>
                  <w:vAlign w:val="center"/>
                </w:tcPr>
                <w:p>
                  <w:pPr>
                    <w:adjustRightInd w:val="0"/>
                    <w:snapToGrid w:val="0"/>
                    <w:jc w:val="center"/>
                    <w:rPr>
                      <w:color w:val="auto"/>
                      <w:sz w:val="18"/>
                      <w:szCs w:val="18"/>
                    </w:rPr>
                  </w:pPr>
                  <w:r>
                    <w:rPr>
                      <w:rFonts w:hint="eastAsia"/>
                      <w:color w:val="auto"/>
                      <w:sz w:val="18"/>
                      <w:szCs w:val="18"/>
                    </w:rPr>
                    <w:t>硫磺</w:t>
                  </w:r>
                </w:p>
              </w:tc>
              <w:tc>
                <w:tcPr>
                  <w:tcW w:w="1985" w:type="dxa"/>
                  <w:vAlign w:val="center"/>
                </w:tcPr>
                <w:p>
                  <w:pPr>
                    <w:adjustRightInd w:val="0"/>
                    <w:snapToGrid w:val="0"/>
                    <w:jc w:val="center"/>
                    <w:rPr>
                      <w:color w:val="auto"/>
                      <w:sz w:val="18"/>
                      <w:szCs w:val="18"/>
                    </w:rPr>
                  </w:pPr>
                  <w:r>
                    <w:rPr>
                      <w:rFonts w:hint="eastAsia"/>
                      <w:color w:val="auto"/>
                      <w:sz w:val="18"/>
                      <w:szCs w:val="18"/>
                    </w:rPr>
                    <w:t>0.5</w:t>
                  </w:r>
                </w:p>
              </w:tc>
              <w:tc>
                <w:tcPr>
                  <w:tcW w:w="2400" w:type="dxa"/>
                  <w:vAlign w:val="center"/>
                </w:tcPr>
                <w:p>
                  <w:pPr>
                    <w:adjustRightInd w:val="0"/>
                    <w:snapToGrid w:val="0"/>
                    <w:jc w:val="center"/>
                    <w:rPr>
                      <w:color w:val="auto"/>
                      <w:sz w:val="18"/>
                      <w:szCs w:val="18"/>
                    </w:rPr>
                  </w:pPr>
                  <w:r>
                    <w:rPr>
                      <w:rFonts w:hint="eastAsia"/>
                      <w:color w:val="auto"/>
                      <w:sz w:val="18"/>
                      <w:szCs w:val="18"/>
                    </w:rPr>
                    <w:t>包装桶</w:t>
                  </w:r>
                </w:p>
              </w:tc>
              <w:tc>
                <w:tcPr>
                  <w:tcW w:w="1570" w:type="dxa"/>
                  <w:vAlign w:val="center"/>
                </w:tcPr>
                <w:p>
                  <w:pPr>
                    <w:adjustRightInd w:val="0"/>
                    <w:snapToGrid w:val="0"/>
                    <w:jc w:val="center"/>
                    <w:rPr>
                      <w:color w:val="auto"/>
                      <w:sz w:val="18"/>
                      <w:szCs w:val="18"/>
                    </w:rPr>
                  </w:pPr>
                  <w:r>
                    <w:rPr>
                      <w:rFonts w:hint="eastAsia"/>
                      <w:color w:val="auto"/>
                      <w:sz w:val="18"/>
                      <w:szCs w:val="18"/>
                    </w:rPr>
                    <w:t>0.1</w:t>
                  </w:r>
                </w:p>
              </w:tc>
              <w:tc>
                <w:tcPr>
                  <w:tcW w:w="1415" w:type="dxa"/>
                  <w:vAlign w:val="center"/>
                </w:tcPr>
                <w:p>
                  <w:pPr>
                    <w:adjustRightInd w:val="0"/>
                    <w:snapToGrid w:val="0"/>
                    <w:jc w:val="center"/>
                    <w:rPr>
                      <w:color w:val="auto"/>
                      <w:sz w:val="18"/>
                      <w:szCs w:val="18"/>
                    </w:rPr>
                  </w:pPr>
                  <w:r>
                    <w:rPr>
                      <w:rFonts w:hint="eastAsia"/>
                      <w:color w:val="auto"/>
                      <w:sz w:val="18"/>
                      <w:szCs w:val="18"/>
                    </w:rPr>
                    <w:t>仓库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2" w:type="pct"/>
                  <w:vAlign w:val="center"/>
                </w:tcPr>
                <w:p>
                  <w:pPr>
                    <w:pStyle w:val="87"/>
                    <w:adjustRightInd w:val="0"/>
                    <w:snapToGrid w:val="0"/>
                    <w:spacing w:line="240" w:lineRule="auto"/>
                    <w:rPr>
                      <w:color w:val="auto"/>
                      <w:sz w:val="18"/>
                      <w:szCs w:val="18"/>
                    </w:rPr>
                  </w:pPr>
                  <w:r>
                    <w:rPr>
                      <w:rFonts w:hint="eastAsia"/>
                      <w:color w:val="auto"/>
                      <w:sz w:val="18"/>
                      <w:szCs w:val="18"/>
                    </w:rPr>
                    <w:t>3</w:t>
                  </w:r>
                </w:p>
              </w:tc>
              <w:tc>
                <w:tcPr>
                  <w:tcW w:w="658" w:type="pct"/>
                  <w:vAlign w:val="center"/>
                </w:tcPr>
                <w:p>
                  <w:pPr>
                    <w:pStyle w:val="87"/>
                    <w:adjustRightInd w:val="0"/>
                    <w:snapToGrid w:val="0"/>
                    <w:spacing w:line="240" w:lineRule="auto"/>
                    <w:rPr>
                      <w:color w:val="auto"/>
                      <w:sz w:val="18"/>
                      <w:szCs w:val="18"/>
                    </w:rPr>
                  </w:pPr>
                  <w:r>
                    <w:rPr>
                      <w:color w:val="auto"/>
                      <w:sz w:val="18"/>
                      <w:szCs w:val="18"/>
                    </w:rPr>
                    <w:t>废</w:t>
                  </w:r>
                  <w:r>
                    <w:rPr>
                      <w:rFonts w:hint="eastAsia"/>
                      <w:color w:val="auto"/>
                      <w:sz w:val="18"/>
                      <w:szCs w:val="18"/>
                    </w:rPr>
                    <w:t>活性炭</w:t>
                  </w:r>
                </w:p>
              </w:tc>
              <w:tc>
                <w:tcPr>
                  <w:tcW w:w="1090" w:type="pct"/>
                  <w:vAlign w:val="center"/>
                </w:tcPr>
                <w:p>
                  <w:pPr>
                    <w:adjustRightInd w:val="0"/>
                    <w:snapToGrid w:val="0"/>
                    <w:jc w:val="center"/>
                    <w:rPr>
                      <w:color w:val="auto"/>
                      <w:sz w:val="18"/>
                      <w:szCs w:val="18"/>
                    </w:rPr>
                  </w:pPr>
                  <w:r>
                    <w:rPr>
                      <w:rFonts w:hint="eastAsia"/>
                      <w:color w:val="auto"/>
                      <w:sz w:val="18"/>
                      <w:szCs w:val="18"/>
                    </w:rPr>
                    <w:t>1.6456</w:t>
                  </w:r>
                </w:p>
              </w:tc>
              <w:tc>
                <w:tcPr>
                  <w:tcW w:w="1318" w:type="pct"/>
                  <w:vAlign w:val="center"/>
                </w:tcPr>
                <w:p>
                  <w:pPr>
                    <w:adjustRightInd w:val="0"/>
                    <w:snapToGrid w:val="0"/>
                    <w:jc w:val="center"/>
                    <w:rPr>
                      <w:color w:val="auto"/>
                      <w:sz w:val="18"/>
                      <w:szCs w:val="18"/>
                    </w:rPr>
                  </w:pPr>
                  <w:r>
                    <w:rPr>
                      <w:rFonts w:hint="eastAsia"/>
                      <w:color w:val="auto"/>
                      <w:sz w:val="18"/>
                      <w:szCs w:val="18"/>
                    </w:rPr>
                    <w:t>吨袋</w:t>
                  </w:r>
                </w:p>
              </w:tc>
              <w:tc>
                <w:tcPr>
                  <w:tcW w:w="862" w:type="pct"/>
                  <w:vAlign w:val="center"/>
                </w:tcPr>
                <w:p>
                  <w:pPr>
                    <w:adjustRightInd w:val="0"/>
                    <w:snapToGrid w:val="0"/>
                    <w:jc w:val="center"/>
                    <w:rPr>
                      <w:color w:val="auto"/>
                      <w:sz w:val="18"/>
                      <w:szCs w:val="18"/>
                    </w:rPr>
                  </w:pPr>
                  <w:r>
                    <w:rPr>
                      <w:rFonts w:hint="eastAsia"/>
                      <w:color w:val="auto"/>
                      <w:sz w:val="18"/>
                      <w:szCs w:val="18"/>
                    </w:rPr>
                    <w:t>2</w:t>
                  </w:r>
                </w:p>
              </w:tc>
              <w:tc>
                <w:tcPr>
                  <w:tcW w:w="777" w:type="pct"/>
                  <w:vAlign w:val="center"/>
                </w:tcPr>
                <w:p>
                  <w:pPr>
                    <w:adjustRightInd w:val="0"/>
                    <w:snapToGrid w:val="0"/>
                    <w:jc w:val="center"/>
                    <w:rPr>
                      <w:color w:val="auto"/>
                      <w:sz w:val="18"/>
                      <w:szCs w:val="18"/>
                    </w:rPr>
                  </w:pPr>
                  <w:r>
                    <w:rPr>
                      <w:rFonts w:hint="eastAsia"/>
                      <w:color w:val="auto"/>
                      <w:sz w:val="18"/>
                      <w:szCs w:val="18"/>
                    </w:rPr>
                    <w:t>危废仓库</w:t>
                  </w:r>
                </w:p>
              </w:tc>
            </w:tr>
            <w:bookmarkEnd w:id="15"/>
          </w:tbl>
          <w:p>
            <w:pPr>
              <w:adjustRightInd w:val="0"/>
              <w:snapToGrid w:val="0"/>
              <w:spacing w:before="120" w:beforeLines="50" w:line="360" w:lineRule="auto"/>
              <w:ind w:firstLine="420" w:firstLineChars="200"/>
              <w:rPr>
                <w:color w:val="auto"/>
                <w:szCs w:val="21"/>
              </w:rPr>
            </w:pPr>
            <w:r>
              <w:rPr>
                <w:color w:val="auto"/>
                <w:szCs w:val="21"/>
              </w:rPr>
              <w:t>（2）风险潜势初判</w:t>
            </w:r>
          </w:p>
          <w:p>
            <w:pPr>
              <w:spacing w:line="360" w:lineRule="auto"/>
              <w:ind w:firstLine="420" w:firstLineChars="200"/>
              <w:rPr>
                <w:color w:val="auto"/>
                <w:szCs w:val="21"/>
              </w:rPr>
            </w:pPr>
            <w:r>
              <w:rPr>
                <w:color w:val="auto"/>
                <w:szCs w:val="21"/>
              </w:rPr>
              <w:t>根据《建设项目环境风险评价技术导则》（HJ169-2018），对照附录C，计算本项目所涉及的每种危险物质在厂界内的最大存在总量与其在附录B中对应临界量的比值Q。当只涉及一种危险物质时，计算该物质的总量与其临界量比值，即为Q；当存在多种危险物质时，则按式（C.1）计算物质总量与其临界量比值（Q）；</w:t>
            </w:r>
          </w:p>
          <w:p>
            <w:pPr>
              <w:adjustRightInd w:val="0"/>
              <w:snapToGrid w:val="0"/>
              <w:spacing w:line="360" w:lineRule="auto"/>
              <w:jc w:val="center"/>
              <w:rPr>
                <w:color w:val="auto"/>
                <w:szCs w:val="21"/>
              </w:rPr>
            </w:pPr>
            <w:r>
              <w:rPr>
                <w:color w:val="auto"/>
                <w:szCs w:val="21"/>
              </w:rPr>
              <w:drawing>
                <wp:inline distT="0" distB="0" distL="0" distR="0">
                  <wp:extent cx="1438910" cy="48514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438910" cy="485140"/>
                          </a:xfrm>
                          <a:prstGeom prst="rect">
                            <a:avLst/>
                          </a:prstGeom>
                          <a:noFill/>
                          <a:ln>
                            <a:noFill/>
                          </a:ln>
                        </pic:spPr>
                      </pic:pic>
                    </a:graphicData>
                  </a:graphic>
                </wp:inline>
              </w:drawing>
            </w:r>
          </w:p>
          <w:p>
            <w:pPr>
              <w:spacing w:line="360" w:lineRule="auto"/>
              <w:ind w:firstLine="420" w:firstLineChars="200"/>
              <w:rPr>
                <w:color w:val="auto"/>
                <w:szCs w:val="21"/>
              </w:rPr>
            </w:pPr>
            <w:r>
              <w:rPr>
                <w:color w:val="auto"/>
                <w:szCs w:val="21"/>
              </w:rPr>
              <w:t>式中：q</w:t>
            </w:r>
            <w:r>
              <w:rPr>
                <w:color w:val="auto"/>
                <w:szCs w:val="21"/>
                <w:vertAlign w:val="subscript"/>
              </w:rPr>
              <w:t>1</w:t>
            </w:r>
            <w:r>
              <w:rPr>
                <w:color w:val="auto"/>
                <w:szCs w:val="21"/>
              </w:rPr>
              <w:t>，q</w:t>
            </w:r>
            <w:r>
              <w:rPr>
                <w:color w:val="auto"/>
                <w:szCs w:val="21"/>
                <w:vertAlign w:val="subscript"/>
              </w:rPr>
              <w:t>2</w:t>
            </w:r>
            <w:r>
              <w:rPr>
                <w:color w:val="auto"/>
                <w:szCs w:val="21"/>
              </w:rPr>
              <w:t>，...，q</w:t>
            </w:r>
            <w:r>
              <w:rPr>
                <w:color w:val="auto"/>
                <w:szCs w:val="21"/>
                <w:vertAlign w:val="subscript"/>
              </w:rPr>
              <w:t>n</w:t>
            </w:r>
            <w:r>
              <w:rPr>
                <w:color w:val="auto"/>
                <w:szCs w:val="21"/>
              </w:rPr>
              <w:t>——每种危险物质的最大存在总量，t；</w:t>
            </w:r>
          </w:p>
          <w:p>
            <w:pPr>
              <w:spacing w:line="360" w:lineRule="auto"/>
              <w:ind w:firstLine="1050" w:firstLineChars="500"/>
              <w:rPr>
                <w:color w:val="auto"/>
                <w:szCs w:val="21"/>
              </w:rPr>
            </w:pPr>
            <w:r>
              <w:rPr>
                <w:color w:val="auto"/>
                <w:szCs w:val="21"/>
              </w:rPr>
              <w:t>Q</w:t>
            </w:r>
            <w:r>
              <w:rPr>
                <w:color w:val="auto"/>
                <w:szCs w:val="21"/>
                <w:vertAlign w:val="subscript"/>
              </w:rPr>
              <w:t>1</w:t>
            </w:r>
            <w:r>
              <w:rPr>
                <w:color w:val="auto"/>
                <w:szCs w:val="21"/>
              </w:rPr>
              <w:t>，Q</w:t>
            </w:r>
            <w:r>
              <w:rPr>
                <w:color w:val="auto"/>
                <w:szCs w:val="21"/>
                <w:vertAlign w:val="subscript"/>
              </w:rPr>
              <w:t>2</w:t>
            </w:r>
            <w:r>
              <w:rPr>
                <w:color w:val="auto"/>
                <w:szCs w:val="21"/>
              </w:rPr>
              <w:t>，...，Q</w:t>
            </w:r>
            <w:r>
              <w:rPr>
                <w:color w:val="auto"/>
                <w:szCs w:val="21"/>
                <w:vertAlign w:val="subscript"/>
              </w:rPr>
              <w:t>n</w:t>
            </w:r>
            <w:r>
              <w:rPr>
                <w:color w:val="auto"/>
                <w:szCs w:val="21"/>
              </w:rPr>
              <w:t>——每种危险物质的临界量，t。</w:t>
            </w:r>
          </w:p>
          <w:p>
            <w:pPr>
              <w:spacing w:line="360" w:lineRule="auto"/>
              <w:ind w:firstLine="1050" w:firstLineChars="500"/>
              <w:rPr>
                <w:color w:val="auto"/>
                <w:szCs w:val="21"/>
              </w:rPr>
            </w:pPr>
            <w:r>
              <w:rPr>
                <w:color w:val="auto"/>
                <w:szCs w:val="21"/>
              </w:rPr>
              <w:t>当Q＜1时，该项目环境风险潜势为1。</w:t>
            </w:r>
          </w:p>
          <w:p>
            <w:pPr>
              <w:spacing w:line="360" w:lineRule="auto"/>
              <w:ind w:firstLine="1050" w:firstLineChars="500"/>
              <w:rPr>
                <w:color w:val="auto"/>
                <w:szCs w:val="21"/>
              </w:rPr>
            </w:pPr>
            <w:r>
              <w:rPr>
                <w:color w:val="auto"/>
                <w:szCs w:val="21"/>
              </w:rPr>
              <w:t>当Q≥1时，将Q值划分为：（1）1≤Q＜10；（2）10≤Q＜100；（3）Q≥100。</w:t>
            </w:r>
          </w:p>
          <w:p>
            <w:pPr>
              <w:spacing w:line="360" w:lineRule="auto"/>
              <w:ind w:firstLine="420" w:firstLineChars="200"/>
              <w:rPr>
                <w:color w:val="auto"/>
                <w:szCs w:val="21"/>
              </w:rPr>
            </w:pPr>
            <w:r>
              <w:rPr>
                <w:color w:val="auto"/>
                <w:szCs w:val="21"/>
              </w:rPr>
              <w:t>对照《建设项目环境风险评价技术导则》（HJ169-2018）附录B，《危险化学品重大危险源辨识》（GB18218-2018）、《企业突发环境事件风险分级方法》（HJ941-2018）附录A，本项目各物质的临界量计算如下表4-2</w:t>
            </w:r>
            <w:r>
              <w:rPr>
                <w:rFonts w:hint="eastAsia"/>
                <w:color w:val="auto"/>
                <w:szCs w:val="21"/>
              </w:rPr>
              <w:t>9</w:t>
            </w:r>
            <w:r>
              <w:rPr>
                <w:color w:val="auto"/>
                <w:szCs w:val="21"/>
              </w:rPr>
              <w:t>。</w:t>
            </w:r>
          </w:p>
          <w:p>
            <w:pPr>
              <w:adjustRightInd w:val="0"/>
              <w:snapToGrid w:val="0"/>
              <w:jc w:val="center"/>
              <w:rPr>
                <w:b/>
                <w:color w:val="auto"/>
                <w:szCs w:val="21"/>
              </w:rPr>
            </w:pPr>
            <w:r>
              <w:rPr>
                <w:b/>
                <w:color w:val="auto"/>
                <w:szCs w:val="21"/>
              </w:rPr>
              <w:t>表4-2</w:t>
            </w:r>
            <w:r>
              <w:rPr>
                <w:rFonts w:hint="eastAsia"/>
                <w:b/>
                <w:color w:val="auto"/>
                <w:szCs w:val="21"/>
              </w:rPr>
              <w:t>9</w:t>
            </w:r>
            <w:r>
              <w:rPr>
                <w:b/>
                <w:color w:val="auto"/>
                <w:szCs w:val="21"/>
              </w:rPr>
              <w:t xml:space="preserve"> 涉及的主要物质的最大储存量和辨识情况</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126"/>
              <w:gridCol w:w="2319"/>
              <w:gridCol w:w="1820"/>
              <w:gridCol w:w="198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5" w:type="pct"/>
                  <w:vAlign w:val="center"/>
                </w:tcPr>
                <w:p>
                  <w:pPr>
                    <w:adjustRightInd w:val="0"/>
                    <w:snapToGrid w:val="0"/>
                    <w:spacing w:line="240" w:lineRule="atLeast"/>
                    <w:jc w:val="center"/>
                    <w:rPr>
                      <w:b/>
                      <w:color w:val="auto"/>
                      <w:sz w:val="18"/>
                      <w:szCs w:val="18"/>
                    </w:rPr>
                  </w:pPr>
                  <w:r>
                    <w:rPr>
                      <w:b/>
                      <w:color w:val="auto"/>
                      <w:sz w:val="18"/>
                      <w:szCs w:val="18"/>
                    </w:rPr>
                    <w:t>编号</w:t>
                  </w:r>
                </w:p>
              </w:tc>
              <w:tc>
                <w:tcPr>
                  <w:tcW w:w="1168" w:type="pct"/>
                  <w:vAlign w:val="center"/>
                </w:tcPr>
                <w:p>
                  <w:pPr>
                    <w:adjustRightInd w:val="0"/>
                    <w:snapToGrid w:val="0"/>
                    <w:spacing w:line="240" w:lineRule="atLeast"/>
                    <w:jc w:val="center"/>
                    <w:rPr>
                      <w:b/>
                      <w:color w:val="auto"/>
                      <w:sz w:val="18"/>
                      <w:szCs w:val="18"/>
                    </w:rPr>
                  </w:pPr>
                  <w:r>
                    <w:rPr>
                      <w:b/>
                      <w:color w:val="auto"/>
                      <w:sz w:val="18"/>
                      <w:szCs w:val="18"/>
                    </w:rPr>
                    <w:t>名称</w:t>
                  </w:r>
                </w:p>
              </w:tc>
              <w:tc>
                <w:tcPr>
                  <w:tcW w:w="1274" w:type="pct"/>
                  <w:vAlign w:val="center"/>
                </w:tcPr>
                <w:p>
                  <w:pPr>
                    <w:adjustRightInd w:val="0"/>
                    <w:snapToGrid w:val="0"/>
                    <w:spacing w:line="240" w:lineRule="atLeast"/>
                    <w:jc w:val="center"/>
                    <w:rPr>
                      <w:b/>
                      <w:color w:val="auto"/>
                      <w:sz w:val="18"/>
                      <w:szCs w:val="18"/>
                    </w:rPr>
                  </w:pPr>
                  <w:r>
                    <w:rPr>
                      <w:b/>
                      <w:color w:val="auto"/>
                      <w:sz w:val="18"/>
                      <w:szCs w:val="18"/>
                    </w:rPr>
                    <w:t>单元最大储存量（t）q</w:t>
                  </w:r>
                  <w:r>
                    <w:rPr>
                      <w:b/>
                      <w:color w:val="auto"/>
                      <w:sz w:val="18"/>
                      <w:szCs w:val="18"/>
                      <w:vertAlign w:val="subscript"/>
                    </w:rPr>
                    <w:t>n</w:t>
                  </w:r>
                </w:p>
              </w:tc>
              <w:tc>
                <w:tcPr>
                  <w:tcW w:w="997" w:type="pct"/>
                  <w:vAlign w:val="center"/>
                </w:tcPr>
                <w:p>
                  <w:pPr>
                    <w:adjustRightInd w:val="0"/>
                    <w:snapToGrid w:val="0"/>
                    <w:spacing w:line="240" w:lineRule="atLeast"/>
                    <w:jc w:val="center"/>
                    <w:rPr>
                      <w:b/>
                      <w:color w:val="auto"/>
                      <w:sz w:val="18"/>
                      <w:szCs w:val="18"/>
                    </w:rPr>
                  </w:pPr>
                  <w:r>
                    <w:rPr>
                      <w:b/>
                      <w:color w:val="auto"/>
                      <w:sz w:val="18"/>
                      <w:szCs w:val="18"/>
                    </w:rPr>
                    <w:t>临界量（t）Q</w:t>
                  </w:r>
                  <w:r>
                    <w:rPr>
                      <w:b/>
                      <w:color w:val="auto"/>
                      <w:sz w:val="18"/>
                      <w:szCs w:val="18"/>
                      <w:vertAlign w:val="subscript"/>
                    </w:rPr>
                    <w:t>n</w:t>
                  </w:r>
                </w:p>
              </w:tc>
              <w:tc>
                <w:tcPr>
                  <w:tcW w:w="1092" w:type="pct"/>
                  <w:vAlign w:val="center"/>
                </w:tcPr>
                <w:p>
                  <w:pPr>
                    <w:adjustRightInd w:val="0"/>
                    <w:snapToGrid w:val="0"/>
                    <w:spacing w:line="240" w:lineRule="atLeast"/>
                    <w:jc w:val="center"/>
                    <w:rPr>
                      <w:b/>
                      <w:color w:val="auto"/>
                      <w:sz w:val="18"/>
                      <w:szCs w:val="18"/>
                    </w:rPr>
                  </w:pPr>
                  <w:r>
                    <w:rPr>
                      <w:b/>
                      <w:color w:val="auto"/>
                      <w:sz w:val="18"/>
                      <w:szCs w:val="18"/>
                    </w:rPr>
                    <w:t>q</w:t>
                  </w:r>
                  <w:r>
                    <w:rPr>
                      <w:b/>
                      <w:color w:val="auto"/>
                      <w:sz w:val="18"/>
                      <w:szCs w:val="18"/>
                      <w:vertAlign w:val="subscript"/>
                    </w:rPr>
                    <w:t>n</w:t>
                  </w:r>
                  <w:r>
                    <w:rPr>
                      <w:b/>
                      <w:color w:val="auto"/>
                      <w:sz w:val="18"/>
                      <w:szCs w:val="18"/>
                    </w:rPr>
                    <w:t>/Q</w:t>
                  </w:r>
                  <w:r>
                    <w:rPr>
                      <w:b/>
                      <w:color w:val="auto"/>
                      <w:sz w:val="18"/>
                      <w:szCs w:val="18"/>
                      <w:vertAlign w:val="subscript"/>
                    </w:rPr>
                    <w:t>n</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465" w:type="pct"/>
                  <w:vAlign w:val="center"/>
                </w:tcPr>
                <w:p>
                  <w:pPr>
                    <w:spacing w:line="240" w:lineRule="atLeast"/>
                    <w:jc w:val="center"/>
                    <w:rPr>
                      <w:color w:val="auto"/>
                      <w:sz w:val="18"/>
                      <w:szCs w:val="18"/>
                    </w:rPr>
                  </w:pPr>
                  <w:r>
                    <w:rPr>
                      <w:color w:val="auto"/>
                      <w:sz w:val="18"/>
                      <w:szCs w:val="18"/>
                    </w:rPr>
                    <w:t>1</w:t>
                  </w:r>
                </w:p>
              </w:tc>
              <w:tc>
                <w:tcPr>
                  <w:tcW w:w="2126" w:type="dxa"/>
                  <w:vAlign w:val="center"/>
                </w:tcPr>
                <w:p>
                  <w:pPr>
                    <w:adjustRightInd w:val="0"/>
                    <w:snapToGrid w:val="0"/>
                    <w:jc w:val="center"/>
                    <w:rPr>
                      <w:color w:val="auto"/>
                      <w:sz w:val="18"/>
                      <w:szCs w:val="18"/>
                    </w:rPr>
                  </w:pPr>
                  <w:r>
                    <w:rPr>
                      <w:rFonts w:hint="eastAsia"/>
                      <w:color w:val="auto"/>
                      <w:sz w:val="18"/>
                      <w:szCs w:val="18"/>
                    </w:rPr>
                    <w:t>双二五</w:t>
                  </w:r>
                </w:p>
              </w:tc>
              <w:tc>
                <w:tcPr>
                  <w:tcW w:w="2320" w:type="dxa"/>
                  <w:vAlign w:val="center"/>
                </w:tcPr>
                <w:p>
                  <w:pPr>
                    <w:adjustRightInd w:val="0"/>
                    <w:snapToGrid w:val="0"/>
                    <w:jc w:val="center"/>
                    <w:rPr>
                      <w:color w:val="auto"/>
                      <w:sz w:val="18"/>
                      <w:szCs w:val="18"/>
                    </w:rPr>
                  </w:pPr>
                  <w:r>
                    <w:rPr>
                      <w:rFonts w:hint="eastAsia"/>
                      <w:color w:val="auto"/>
                      <w:sz w:val="18"/>
                      <w:szCs w:val="18"/>
                    </w:rPr>
                    <w:t>0.1</w:t>
                  </w:r>
                </w:p>
              </w:tc>
              <w:tc>
                <w:tcPr>
                  <w:tcW w:w="997" w:type="pct"/>
                  <w:vAlign w:val="center"/>
                </w:tcPr>
                <w:p>
                  <w:pPr>
                    <w:adjustRightInd w:val="0"/>
                    <w:snapToGrid w:val="0"/>
                    <w:spacing w:line="240" w:lineRule="atLeast"/>
                    <w:jc w:val="center"/>
                    <w:rPr>
                      <w:color w:val="auto"/>
                      <w:sz w:val="18"/>
                      <w:szCs w:val="18"/>
                    </w:rPr>
                  </w:pPr>
                  <w:r>
                    <w:rPr>
                      <w:rFonts w:hint="eastAsia"/>
                      <w:color w:val="auto"/>
                      <w:sz w:val="18"/>
                      <w:szCs w:val="18"/>
                    </w:rPr>
                    <w:t>50</w:t>
                  </w:r>
                </w:p>
              </w:tc>
              <w:tc>
                <w:tcPr>
                  <w:tcW w:w="1989" w:type="dxa"/>
                  <w:vAlign w:val="center"/>
                </w:tcPr>
                <w:p>
                  <w:pPr>
                    <w:adjustRightInd w:val="0"/>
                    <w:snapToGrid w:val="0"/>
                    <w:spacing w:line="240" w:lineRule="atLeast"/>
                    <w:jc w:val="center"/>
                    <w:rPr>
                      <w:color w:val="auto"/>
                      <w:sz w:val="18"/>
                      <w:szCs w:val="18"/>
                    </w:rPr>
                  </w:pPr>
                  <w:r>
                    <w:rPr>
                      <w:color w:val="auto"/>
                      <w:sz w:val="18"/>
                      <w:szCs w:val="18"/>
                    </w:rPr>
                    <w:t>0.002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5" w:type="pct"/>
                  <w:vAlign w:val="center"/>
                </w:tcPr>
                <w:p>
                  <w:pPr>
                    <w:spacing w:line="240" w:lineRule="atLeast"/>
                    <w:jc w:val="center"/>
                    <w:rPr>
                      <w:color w:val="auto"/>
                      <w:sz w:val="18"/>
                      <w:szCs w:val="18"/>
                    </w:rPr>
                  </w:pPr>
                  <w:r>
                    <w:rPr>
                      <w:rFonts w:hint="eastAsia"/>
                      <w:color w:val="auto"/>
                      <w:sz w:val="18"/>
                      <w:szCs w:val="18"/>
                    </w:rPr>
                    <w:t>2</w:t>
                  </w:r>
                </w:p>
              </w:tc>
              <w:tc>
                <w:tcPr>
                  <w:tcW w:w="2126" w:type="dxa"/>
                  <w:vAlign w:val="center"/>
                </w:tcPr>
                <w:p>
                  <w:pPr>
                    <w:adjustRightInd w:val="0"/>
                    <w:snapToGrid w:val="0"/>
                    <w:jc w:val="center"/>
                    <w:rPr>
                      <w:color w:val="auto"/>
                      <w:sz w:val="18"/>
                      <w:szCs w:val="18"/>
                    </w:rPr>
                  </w:pPr>
                  <w:r>
                    <w:rPr>
                      <w:rFonts w:hint="eastAsia"/>
                      <w:color w:val="auto"/>
                      <w:sz w:val="18"/>
                      <w:szCs w:val="18"/>
                    </w:rPr>
                    <w:t>硫磺</w:t>
                  </w:r>
                </w:p>
              </w:tc>
              <w:tc>
                <w:tcPr>
                  <w:tcW w:w="2320" w:type="dxa"/>
                  <w:vAlign w:val="center"/>
                </w:tcPr>
                <w:p>
                  <w:pPr>
                    <w:adjustRightInd w:val="0"/>
                    <w:snapToGrid w:val="0"/>
                    <w:jc w:val="center"/>
                    <w:rPr>
                      <w:color w:val="auto"/>
                      <w:sz w:val="18"/>
                      <w:szCs w:val="18"/>
                    </w:rPr>
                  </w:pPr>
                  <w:r>
                    <w:rPr>
                      <w:rFonts w:hint="eastAsia"/>
                      <w:color w:val="auto"/>
                      <w:sz w:val="18"/>
                      <w:szCs w:val="18"/>
                    </w:rPr>
                    <w:t>0.1</w:t>
                  </w:r>
                </w:p>
              </w:tc>
              <w:tc>
                <w:tcPr>
                  <w:tcW w:w="997" w:type="pct"/>
                  <w:vAlign w:val="center"/>
                </w:tcPr>
                <w:p>
                  <w:pPr>
                    <w:adjustRightInd w:val="0"/>
                    <w:snapToGrid w:val="0"/>
                    <w:spacing w:line="240" w:lineRule="atLeast"/>
                    <w:jc w:val="center"/>
                    <w:rPr>
                      <w:color w:val="auto"/>
                      <w:sz w:val="18"/>
                      <w:szCs w:val="18"/>
                    </w:rPr>
                  </w:pPr>
                  <w:r>
                    <w:rPr>
                      <w:rFonts w:hint="eastAsia"/>
                      <w:color w:val="auto"/>
                      <w:sz w:val="18"/>
                      <w:szCs w:val="18"/>
                    </w:rPr>
                    <w:t>10</w:t>
                  </w:r>
                </w:p>
              </w:tc>
              <w:tc>
                <w:tcPr>
                  <w:tcW w:w="1989" w:type="dxa"/>
                  <w:vAlign w:val="center"/>
                </w:tcPr>
                <w:p>
                  <w:pPr>
                    <w:adjustRightInd w:val="0"/>
                    <w:snapToGrid w:val="0"/>
                    <w:spacing w:line="240" w:lineRule="atLeast"/>
                    <w:jc w:val="center"/>
                    <w:rPr>
                      <w:color w:val="auto"/>
                      <w:sz w:val="18"/>
                      <w:szCs w:val="18"/>
                    </w:rPr>
                  </w:pPr>
                  <w:r>
                    <w:rPr>
                      <w:rFonts w:hint="eastAsia"/>
                      <w:color w:val="auto"/>
                      <w:sz w:val="18"/>
                      <w:szCs w:val="18"/>
                    </w:rPr>
                    <w:t>0.01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65" w:type="pct"/>
                  <w:vAlign w:val="center"/>
                </w:tcPr>
                <w:p>
                  <w:pPr>
                    <w:spacing w:line="240" w:lineRule="atLeast"/>
                    <w:jc w:val="center"/>
                    <w:rPr>
                      <w:color w:val="auto"/>
                      <w:sz w:val="18"/>
                      <w:szCs w:val="18"/>
                    </w:rPr>
                  </w:pPr>
                  <w:r>
                    <w:rPr>
                      <w:rFonts w:hint="eastAsia"/>
                      <w:color w:val="auto"/>
                      <w:sz w:val="18"/>
                      <w:szCs w:val="18"/>
                    </w:rPr>
                    <w:t>3</w:t>
                  </w:r>
                </w:p>
              </w:tc>
              <w:tc>
                <w:tcPr>
                  <w:tcW w:w="2126" w:type="dxa"/>
                  <w:vAlign w:val="center"/>
                </w:tcPr>
                <w:p>
                  <w:pPr>
                    <w:pStyle w:val="87"/>
                    <w:adjustRightInd w:val="0"/>
                    <w:snapToGrid w:val="0"/>
                    <w:spacing w:line="240" w:lineRule="auto"/>
                    <w:rPr>
                      <w:color w:val="auto"/>
                      <w:sz w:val="18"/>
                      <w:szCs w:val="18"/>
                    </w:rPr>
                  </w:pPr>
                  <w:r>
                    <w:rPr>
                      <w:color w:val="auto"/>
                      <w:sz w:val="18"/>
                      <w:szCs w:val="18"/>
                    </w:rPr>
                    <w:t>废</w:t>
                  </w:r>
                  <w:r>
                    <w:rPr>
                      <w:rFonts w:hint="eastAsia"/>
                      <w:color w:val="auto"/>
                      <w:sz w:val="18"/>
                      <w:szCs w:val="18"/>
                    </w:rPr>
                    <w:t>活性炭</w:t>
                  </w:r>
                </w:p>
              </w:tc>
              <w:tc>
                <w:tcPr>
                  <w:tcW w:w="2320" w:type="dxa"/>
                  <w:vAlign w:val="center"/>
                </w:tcPr>
                <w:p>
                  <w:pPr>
                    <w:adjustRightInd w:val="0"/>
                    <w:snapToGrid w:val="0"/>
                    <w:jc w:val="center"/>
                    <w:rPr>
                      <w:color w:val="auto"/>
                      <w:sz w:val="18"/>
                      <w:szCs w:val="18"/>
                    </w:rPr>
                  </w:pPr>
                  <w:r>
                    <w:rPr>
                      <w:rFonts w:hint="eastAsia"/>
                      <w:color w:val="auto"/>
                      <w:sz w:val="18"/>
                      <w:szCs w:val="18"/>
                    </w:rPr>
                    <w:t>2</w:t>
                  </w:r>
                </w:p>
              </w:tc>
              <w:tc>
                <w:tcPr>
                  <w:tcW w:w="997" w:type="pct"/>
                  <w:vAlign w:val="center"/>
                </w:tcPr>
                <w:p>
                  <w:pPr>
                    <w:adjustRightInd w:val="0"/>
                    <w:snapToGrid w:val="0"/>
                    <w:spacing w:line="240" w:lineRule="atLeast"/>
                    <w:jc w:val="center"/>
                    <w:rPr>
                      <w:color w:val="auto"/>
                      <w:sz w:val="18"/>
                      <w:szCs w:val="18"/>
                    </w:rPr>
                  </w:pPr>
                  <w:r>
                    <w:rPr>
                      <w:rFonts w:hint="eastAsia"/>
                      <w:color w:val="auto"/>
                      <w:sz w:val="18"/>
                      <w:szCs w:val="18"/>
                    </w:rPr>
                    <w:t>50</w:t>
                  </w:r>
                  <w:r>
                    <w:rPr>
                      <w:color w:val="auto"/>
                      <w:sz w:val="18"/>
                      <w:szCs w:val="18"/>
                      <w:vertAlign w:val="superscript"/>
                    </w:rPr>
                    <w:t>[1]</w:t>
                  </w:r>
                </w:p>
              </w:tc>
              <w:tc>
                <w:tcPr>
                  <w:tcW w:w="1989" w:type="dxa"/>
                  <w:vAlign w:val="center"/>
                </w:tcPr>
                <w:p>
                  <w:pPr>
                    <w:adjustRightInd w:val="0"/>
                    <w:snapToGrid w:val="0"/>
                    <w:spacing w:line="240" w:lineRule="atLeast"/>
                    <w:jc w:val="center"/>
                    <w:rPr>
                      <w:color w:val="auto"/>
                      <w:sz w:val="18"/>
                      <w:szCs w:val="18"/>
                    </w:rPr>
                  </w:pPr>
                  <w:r>
                    <w:rPr>
                      <w:color w:val="auto"/>
                      <w:sz w:val="18"/>
                      <w:szCs w:val="18"/>
                    </w:rPr>
                    <w:t>0.04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7" w:type="pct"/>
                  <w:gridSpan w:val="4"/>
                  <w:vAlign w:val="center"/>
                </w:tcPr>
                <w:p>
                  <w:pPr>
                    <w:spacing w:line="240" w:lineRule="atLeast"/>
                    <w:jc w:val="center"/>
                    <w:rPr>
                      <w:bCs/>
                      <w:color w:val="auto"/>
                      <w:sz w:val="18"/>
                      <w:szCs w:val="18"/>
                    </w:rPr>
                  </w:pPr>
                  <w:r>
                    <w:rPr>
                      <w:bCs/>
                      <w:color w:val="auto"/>
                      <w:sz w:val="18"/>
                      <w:szCs w:val="18"/>
                    </w:rPr>
                    <w:t>Q=∑q</w:t>
                  </w:r>
                  <w:r>
                    <w:rPr>
                      <w:bCs/>
                      <w:color w:val="auto"/>
                      <w:sz w:val="18"/>
                      <w:szCs w:val="18"/>
                      <w:vertAlign w:val="subscript"/>
                    </w:rPr>
                    <w:t>n</w:t>
                  </w:r>
                  <w:r>
                    <w:rPr>
                      <w:bCs/>
                      <w:color w:val="auto"/>
                      <w:sz w:val="18"/>
                      <w:szCs w:val="18"/>
                    </w:rPr>
                    <w:t>/Q</w:t>
                  </w:r>
                  <w:r>
                    <w:rPr>
                      <w:bCs/>
                      <w:color w:val="auto"/>
                      <w:sz w:val="18"/>
                      <w:szCs w:val="18"/>
                      <w:vertAlign w:val="subscript"/>
                    </w:rPr>
                    <w:t>n</w:t>
                  </w:r>
                </w:p>
              </w:tc>
              <w:tc>
                <w:tcPr>
                  <w:tcW w:w="1989" w:type="dxa"/>
                  <w:vAlign w:val="center"/>
                </w:tcPr>
                <w:p>
                  <w:pPr>
                    <w:adjustRightInd w:val="0"/>
                    <w:snapToGrid w:val="0"/>
                    <w:spacing w:line="240" w:lineRule="atLeast"/>
                    <w:jc w:val="center"/>
                    <w:rPr>
                      <w:color w:val="auto"/>
                      <w:sz w:val="18"/>
                      <w:szCs w:val="18"/>
                    </w:rPr>
                  </w:pPr>
                  <w:r>
                    <w:rPr>
                      <w:rFonts w:hint="eastAsia"/>
                      <w:color w:val="auto"/>
                      <w:sz w:val="18"/>
                      <w:szCs w:val="18"/>
                    </w:rPr>
                    <w:t>0.052</w:t>
                  </w:r>
                </w:p>
              </w:tc>
            </w:tr>
          </w:tbl>
          <w:p>
            <w:pPr>
              <w:pStyle w:val="114"/>
              <w:spacing w:line="240" w:lineRule="auto"/>
              <w:ind w:firstLine="360"/>
              <w:rPr>
                <w:color w:val="auto"/>
                <w:sz w:val="18"/>
                <w:szCs w:val="18"/>
              </w:rPr>
            </w:pPr>
            <w:r>
              <w:rPr>
                <w:color w:val="auto"/>
                <w:sz w:val="18"/>
                <w:szCs w:val="18"/>
              </w:rPr>
              <w:t>注：[1]</w:t>
            </w:r>
            <w:r>
              <w:rPr>
                <w:rFonts w:hint="eastAsia"/>
                <w:color w:val="auto"/>
                <w:sz w:val="18"/>
                <w:szCs w:val="18"/>
              </w:rPr>
              <w:t>危废</w:t>
            </w:r>
            <w:r>
              <w:rPr>
                <w:color w:val="auto"/>
                <w:sz w:val="18"/>
                <w:szCs w:val="18"/>
              </w:rPr>
              <w:t>临界量参考健康危险急性毒性物质（类别2，类别3），取50t。</w:t>
            </w:r>
          </w:p>
          <w:p>
            <w:pPr>
              <w:pStyle w:val="114"/>
              <w:spacing w:before="120" w:beforeLines="50"/>
              <w:ind w:firstLine="420"/>
              <w:rPr>
                <w:color w:val="auto"/>
                <w:sz w:val="21"/>
                <w:szCs w:val="21"/>
              </w:rPr>
            </w:pPr>
            <w:r>
              <w:rPr>
                <w:color w:val="auto"/>
                <w:sz w:val="21"/>
                <w:szCs w:val="21"/>
              </w:rPr>
              <w:t>由上表可知，本项目危险物质总量与其临界量比值Q=0.</w:t>
            </w:r>
            <w:r>
              <w:rPr>
                <w:rFonts w:hint="eastAsia"/>
                <w:color w:val="auto"/>
                <w:sz w:val="21"/>
                <w:szCs w:val="21"/>
                <w:lang w:val="en-US"/>
              </w:rPr>
              <w:t>052</w:t>
            </w:r>
            <w:r>
              <w:rPr>
                <w:color w:val="auto"/>
                <w:sz w:val="21"/>
                <w:szCs w:val="21"/>
              </w:rPr>
              <w:t>＜1，项目环境风险潜势为</w:t>
            </w:r>
            <w:r>
              <w:rPr>
                <w:color w:val="auto"/>
                <w:szCs w:val="21"/>
              </w:rPr>
              <w:t>I</w:t>
            </w:r>
            <w:r>
              <w:rPr>
                <w:color w:val="auto"/>
                <w:sz w:val="21"/>
                <w:szCs w:val="21"/>
              </w:rPr>
              <w:t>，仅开展简单分析。</w:t>
            </w:r>
          </w:p>
          <w:p>
            <w:pPr>
              <w:spacing w:line="360" w:lineRule="auto"/>
              <w:ind w:firstLine="420" w:firstLineChars="200"/>
              <w:rPr>
                <w:color w:val="auto"/>
                <w:szCs w:val="21"/>
              </w:rPr>
            </w:pPr>
            <w:r>
              <w:rPr>
                <w:color w:val="auto"/>
                <w:szCs w:val="21"/>
              </w:rPr>
              <w:t>（3）环境风险识别</w:t>
            </w:r>
          </w:p>
          <w:p>
            <w:pPr>
              <w:spacing w:line="360" w:lineRule="auto"/>
              <w:ind w:firstLine="411" w:firstLineChars="196"/>
              <w:rPr>
                <w:color w:val="auto"/>
              </w:rPr>
            </w:pPr>
            <w:r>
              <w:rPr>
                <w:color w:val="auto"/>
              </w:rPr>
              <w:t>风险识别范围包括生产设施风险识别和生产过程所涉及的物质风险识别</w:t>
            </w:r>
            <w:r>
              <w:rPr>
                <w:rFonts w:hint="eastAsia"/>
                <w:color w:val="auto"/>
              </w:rPr>
              <w:t>.</w:t>
            </w:r>
          </w:p>
          <w:p>
            <w:pPr>
              <w:spacing w:line="360" w:lineRule="auto"/>
              <w:ind w:firstLine="420" w:firstLineChars="200"/>
              <w:rPr>
                <w:color w:val="auto"/>
                <w:szCs w:val="21"/>
              </w:rPr>
            </w:pPr>
            <w:r>
              <w:rPr>
                <w:rFonts w:hint="eastAsia"/>
                <w:color w:val="auto"/>
                <w:szCs w:val="21"/>
              </w:rPr>
              <w:t>①物质危险性识别</w:t>
            </w:r>
          </w:p>
          <w:p>
            <w:pPr>
              <w:spacing w:line="360" w:lineRule="auto"/>
              <w:ind w:firstLine="411" w:firstLineChars="196"/>
              <w:rPr>
                <w:color w:val="auto"/>
                <w:szCs w:val="21"/>
              </w:rPr>
            </w:pPr>
            <w:r>
              <w:rPr>
                <w:color w:val="auto"/>
              </w:rPr>
              <w:t>根据危险、</w:t>
            </w:r>
            <w:r>
              <w:rPr>
                <w:bCs/>
                <w:color w:val="auto"/>
              </w:rPr>
              <w:t>危害物质识别结果，本项目在生产过程中涉及的主要风险物质见表4-</w:t>
            </w:r>
            <w:r>
              <w:rPr>
                <w:rFonts w:hint="eastAsia"/>
                <w:bCs/>
                <w:color w:val="auto"/>
              </w:rPr>
              <w:t>30</w:t>
            </w:r>
            <w:r>
              <w:rPr>
                <w:bCs/>
                <w:color w:val="auto"/>
              </w:rPr>
              <w:t>。</w:t>
            </w:r>
          </w:p>
          <w:p>
            <w:pPr>
              <w:jc w:val="center"/>
              <w:rPr>
                <w:b/>
                <w:color w:val="auto"/>
                <w:szCs w:val="21"/>
              </w:rPr>
            </w:pPr>
            <w:r>
              <w:rPr>
                <w:b/>
                <w:color w:val="auto"/>
                <w:szCs w:val="21"/>
              </w:rPr>
              <w:t>表4-</w:t>
            </w:r>
            <w:r>
              <w:rPr>
                <w:rFonts w:hint="eastAsia"/>
                <w:b/>
                <w:color w:val="auto"/>
                <w:szCs w:val="21"/>
              </w:rPr>
              <w:t>30</w:t>
            </w:r>
            <w:r>
              <w:rPr>
                <w:b/>
                <w:color w:val="auto"/>
                <w:szCs w:val="21"/>
              </w:rPr>
              <w:t xml:space="preserve">  本项目涉及的主要危险物质环境风险识别</w:t>
            </w:r>
          </w:p>
          <w:tbl>
            <w:tblPr>
              <w:tblStyle w:val="3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08"/>
              <w:gridCol w:w="1568"/>
              <w:gridCol w:w="4069"/>
              <w:gridCol w:w="265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cantSplit/>
                <w:trHeight w:val="340" w:hRule="atLeast"/>
              </w:trPr>
              <w:tc>
                <w:tcPr>
                  <w:tcW w:w="1305" w:type="pct"/>
                  <w:gridSpan w:val="2"/>
                  <w:vAlign w:val="center"/>
                </w:tcPr>
                <w:p>
                  <w:pPr>
                    <w:adjustRightInd w:val="0"/>
                    <w:snapToGrid w:val="0"/>
                    <w:spacing w:line="240" w:lineRule="atLeast"/>
                    <w:jc w:val="center"/>
                    <w:rPr>
                      <w:b/>
                      <w:color w:val="auto"/>
                      <w:sz w:val="18"/>
                      <w:szCs w:val="18"/>
                    </w:rPr>
                  </w:pPr>
                  <w:r>
                    <w:rPr>
                      <w:b/>
                      <w:color w:val="auto"/>
                      <w:sz w:val="18"/>
                      <w:szCs w:val="18"/>
                    </w:rPr>
                    <w:t>风险单元</w:t>
                  </w:r>
                </w:p>
              </w:tc>
              <w:tc>
                <w:tcPr>
                  <w:tcW w:w="2235" w:type="pct"/>
                  <w:vAlign w:val="center"/>
                </w:tcPr>
                <w:p>
                  <w:pPr>
                    <w:adjustRightInd w:val="0"/>
                    <w:snapToGrid w:val="0"/>
                    <w:spacing w:line="240" w:lineRule="atLeast"/>
                    <w:jc w:val="center"/>
                    <w:rPr>
                      <w:b/>
                      <w:color w:val="auto"/>
                      <w:sz w:val="18"/>
                      <w:szCs w:val="18"/>
                    </w:rPr>
                  </w:pPr>
                  <w:r>
                    <w:rPr>
                      <w:b/>
                      <w:color w:val="auto"/>
                      <w:sz w:val="18"/>
                      <w:szCs w:val="18"/>
                    </w:rPr>
                    <w:t>涉及风险物质</w:t>
                  </w:r>
                </w:p>
              </w:tc>
              <w:tc>
                <w:tcPr>
                  <w:tcW w:w="1458" w:type="pct"/>
                  <w:vAlign w:val="center"/>
                </w:tcPr>
                <w:p>
                  <w:pPr>
                    <w:adjustRightInd w:val="0"/>
                    <w:snapToGrid w:val="0"/>
                    <w:spacing w:line="240" w:lineRule="atLeast"/>
                    <w:jc w:val="center"/>
                    <w:rPr>
                      <w:b/>
                      <w:color w:val="auto"/>
                      <w:sz w:val="18"/>
                      <w:szCs w:val="18"/>
                    </w:rPr>
                  </w:pPr>
                  <w:r>
                    <w:rPr>
                      <w:b/>
                      <w:color w:val="auto"/>
                      <w:sz w:val="18"/>
                      <w:szCs w:val="18"/>
                    </w:rPr>
                    <w:t>可能影响的环境途径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444" w:type="pct"/>
                  <w:vMerge w:val="restart"/>
                  <w:vAlign w:val="center"/>
                </w:tcPr>
                <w:p>
                  <w:pPr>
                    <w:adjustRightInd w:val="0"/>
                    <w:snapToGrid w:val="0"/>
                    <w:spacing w:line="240" w:lineRule="atLeast"/>
                    <w:jc w:val="center"/>
                    <w:rPr>
                      <w:bCs/>
                      <w:color w:val="auto"/>
                      <w:sz w:val="18"/>
                      <w:szCs w:val="18"/>
                    </w:rPr>
                  </w:pPr>
                  <w:r>
                    <w:rPr>
                      <w:bCs/>
                      <w:color w:val="auto"/>
                      <w:sz w:val="18"/>
                      <w:szCs w:val="18"/>
                    </w:rPr>
                    <w:t>厂区</w:t>
                  </w:r>
                </w:p>
              </w:tc>
              <w:tc>
                <w:tcPr>
                  <w:tcW w:w="861" w:type="pct"/>
                  <w:vAlign w:val="center"/>
                </w:tcPr>
                <w:p>
                  <w:pPr>
                    <w:adjustRightInd w:val="0"/>
                    <w:snapToGrid w:val="0"/>
                    <w:spacing w:line="240" w:lineRule="atLeast"/>
                    <w:jc w:val="center"/>
                    <w:rPr>
                      <w:color w:val="auto"/>
                      <w:sz w:val="18"/>
                      <w:szCs w:val="18"/>
                    </w:rPr>
                  </w:pPr>
                  <w:r>
                    <w:rPr>
                      <w:rFonts w:hint="eastAsia"/>
                      <w:color w:val="auto"/>
                      <w:sz w:val="18"/>
                      <w:szCs w:val="18"/>
                    </w:rPr>
                    <w:t>原料仓库</w:t>
                  </w:r>
                </w:p>
              </w:tc>
              <w:tc>
                <w:tcPr>
                  <w:tcW w:w="2235" w:type="pct"/>
                  <w:vAlign w:val="center"/>
                </w:tcPr>
                <w:p>
                  <w:pPr>
                    <w:spacing w:line="240" w:lineRule="atLeast"/>
                    <w:jc w:val="center"/>
                    <w:rPr>
                      <w:color w:val="auto"/>
                      <w:sz w:val="18"/>
                      <w:szCs w:val="18"/>
                    </w:rPr>
                  </w:pPr>
                  <w:r>
                    <w:rPr>
                      <w:rFonts w:hint="eastAsia"/>
                      <w:color w:val="auto"/>
                      <w:sz w:val="18"/>
                      <w:szCs w:val="18"/>
                    </w:rPr>
                    <w:t>双二五硫化剂</w:t>
                  </w:r>
                </w:p>
              </w:tc>
              <w:tc>
                <w:tcPr>
                  <w:tcW w:w="1458" w:type="pct"/>
                  <w:vAlign w:val="center"/>
                </w:tcPr>
                <w:p>
                  <w:pPr>
                    <w:adjustRightInd w:val="0"/>
                    <w:snapToGrid w:val="0"/>
                    <w:spacing w:line="240" w:lineRule="atLeast"/>
                    <w:jc w:val="center"/>
                    <w:rPr>
                      <w:bCs/>
                      <w:color w:val="auto"/>
                      <w:sz w:val="18"/>
                      <w:szCs w:val="18"/>
                    </w:rPr>
                  </w:pPr>
                  <w:r>
                    <w:rPr>
                      <w:rFonts w:hint="eastAsia"/>
                      <w:bCs/>
                      <w:color w:val="auto"/>
                      <w:sz w:val="18"/>
                      <w:szCs w:val="18"/>
                    </w:rPr>
                    <w:t>泄漏、火灾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444" w:type="pct"/>
                  <w:vMerge w:val="continue"/>
                  <w:vAlign w:val="center"/>
                </w:tcPr>
                <w:p>
                  <w:pPr>
                    <w:adjustRightInd w:val="0"/>
                    <w:snapToGrid w:val="0"/>
                    <w:spacing w:line="240" w:lineRule="atLeast"/>
                    <w:jc w:val="center"/>
                    <w:rPr>
                      <w:b/>
                      <w:color w:val="auto"/>
                      <w:sz w:val="18"/>
                      <w:szCs w:val="18"/>
                    </w:rPr>
                  </w:pPr>
                </w:p>
              </w:tc>
              <w:tc>
                <w:tcPr>
                  <w:tcW w:w="861" w:type="pct"/>
                  <w:vAlign w:val="center"/>
                </w:tcPr>
                <w:p>
                  <w:pPr>
                    <w:adjustRightInd w:val="0"/>
                    <w:snapToGrid w:val="0"/>
                    <w:spacing w:line="240" w:lineRule="atLeast"/>
                    <w:jc w:val="center"/>
                    <w:rPr>
                      <w:bCs/>
                      <w:color w:val="auto"/>
                      <w:sz w:val="18"/>
                      <w:szCs w:val="18"/>
                    </w:rPr>
                  </w:pPr>
                  <w:r>
                    <w:rPr>
                      <w:rFonts w:hint="eastAsia"/>
                      <w:bCs/>
                      <w:color w:val="auto"/>
                      <w:sz w:val="18"/>
                      <w:szCs w:val="18"/>
                    </w:rPr>
                    <w:t>危废仓库</w:t>
                  </w:r>
                </w:p>
              </w:tc>
              <w:tc>
                <w:tcPr>
                  <w:tcW w:w="2235" w:type="pct"/>
                  <w:vAlign w:val="center"/>
                </w:tcPr>
                <w:p>
                  <w:pPr>
                    <w:pStyle w:val="87"/>
                    <w:spacing w:line="240" w:lineRule="auto"/>
                    <w:rPr>
                      <w:color w:val="auto"/>
                      <w:sz w:val="18"/>
                      <w:szCs w:val="18"/>
                    </w:rPr>
                  </w:pPr>
                  <w:r>
                    <w:rPr>
                      <w:rFonts w:hint="eastAsia"/>
                      <w:color w:val="auto"/>
                      <w:sz w:val="18"/>
                      <w:szCs w:val="18"/>
                    </w:rPr>
                    <w:t>废活性炭</w:t>
                  </w:r>
                </w:p>
              </w:tc>
              <w:tc>
                <w:tcPr>
                  <w:tcW w:w="1458" w:type="pct"/>
                  <w:vAlign w:val="center"/>
                </w:tcPr>
                <w:p>
                  <w:pPr>
                    <w:adjustRightInd w:val="0"/>
                    <w:snapToGrid w:val="0"/>
                    <w:spacing w:line="240" w:lineRule="atLeast"/>
                    <w:jc w:val="center"/>
                    <w:rPr>
                      <w:bCs/>
                      <w:color w:val="auto"/>
                      <w:sz w:val="18"/>
                      <w:szCs w:val="18"/>
                    </w:rPr>
                  </w:pPr>
                  <w:r>
                    <w:rPr>
                      <w:bCs/>
                      <w:color w:val="auto"/>
                      <w:sz w:val="18"/>
                      <w:szCs w:val="18"/>
                    </w:rPr>
                    <w:t>泄漏、火灾</w:t>
                  </w:r>
                </w:p>
              </w:tc>
            </w:tr>
          </w:tbl>
          <w:p>
            <w:pPr>
              <w:spacing w:line="360" w:lineRule="auto"/>
              <w:ind w:firstLine="420" w:firstLineChars="200"/>
              <w:rPr>
                <w:color w:val="auto"/>
                <w:szCs w:val="21"/>
              </w:rPr>
            </w:pPr>
            <w:r>
              <w:rPr>
                <w:rFonts w:hint="eastAsia"/>
                <w:color w:val="auto"/>
                <w:szCs w:val="21"/>
              </w:rPr>
              <w:t>②生产系统危险性识别</w:t>
            </w:r>
          </w:p>
          <w:p>
            <w:pPr>
              <w:adjustRightInd w:val="0"/>
              <w:snapToGrid w:val="0"/>
              <w:spacing w:line="360" w:lineRule="auto"/>
              <w:ind w:firstLine="420" w:firstLineChars="200"/>
              <w:jc w:val="left"/>
              <w:rPr>
                <w:color w:val="auto"/>
                <w:szCs w:val="21"/>
              </w:rPr>
            </w:pPr>
            <w:r>
              <w:rPr>
                <w:rFonts w:hint="eastAsia"/>
                <w:color w:val="auto"/>
                <w:szCs w:val="21"/>
              </w:rPr>
              <w:t>本项目生产过程中涉及到炼胶等工艺，使用的原辅料均为易燃物质，主要风险事故为火灾。公司内原辅料存储及运输使用桶装、袋装。</w:t>
            </w:r>
          </w:p>
          <w:p>
            <w:pPr>
              <w:adjustRightInd w:val="0"/>
              <w:snapToGrid w:val="0"/>
              <w:spacing w:line="360" w:lineRule="auto"/>
              <w:ind w:firstLine="420" w:firstLineChars="200"/>
              <w:jc w:val="left"/>
              <w:rPr>
                <w:color w:val="auto"/>
                <w:szCs w:val="21"/>
              </w:rPr>
            </w:pPr>
            <w:r>
              <w:rPr>
                <w:rFonts w:hint="eastAsia"/>
                <w:color w:val="auto"/>
                <w:szCs w:val="21"/>
              </w:rPr>
              <w:t>项目生产过程中使用生产设备，这些机械设备的外露传动或运转部件的防护装置缺损、安全控制装置失效、不按规程操作、不停车检修，均有可能对操作人员造成机械伤害。</w:t>
            </w:r>
          </w:p>
          <w:p>
            <w:pPr>
              <w:spacing w:line="360" w:lineRule="auto"/>
              <w:ind w:firstLine="420" w:firstLineChars="200"/>
              <w:rPr>
                <w:color w:val="auto"/>
                <w:szCs w:val="21"/>
              </w:rPr>
            </w:pPr>
            <w:r>
              <w:rPr>
                <w:rFonts w:hint="eastAsia"/>
                <w:color w:val="auto"/>
                <w:szCs w:val="21"/>
              </w:rPr>
              <w:t>（3）</w:t>
            </w:r>
            <w:r>
              <w:rPr>
                <w:color w:val="auto"/>
                <w:szCs w:val="21"/>
              </w:rPr>
              <w:t>风险事故情形分析</w:t>
            </w:r>
          </w:p>
          <w:p>
            <w:pPr>
              <w:adjustRightInd w:val="0"/>
              <w:snapToGrid w:val="0"/>
              <w:spacing w:line="360" w:lineRule="auto"/>
              <w:ind w:firstLine="420" w:firstLineChars="200"/>
              <w:rPr>
                <w:color w:val="auto"/>
                <w:szCs w:val="21"/>
              </w:rPr>
            </w:pPr>
            <w:r>
              <w:rPr>
                <w:color w:val="auto"/>
                <w:szCs w:val="21"/>
              </w:rPr>
              <w:t>经识别，</w:t>
            </w:r>
            <w:r>
              <w:rPr>
                <w:rFonts w:hint="eastAsia"/>
                <w:color w:val="auto"/>
                <w:szCs w:val="21"/>
              </w:rPr>
              <w:t>全厂</w:t>
            </w:r>
            <w:r>
              <w:rPr>
                <w:color w:val="auto"/>
                <w:szCs w:val="21"/>
              </w:rPr>
              <w:t>涉及的主要风险物质为</w:t>
            </w:r>
            <w:r>
              <w:rPr>
                <w:rFonts w:hint="eastAsia"/>
                <w:color w:val="auto"/>
                <w:szCs w:val="21"/>
              </w:rPr>
              <w:t>双二五、废活性炭、硫磺</w:t>
            </w:r>
            <w:r>
              <w:rPr>
                <w:color w:val="auto"/>
                <w:szCs w:val="21"/>
              </w:rPr>
              <w:t>等</w:t>
            </w:r>
            <w:r>
              <w:rPr>
                <w:rFonts w:hint="eastAsia"/>
                <w:color w:val="auto"/>
                <w:szCs w:val="21"/>
              </w:rPr>
              <w:t>物质</w:t>
            </w:r>
            <w:r>
              <w:rPr>
                <w:color w:val="auto"/>
                <w:szCs w:val="21"/>
              </w:rPr>
              <w:t>如遇明火、火花则可能发生火灾事故，燃烧产生</w:t>
            </w:r>
            <w:r>
              <w:rPr>
                <w:rFonts w:hint="eastAsia"/>
                <w:color w:val="auto"/>
                <w:szCs w:val="21"/>
              </w:rPr>
              <w:t>二氧化硫、</w:t>
            </w:r>
            <w:r>
              <w:rPr>
                <w:color w:val="auto"/>
                <w:szCs w:val="21"/>
              </w:rPr>
              <w:t>CO、NO</w:t>
            </w:r>
            <w:r>
              <w:rPr>
                <w:color w:val="auto"/>
                <w:szCs w:val="21"/>
                <w:vertAlign w:val="subscript"/>
              </w:rPr>
              <w:t>x</w:t>
            </w:r>
            <w:r>
              <w:rPr>
                <w:color w:val="auto"/>
                <w:szCs w:val="21"/>
              </w:rPr>
              <w:t>等废气进入大气环境中，会导致周围大气环境中相应污染物浓度增高，造成环境空气质量污染；火灾事故发生时，消防废水如拦截不当则可能会进入附近水环境中，会导致受纳水体环境中相应污染物浓度增高，造成水环境质量污染。</w:t>
            </w:r>
          </w:p>
          <w:p>
            <w:pPr>
              <w:jc w:val="center"/>
              <w:rPr>
                <w:b/>
                <w:color w:val="auto"/>
                <w:szCs w:val="21"/>
              </w:rPr>
            </w:pPr>
            <w:r>
              <w:rPr>
                <w:rFonts w:hint="eastAsia"/>
                <w:b/>
                <w:color w:val="auto"/>
                <w:szCs w:val="21"/>
              </w:rPr>
              <w:t>表4</w:t>
            </w:r>
            <w:r>
              <w:rPr>
                <w:b/>
                <w:color w:val="auto"/>
                <w:szCs w:val="21"/>
              </w:rPr>
              <w:t>-</w:t>
            </w:r>
            <w:r>
              <w:rPr>
                <w:rFonts w:hint="eastAsia"/>
                <w:b/>
                <w:color w:val="auto"/>
                <w:szCs w:val="21"/>
              </w:rPr>
              <w:t>31</w:t>
            </w:r>
            <w:r>
              <w:rPr>
                <w:b/>
                <w:color w:val="auto"/>
                <w:szCs w:val="21"/>
              </w:rPr>
              <w:t xml:space="preserve">  </w:t>
            </w:r>
            <w:r>
              <w:rPr>
                <w:rFonts w:hint="eastAsia"/>
                <w:b/>
                <w:color w:val="auto"/>
                <w:szCs w:val="21"/>
              </w:rPr>
              <w:t>代表性风险事故情形设定一览表</w:t>
            </w:r>
          </w:p>
          <w:tbl>
            <w:tblPr>
              <w:tblStyle w:val="38"/>
              <w:tblW w:w="4997"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219"/>
              <w:gridCol w:w="2848"/>
              <w:gridCol w:w="3019"/>
              <w:gridCol w:w="919"/>
              <w:gridCol w:w="108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52" w:hRule="atLeast"/>
              </w:trPr>
              <w:tc>
                <w:tcPr>
                  <w:tcW w:w="670" w:type="pct"/>
                  <w:vAlign w:val="center"/>
                </w:tcPr>
                <w:p>
                  <w:pPr>
                    <w:pStyle w:val="11"/>
                    <w:ind w:firstLine="0" w:firstLineChars="0"/>
                    <w:jc w:val="center"/>
                    <w:rPr>
                      <w:color w:val="auto"/>
                      <w:sz w:val="18"/>
                      <w:szCs w:val="18"/>
                    </w:rPr>
                  </w:pPr>
                  <w:r>
                    <w:rPr>
                      <w:b/>
                      <w:color w:val="auto"/>
                      <w:sz w:val="18"/>
                      <w:szCs w:val="18"/>
                    </w:rPr>
                    <w:t>事故类型</w:t>
                  </w:r>
                </w:p>
              </w:tc>
              <w:tc>
                <w:tcPr>
                  <w:tcW w:w="1565" w:type="pct"/>
                  <w:vAlign w:val="center"/>
                </w:tcPr>
                <w:p>
                  <w:pPr>
                    <w:pStyle w:val="11"/>
                    <w:ind w:firstLine="0" w:firstLineChars="0"/>
                    <w:jc w:val="center"/>
                    <w:rPr>
                      <w:color w:val="auto"/>
                      <w:sz w:val="18"/>
                      <w:szCs w:val="18"/>
                    </w:rPr>
                  </w:pPr>
                  <w:r>
                    <w:rPr>
                      <w:b/>
                      <w:color w:val="auto"/>
                      <w:sz w:val="18"/>
                      <w:szCs w:val="18"/>
                    </w:rPr>
                    <w:t>代表性事故情形</w:t>
                  </w:r>
                </w:p>
              </w:tc>
              <w:tc>
                <w:tcPr>
                  <w:tcW w:w="1659" w:type="pct"/>
                  <w:vAlign w:val="center"/>
                </w:tcPr>
                <w:p>
                  <w:pPr>
                    <w:pStyle w:val="11"/>
                    <w:ind w:firstLine="0" w:firstLineChars="0"/>
                    <w:jc w:val="center"/>
                    <w:rPr>
                      <w:color w:val="auto"/>
                      <w:sz w:val="18"/>
                      <w:szCs w:val="18"/>
                    </w:rPr>
                  </w:pPr>
                  <w:r>
                    <w:rPr>
                      <w:b/>
                      <w:color w:val="auto"/>
                      <w:sz w:val="18"/>
                      <w:szCs w:val="18"/>
                    </w:rPr>
                    <w:t>风险物质</w:t>
                  </w:r>
                </w:p>
              </w:tc>
              <w:tc>
                <w:tcPr>
                  <w:tcW w:w="505" w:type="pct"/>
                  <w:vAlign w:val="center"/>
                </w:tcPr>
                <w:p>
                  <w:pPr>
                    <w:pStyle w:val="11"/>
                    <w:ind w:firstLine="0" w:firstLineChars="0"/>
                    <w:jc w:val="center"/>
                    <w:rPr>
                      <w:color w:val="auto"/>
                      <w:sz w:val="18"/>
                      <w:szCs w:val="18"/>
                    </w:rPr>
                  </w:pPr>
                  <w:r>
                    <w:rPr>
                      <w:b/>
                      <w:color w:val="auto"/>
                      <w:sz w:val="18"/>
                      <w:szCs w:val="18"/>
                    </w:rPr>
                    <w:t>可能扩散途径</w:t>
                  </w:r>
                </w:p>
              </w:tc>
              <w:tc>
                <w:tcPr>
                  <w:tcW w:w="598" w:type="pct"/>
                  <w:vAlign w:val="center"/>
                </w:tcPr>
                <w:p>
                  <w:pPr>
                    <w:pStyle w:val="11"/>
                    <w:ind w:firstLine="0" w:firstLineChars="0"/>
                    <w:jc w:val="center"/>
                    <w:rPr>
                      <w:color w:val="auto"/>
                      <w:sz w:val="18"/>
                      <w:szCs w:val="18"/>
                    </w:rPr>
                  </w:pPr>
                  <w:r>
                    <w:rPr>
                      <w:b/>
                      <w:color w:val="auto"/>
                      <w:sz w:val="18"/>
                      <w:szCs w:val="18"/>
                    </w:rPr>
                    <w:t>受影响的水系/敏感保护目标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670" w:type="pct"/>
                  <w:vAlign w:val="center"/>
                </w:tcPr>
                <w:p>
                  <w:pPr>
                    <w:pStyle w:val="11"/>
                    <w:ind w:firstLine="0" w:firstLineChars="0"/>
                    <w:jc w:val="center"/>
                    <w:rPr>
                      <w:color w:val="auto"/>
                      <w:sz w:val="18"/>
                      <w:szCs w:val="18"/>
                    </w:rPr>
                  </w:pPr>
                  <w:r>
                    <w:rPr>
                      <w:color w:val="auto"/>
                      <w:sz w:val="18"/>
                      <w:szCs w:val="18"/>
                    </w:rPr>
                    <w:t>涉气类事故</w:t>
                  </w:r>
                </w:p>
              </w:tc>
              <w:tc>
                <w:tcPr>
                  <w:tcW w:w="1565" w:type="pct"/>
                  <w:vAlign w:val="center"/>
                </w:tcPr>
                <w:p>
                  <w:pPr>
                    <w:pStyle w:val="11"/>
                    <w:ind w:firstLine="0" w:firstLineChars="0"/>
                    <w:jc w:val="center"/>
                    <w:rPr>
                      <w:color w:val="auto"/>
                      <w:sz w:val="18"/>
                      <w:szCs w:val="18"/>
                    </w:rPr>
                  </w:pPr>
                  <w:r>
                    <w:rPr>
                      <w:color w:val="auto"/>
                      <w:sz w:val="18"/>
                      <w:szCs w:val="18"/>
                    </w:rPr>
                    <w:t>遇明火燃烧</w:t>
                  </w:r>
                </w:p>
              </w:tc>
              <w:tc>
                <w:tcPr>
                  <w:tcW w:w="1659" w:type="pct"/>
                  <w:vAlign w:val="center"/>
                </w:tcPr>
                <w:p>
                  <w:pPr>
                    <w:pStyle w:val="11"/>
                    <w:ind w:firstLine="0" w:firstLineChars="0"/>
                    <w:jc w:val="center"/>
                    <w:rPr>
                      <w:color w:val="auto"/>
                      <w:sz w:val="18"/>
                      <w:szCs w:val="18"/>
                    </w:rPr>
                  </w:pPr>
                  <w:r>
                    <w:rPr>
                      <w:color w:val="auto"/>
                      <w:sz w:val="18"/>
                      <w:szCs w:val="18"/>
                    </w:rPr>
                    <w:t>废活性炭</w:t>
                  </w:r>
                  <w:r>
                    <w:rPr>
                      <w:rStyle w:val="45"/>
                      <w:rFonts w:hint="eastAsia"/>
                      <w:color w:val="auto"/>
                      <w:kern w:val="0"/>
                      <w:sz w:val="18"/>
                      <w:szCs w:val="18"/>
                    </w:rPr>
                    <w:t>、硫磺</w:t>
                  </w:r>
                </w:p>
              </w:tc>
              <w:tc>
                <w:tcPr>
                  <w:tcW w:w="505" w:type="pct"/>
                  <w:vAlign w:val="center"/>
                </w:tcPr>
                <w:p>
                  <w:pPr>
                    <w:pStyle w:val="11"/>
                    <w:ind w:firstLine="0" w:firstLineChars="0"/>
                    <w:jc w:val="center"/>
                    <w:rPr>
                      <w:color w:val="auto"/>
                      <w:sz w:val="18"/>
                      <w:szCs w:val="18"/>
                    </w:rPr>
                  </w:pPr>
                  <w:r>
                    <w:rPr>
                      <w:color w:val="auto"/>
                      <w:sz w:val="18"/>
                      <w:szCs w:val="18"/>
                    </w:rPr>
                    <w:t>大气</w:t>
                  </w:r>
                </w:p>
              </w:tc>
              <w:tc>
                <w:tcPr>
                  <w:tcW w:w="598" w:type="pct"/>
                  <w:vAlign w:val="center"/>
                </w:tcPr>
                <w:p>
                  <w:pPr>
                    <w:pStyle w:val="11"/>
                    <w:ind w:firstLine="0" w:firstLineChars="0"/>
                    <w:jc w:val="center"/>
                    <w:rPr>
                      <w:color w:val="auto"/>
                      <w:sz w:val="18"/>
                      <w:szCs w:val="18"/>
                    </w:rPr>
                  </w:pPr>
                  <w:r>
                    <w:rPr>
                      <w:color w:val="auto"/>
                      <w:sz w:val="18"/>
                      <w:szCs w:val="18"/>
                    </w:rPr>
                    <w:t>附近企业</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14" w:hRule="atLeast"/>
              </w:trPr>
              <w:tc>
                <w:tcPr>
                  <w:tcW w:w="670" w:type="pct"/>
                  <w:vAlign w:val="center"/>
                </w:tcPr>
                <w:p>
                  <w:pPr>
                    <w:pStyle w:val="11"/>
                    <w:ind w:firstLine="0" w:firstLineChars="0"/>
                    <w:jc w:val="center"/>
                    <w:rPr>
                      <w:color w:val="auto"/>
                      <w:sz w:val="18"/>
                      <w:szCs w:val="18"/>
                    </w:rPr>
                  </w:pPr>
                  <w:r>
                    <w:rPr>
                      <w:color w:val="auto"/>
                      <w:sz w:val="18"/>
                      <w:szCs w:val="18"/>
                    </w:rPr>
                    <w:t>涉水类事故</w:t>
                  </w:r>
                </w:p>
              </w:tc>
              <w:tc>
                <w:tcPr>
                  <w:tcW w:w="1565" w:type="pct"/>
                  <w:vAlign w:val="center"/>
                </w:tcPr>
                <w:p>
                  <w:pPr>
                    <w:pStyle w:val="11"/>
                    <w:ind w:firstLine="0" w:firstLineChars="0"/>
                    <w:jc w:val="center"/>
                    <w:rPr>
                      <w:color w:val="auto"/>
                      <w:sz w:val="18"/>
                      <w:szCs w:val="18"/>
                    </w:rPr>
                  </w:pPr>
                  <w:r>
                    <w:rPr>
                      <w:color w:val="auto"/>
                      <w:sz w:val="18"/>
                      <w:szCs w:val="18"/>
                    </w:rPr>
                    <w:t>火灾爆炸产生的消防尾水</w:t>
                  </w:r>
                </w:p>
              </w:tc>
              <w:tc>
                <w:tcPr>
                  <w:tcW w:w="1659" w:type="pct"/>
                  <w:vAlign w:val="center"/>
                </w:tcPr>
                <w:p>
                  <w:pPr>
                    <w:pStyle w:val="11"/>
                    <w:ind w:firstLine="0" w:firstLineChars="0"/>
                    <w:jc w:val="center"/>
                    <w:rPr>
                      <w:color w:val="auto"/>
                      <w:sz w:val="18"/>
                      <w:szCs w:val="18"/>
                    </w:rPr>
                  </w:pPr>
                  <w:r>
                    <w:rPr>
                      <w:color w:val="auto"/>
                      <w:sz w:val="18"/>
                      <w:szCs w:val="18"/>
                    </w:rPr>
                    <w:t>消防尾水</w:t>
                  </w:r>
                </w:p>
              </w:tc>
              <w:tc>
                <w:tcPr>
                  <w:tcW w:w="505" w:type="pct"/>
                  <w:vAlign w:val="center"/>
                </w:tcPr>
                <w:p>
                  <w:pPr>
                    <w:pStyle w:val="11"/>
                    <w:ind w:firstLine="0" w:firstLineChars="0"/>
                    <w:jc w:val="center"/>
                    <w:rPr>
                      <w:color w:val="auto"/>
                      <w:sz w:val="18"/>
                      <w:szCs w:val="18"/>
                    </w:rPr>
                  </w:pPr>
                  <w:r>
                    <w:rPr>
                      <w:color w:val="auto"/>
                      <w:sz w:val="18"/>
                      <w:szCs w:val="18"/>
                    </w:rPr>
                    <w:t>地表水</w:t>
                  </w:r>
                </w:p>
              </w:tc>
              <w:tc>
                <w:tcPr>
                  <w:tcW w:w="598" w:type="pct"/>
                  <w:vAlign w:val="center"/>
                </w:tcPr>
                <w:p>
                  <w:pPr>
                    <w:pStyle w:val="11"/>
                    <w:ind w:firstLine="0" w:firstLineChars="0"/>
                    <w:jc w:val="center"/>
                    <w:rPr>
                      <w:color w:val="auto"/>
                      <w:sz w:val="18"/>
                      <w:szCs w:val="18"/>
                    </w:rPr>
                  </w:pPr>
                  <w:r>
                    <w:rPr>
                      <w:color w:val="auto"/>
                      <w:sz w:val="18"/>
                      <w:szCs w:val="18"/>
                    </w:rPr>
                    <w:t>附近企业</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670" w:type="pct"/>
                  <w:vAlign w:val="center"/>
                </w:tcPr>
                <w:p>
                  <w:pPr>
                    <w:pStyle w:val="11"/>
                    <w:ind w:firstLine="0" w:firstLineChars="0"/>
                    <w:jc w:val="center"/>
                    <w:rPr>
                      <w:color w:val="auto"/>
                      <w:sz w:val="18"/>
                      <w:szCs w:val="18"/>
                    </w:rPr>
                  </w:pPr>
                  <w:r>
                    <w:rPr>
                      <w:color w:val="auto"/>
                      <w:sz w:val="18"/>
                      <w:szCs w:val="18"/>
                    </w:rPr>
                    <w:t>其他事故</w:t>
                  </w:r>
                </w:p>
              </w:tc>
              <w:tc>
                <w:tcPr>
                  <w:tcW w:w="1565" w:type="pct"/>
                  <w:vAlign w:val="center"/>
                </w:tcPr>
                <w:p>
                  <w:pPr>
                    <w:pStyle w:val="11"/>
                    <w:ind w:firstLine="0" w:firstLineChars="0"/>
                    <w:jc w:val="center"/>
                    <w:rPr>
                      <w:color w:val="auto"/>
                      <w:sz w:val="18"/>
                      <w:szCs w:val="18"/>
                    </w:rPr>
                  </w:pPr>
                  <w:r>
                    <w:rPr>
                      <w:color w:val="auto"/>
                      <w:sz w:val="18"/>
                      <w:szCs w:val="18"/>
                    </w:rPr>
                    <w:t>废气处理设施停开</w:t>
                  </w:r>
                </w:p>
              </w:tc>
              <w:tc>
                <w:tcPr>
                  <w:tcW w:w="1659" w:type="pct"/>
                  <w:vAlign w:val="center"/>
                </w:tcPr>
                <w:p>
                  <w:pPr>
                    <w:pStyle w:val="11"/>
                    <w:ind w:firstLine="0" w:firstLineChars="0"/>
                    <w:jc w:val="center"/>
                    <w:rPr>
                      <w:color w:val="auto"/>
                      <w:sz w:val="18"/>
                      <w:szCs w:val="18"/>
                    </w:rPr>
                  </w:pPr>
                  <w:r>
                    <w:rPr>
                      <w:color w:val="auto"/>
                      <w:sz w:val="18"/>
                      <w:szCs w:val="18"/>
                    </w:rPr>
                    <w:t>生产废气</w:t>
                  </w:r>
                </w:p>
              </w:tc>
              <w:tc>
                <w:tcPr>
                  <w:tcW w:w="505" w:type="pct"/>
                  <w:vAlign w:val="center"/>
                </w:tcPr>
                <w:p>
                  <w:pPr>
                    <w:pStyle w:val="11"/>
                    <w:ind w:firstLine="0" w:firstLineChars="0"/>
                    <w:jc w:val="center"/>
                    <w:rPr>
                      <w:color w:val="auto"/>
                      <w:sz w:val="18"/>
                      <w:szCs w:val="18"/>
                    </w:rPr>
                  </w:pPr>
                  <w:r>
                    <w:rPr>
                      <w:color w:val="auto"/>
                      <w:sz w:val="18"/>
                      <w:szCs w:val="18"/>
                    </w:rPr>
                    <w:t>大气</w:t>
                  </w:r>
                </w:p>
              </w:tc>
              <w:tc>
                <w:tcPr>
                  <w:tcW w:w="598" w:type="pct"/>
                  <w:vAlign w:val="center"/>
                </w:tcPr>
                <w:p>
                  <w:pPr>
                    <w:pStyle w:val="11"/>
                    <w:ind w:firstLine="0" w:firstLineChars="0"/>
                    <w:jc w:val="center"/>
                    <w:rPr>
                      <w:color w:val="auto"/>
                      <w:sz w:val="18"/>
                      <w:szCs w:val="18"/>
                    </w:rPr>
                  </w:pPr>
                  <w:r>
                    <w:rPr>
                      <w:color w:val="auto"/>
                      <w:sz w:val="18"/>
                      <w:szCs w:val="18"/>
                    </w:rPr>
                    <w:t>附近企业</w:t>
                  </w:r>
                </w:p>
              </w:tc>
            </w:tr>
          </w:tbl>
          <w:p>
            <w:pPr>
              <w:adjustRightInd w:val="0"/>
              <w:snapToGrid w:val="0"/>
              <w:spacing w:before="120" w:beforeLines="50" w:line="360" w:lineRule="auto"/>
              <w:ind w:firstLine="420" w:firstLineChars="200"/>
              <w:rPr>
                <w:color w:val="auto"/>
                <w:szCs w:val="21"/>
              </w:rPr>
            </w:pPr>
            <w:r>
              <w:rPr>
                <w:color w:val="auto"/>
                <w:szCs w:val="21"/>
              </w:rPr>
              <w:t>（4）环境风险分析</w:t>
            </w:r>
          </w:p>
          <w:p>
            <w:pPr>
              <w:spacing w:line="360" w:lineRule="auto"/>
              <w:ind w:firstLine="411" w:firstLineChars="196"/>
              <w:rPr>
                <w:color w:val="auto"/>
              </w:rPr>
            </w:pPr>
            <w:r>
              <w:rPr>
                <w:color w:val="auto"/>
                <w:szCs w:val="21"/>
              </w:rPr>
              <w:t>经识别，本项目涉及的主要风险物质为</w:t>
            </w:r>
            <w:r>
              <w:rPr>
                <w:rFonts w:hint="eastAsia"/>
                <w:color w:val="auto"/>
                <w:szCs w:val="21"/>
              </w:rPr>
              <w:t>双二五硫化剂、废活性炭</w:t>
            </w:r>
            <w:r>
              <w:rPr>
                <w:color w:val="auto"/>
                <w:szCs w:val="21"/>
              </w:rPr>
              <w:t>等，如遇明</w:t>
            </w:r>
            <w:r>
              <w:rPr>
                <w:rFonts w:hint="eastAsia"/>
                <w:color w:val="auto"/>
                <w:szCs w:val="21"/>
              </w:rPr>
              <w:t>火</w:t>
            </w:r>
            <w:r>
              <w:rPr>
                <w:color w:val="auto"/>
                <w:szCs w:val="21"/>
              </w:rPr>
              <w:t>、包装破损、管理不善，则可能发生火灾，</w:t>
            </w:r>
            <w:r>
              <w:rPr>
                <w:color w:val="auto"/>
              </w:rPr>
              <w:t>燃烧产生的</w:t>
            </w:r>
            <w:r>
              <w:rPr>
                <w:rFonts w:hint="eastAsia"/>
                <w:color w:val="auto"/>
                <w:szCs w:val="21"/>
              </w:rPr>
              <w:t>二氧化硫、</w:t>
            </w:r>
            <w:r>
              <w:rPr>
                <w:color w:val="auto"/>
                <w:szCs w:val="21"/>
              </w:rPr>
              <w:t>CO、NO</w:t>
            </w:r>
            <w:r>
              <w:rPr>
                <w:color w:val="auto"/>
                <w:szCs w:val="21"/>
                <w:vertAlign w:val="subscript"/>
              </w:rPr>
              <w:t>x</w:t>
            </w:r>
            <w:r>
              <w:rPr>
                <w:color w:val="auto"/>
              </w:rPr>
              <w:t>等废气进入大气环境中，会导致周围大气环境中相应污染物浓度增高，造成环境空气质量污染。</w:t>
            </w:r>
          </w:p>
          <w:p>
            <w:pPr>
              <w:spacing w:line="360" w:lineRule="auto"/>
              <w:ind w:firstLine="420" w:firstLineChars="200"/>
              <w:rPr>
                <w:color w:val="auto"/>
                <w:szCs w:val="21"/>
              </w:rPr>
            </w:pPr>
            <w:r>
              <w:rPr>
                <w:color w:val="auto"/>
                <w:szCs w:val="21"/>
              </w:rPr>
              <w:t>（5）环境风险防范应急措施</w:t>
            </w:r>
          </w:p>
          <w:p>
            <w:pPr>
              <w:adjustRightInd w:val="0"/>
              <w:snapToGrid w:val="0"/>
              <w:spacing w:line="360" w:lineRule="auto"/>
              <w:ind w:firstLine="420" w:firstLineChars="200"/>
              <w:rPr>
                <w:color w:val="auto"/>
                <w:szCs w:val="21"/>
              </w:rPr>
            </w:pPr>
            <w:r>
              <w:rPr>
                <w:rFonts w:hint="eastAsia" w:ascii="宋体" w:hAnsi="宋体" w:cs="宋体"/>
                <w:color w:val="auto"/>
                <w:szCs w:val="21"/>
              </w:rPr>
              <w:t>1）</w:t>
            </w:r>
            <w:r>
              <w:rPr>
                <w:color w:val="auto"/>
                <w:szCs w:val="21"/>
              </w:rPr>
              <w:t>车间风险防控措施：</w:t>
            </w:r>
          </w:p>
          <w:p>
            <w:pPr>
              <w:adjustRightInd w:val="0"/>
              <w:snapToGrid w:val="0"/>
              <w:spacing w:line="360" w:lineRule="auto"/>
              <w:ind w:firstLine="420" w:firstLineChars="200"/>
              <w:rPr>
                <w:color w:val="auto"/>
                <w:szCs w:val="21"/>
              </w:rPr>
            </w:pPr>
            <w:r>
              <w:rPr>
                <w:color w:val="auto"/>
                <w:szCs w:val="21"/>
              </w:rPr>
              <w:t>a．企业生产车间具有良好的通风设施，排风系统安装防火阀。</w:t>
            </w:r>
          </w:p>
          <w:p>
            <w:pPr>
              <w:adjustRightInd w:val="0"/>
              <w:snapToGrid w:val="0"/>
              <w:spacing w:line="360" w:lineRule="auto"/>
              <w:ind w:firstLine="420" w:firstLineChars="200"/>
              <w:rPr>
                <w:color w:val="auto"/>
                <w:szCs w:val="21"/>
              </w:rPr>
            </w:pPr>
            <w:r>
              <w:rPr>
                <w:color w:val="auto"/>
                <w:szCs w:val="21"/>
              </w:rPr>
              <w:t>b．所有材料均选用不燃和阻燃材料。</w:t>
            </w:r>
          </w:p>
          <w:p>
            <w:pPr>
              <w:adjustRightInd w:val="0"/>
              <w:snapToGrid w:val="0"/>
              <w:spacing w:line="360" w:lineRule="auto"/>
              <w:ind w:firstLine="420" w:firstLineChars="200"/>
              <w:rPr>
                <w:color w:val="auto"/>
                <w:szCs w:val="21"/>
              </w:rPr>
            </w:pPr>
            <w:r>
              <w:rPr>
                <w:color w:val="auto"/>
                <w:szCs w:val="21"/>
              </w:rPr>
              <w:t>c．车间设温度自动控制系统，带超高温报警装置，以确保生产的安全性。</w:t>
            </w:r>
          </w:p>
          <w:p>
            <w:pPr>
              <w:adjustRightInd w:val="0"/>
              <w:snapToGrid w:val="0"/>
              <w:spacing w:line="360" w:lineRule="auto"/>
              <w:ind w:firstLine="420" w:firstLineChars="200"/>
              <w:rPr>
                <w:color w:val="auto"/>
                <w:szCs w:val="21"/>
              </w:rPr>
            </w:pPr>
            <w:r>
              <w:rPr>
                <w:color w:val="auto"/>
                <w:szCs w:val="21"/>
              </w:rPr>
              <w:t>d．安装超压报警装置，在送风或排风不畅的情况下报警、停机，避免通风不畅引起可燃气体浓度过高。</w:t>
            </w:r>
          </w:p>
          <w:p>
            <w:pPr>
              <w:adjustRightInd w:val="0"/>
              <w:snapToGrid w:val="0"/>
              <w:spacing w:line="360" w:lineRule="auto"/>
              <w:ind w:firstLine="420" w:firstLineChars="200"/>
              <w:rPr>
                <w:color w:val="auto"/>
                <w:szCs w:val="21"/>
              </w:rPr>
            </w:pPr>
            <w:r>
              <w:rPr>
                <w:color w:val="auto"/>
                <w:szCs w:val="21"/>
              </w:rPr>
              <w:t>e．厂区内设置雨水排口切断阀，防止事故废水泄漏。</w:t>
            </w:r>
          </w:p>
          <w:p>
            <w:pPr>
              <w:adjustRightInd w:val="0"/>
              <w:snapToGrid w:val="0"/>
              <w:spacing w:line="360" w:lineRule="auto"/>
              <w:ind w:firstLine="420" w:firstLineChars="200"/>
              <w:rPr>
                <w:color w:val="auto"/>
                <w:szCs w:val="21"/>
              </w:rPr>
            </w:pPr>
            <w:r>
              <w:rPr>
                <w:rFonts w:hint="eastAsia" w:ascii="宋体" w:hAnsi="宋体" w:cs="宋体"/>
                <w:color w:val="auto"/>
                <w:szCs w:val="21"/>
              </w:rPr>
              <w:t>2）</w:t>
            </w:r>
            <w:r>
              <w:rPr>
                <w:color w:val="auto"/>
                <w:szCs w:val="21"/>
              </w:rPr>
              <w:t>贮运工程风险防控措施：</w:t>
            </w:r>
          </w:p>
          <w:p>
            <w:pPr>
              <w:adjustRightInd w:val="0"/>
              <w:snapToGrid w:val="0"/>
              <w:spacing w:line="360" w:lineRule="auto"/>
              <w:ind w:firstLine="420" w:firstLineChars="200"/>
              <w:rPr>
                <w:color w:val="auto"/>
                <w:szCs w:val="21"/>
              </w:rPr>
            </w:pPr>
            <w:r>
              <w:rPr>
                <w:color w:val="auto"/>
                <w:szCs w:val="21"/>
              </w:rPr>
              <w:t>a．原料均储存于阴凉通风仓库内，远离火种、热源，防止阳光直射，与易燃或可燃物分开存放。搬运时轻装轻卸，防止原料桶破损或倾倒。</w:t>
            </w:r>
          </w:p>
          <w:p>
            <w:pPr>
              <w:adjustRightInd w:val="0"/>
              <w:snapToGrid w:val="0"/>
              <w:spacing w:line="360" w:lineRule="auto"/>
              <w:ind w:firstLine="420" w:firstLineChars="200"/>
              <w:rPr>
                <w:color w:val="auto"/>
                <w:szCs w:val="21"/>
              </w:rPr>
            </w:pPr>
            <w:r>
              <w:rPr>
                <w:color w:val="auto"/>
                <w:szCs w:val="21"/>
              </w:rPr>
              <w:t>b．划定禁火区，在明显地点设有警示标志，输配电线、灯具、火灾事故照明和疏散指示标志均应符合安全要求；严禁未安装灭火装置的车辆出入生产装置区。</w:t>
            </w:r>
          </w:p>
          <w:p>
            <w:pPr>
              <w:adjustRightInd w:val="0"/>
              <w:snapToGrid w:val="0"/>
              <w:spacing w:line="360" w:lineRule="auto"/>
              <w:ind w:firstLine="420" w:firstLineChars="200"/>
              <w:rPr>
                <w:color w:val="auto"/>
                <w:szCs w:val="21"/>
              </w:rPr>
            </w:pPr>
            <w:r>
              <w:rPr>
                <w:color w:val="auto"/>
                <w:szCs w:val="21"/>
              </w:rPr>
              <w:t>c．合理规划运输路线及时间，加强危险废物运输车辆的管理，严格遵守危险品运输管理规定，避免运输过程事故的发生。</w:t>
            </w:r>
          </w:p>
          <w:p>
            <w:pPr>
              <w:adjustRightInd w:val="0"/>
              <w:snapToGrid w:val="0"/>
              <w:spacing w:line="360" w:lineRule="auto"/>
              <w:ind w:firstLine="420" w:firstLineChars="200"/>
              <w:rPr>
                <w:color w:val="auto"/>
                <w:szCs w:val="21"/>
              </w:rPr>
            </w:pPr>
            <w:r>
              <w:rPr>
                <w:rFonts w:hint="eastAsia" w:ascii="宋体" w:hAnsi="宋体" w:cs="宋体"/>
                <w:color w:val="auto"/>
                <w:szCs w:val="21"/>
              </w:rPr>
              <w:t>3）</w:t>
            </w:r>
            <w:r>
              <w:rPr>
                <w:color w:val="auto"/>
                <w:szCs w:val="21"/>
              </w:rPr>
              <w:t>废气事故排放风险防控措施：</w:t>
            </w:r>
          </w:p>
          <w:p>
            <w:pPr>
              <w:adjustRightInd w:val="0"/>
              <w:snapToGrid w:val="0"/>
              <w:spacing w:line="360" w:lineRule="auto"/>
              <w:ind w:firstLine="420" w:firstLineChars="200"/>
              <w:rPr>
                <w:color w:val="auto"/>
                <w:szCs w:val="21"/>
              </w:rPr>
            </w:pPr>
            <w:r>
              <w:rPr>
                <w:color w:val="auto"/>
                <w:szCs w:val="21"/>
              </w:rPr>
              <w:t>发生事故的原因主要由以下几个：</w:t>
            </w:r>
          </w:p>
          <w:p>
            <w:pPr>
              <w:adjustRightInd w:val="0"/>
              <w:snapToGrid w:val="0"/>
              <w:spacing w:line="360" w:lineRule="auto"/>
              <w:ind w:firstLine="420" w:firstLineChars="200"/>
              <w:rPr>
                <w:color w:val="auto"/>
                <w:szCs w:val="21"/>
              </w:rPr>
            </w:pPr>
            <w:r>
              <w:rPr>
                <w:color w:val="auto"/>
                <w:szCs w:val="21"/>
              </w:rPr>
              <w:t>a．废气处理系统出现故障、设备开车、停车检修时废气直接排入大气环境中；</w:t>
            </w:r>
          </w:p>
          <w:p>
            <w:pPr>
              <w:adjustRightInd w:val="0"/>
              <w:snapToGrid w:val="0"/>
              <w:spacing w:line="360" w:lineRule="auto"/>
              <w:ind w:firstLine="420" w:firstLineChars="200"/>
              <w:rPr>
                <w:color w:val="auto"/>
                <w:szCs w:val="21"/>
              </w:rPr>
            </w:pPr>
            <w:r>
              <w:rPr>
                <w:color w:val="auto"/>
                <w:szCs w:val="21"/>
              </w:rPr>
              <w:t>b．生产过程中由于设备老化、腐蚀、实务操作等原因造成车间废气浓度超标；</w:t>
            </w:r>
          </w:p>
          <w:p>
            <w:pPr>
              <w:adjustRightInd w:val="0"/>
              <w:snapToGrid w:val="0"/>
              <w:spacing w:line="360" w:lineRule="auto"/>
              <w:ind w:firstLine="420" w:firstLineChars="200"/>
              <w:rPr>
                <w:color w:val="auto"/>
                <w:szCs w:val="21"/>
              </w:rPr>
            </w:pPr>
            <w:r>
              <w:rPr>
                <w:color w:val="auto"/>
                <w:szCs w:val="21"/>
              </w:rPr>
              <w:t>c．厂内突然停电、废气处理系统停止工作，致使废气不能得到及时处理；</w:t>
            </w:r>
          </w:p>
          <w:p>
            <w:pPr>
              <w:adjustRightInd w:val="0"/>
              <w:snapToGrid w:val="0"/>
              <w:spacing w:line="360" w:lineRule="auto"/>
              <w:ind w:firstLine="420" w:firstLineChars="200"/>
              <w:rPr>
                <w:color w:val="auto"/>
                <w:szCs w:val="21"/>
              </w:rPr>
            </w:pPr>
            <w:r>
              <w:rPr>
                <w:color w:val="auto"/>
                <w:szCs w:val="21"/>
              </w:rPr>
              <w:t>d．对废气治理措施疏于管理，使治理措施处理效率降低造成废气浓度超标；</w:t>
            </w:r>
          </w:p>
          <w:p>
            <w:pPr>
              <w:adjustRightInd w:val="0"/>
              <w:snapToGrid w:val="0"/>
              <w:spacing w:line="360" w:lineRule="auto"/>
              <w:ind w:firstLine="420" w:firstLineChars="200"/>
              <w:rPr>
                <w:color w:val="auto"/>
                <w:szCs w:val="21"/>
              </w:rPr>
            </w:pPr>
            <w:r>
              <w:rPr>
                <w:color w:val="auto"/>
                <w:szCs w:val="21"/>
              </w:rPr>
              <w:t>为杜绝事故性废气排放，建议采用以下措施确保废气达标排放：</w:t>
            </w:r>
          </w:p>
          <w:p>
            <w:pPr>
              <w:adjustRightInd w:val="0"/>
              <w:snapToGrid w:val="0"/>
              <w:spacing w:line="360" w:lineRule="auto"/>
              <w:ind w:firstLine="420" w:firstLineChars="200"/>
              <w:rPr>
                <w:color w:val="auto"/>
                <w:szCs w:val="21"/>
              </w:rPr>
            </w:pPr>
            <w:r>
              <w:rPr>
                <w:color w:val="auto"/>
                <w:szCs w:val="21"/>
              </w:rPr>
              <w:t>a．平时加强废气处理设施的维护保养，及时发现处理设备的隐患，并及时进行维修，确保废气处理系统正常运行；</w:t>
            </w:r>
          </w:p>
          <w:p>
            <w:pPr>
              <w:adjustRightInd w:val="0"/>
              <w:snapToGrid w:val="0"/>
              <w:spacing w:line="360" w:lineRule="auto"/>
              <w:ind w:firstLine="420" w:firstLineChars="200"/>
              <w:rPr>
                <w:color w:val="auto"/>
                <w:szCs w:val="21"/>
              </w:rPr>
            </w:pPr>
            <w:r>
              <w:rPr>
                <w:color w:val="auto"/>
                <w:szCs w:val="21"/>
              </w:rPr>
              <w:t>b．建立健全的环保机构，配置必要的监测仪器，对管理人员和技术人员进行岗位培训，对废气处理实行全过程跟踪控制；</w:t>
            </w:r>
          </w:p>
          <w:p>
            <w:pPr>
              <w:adjustRightInd w:val="0"/>
              <w:snapToGrid w:val="0"/>
              <w:spacing w:line="360" w:lineRule="auto"/>
              <w:ind w:firstLine="420" w:firstLineChars="200"/>
              <w:rPr>
                <w:color w:val="auto"/>
                <w:szCs w:val="21"/>
              </w:rPr>
            </w:pPr>
            <w:r>
              <w:rPr>
                <w:color w:val="auto"/>
                <w:szCs w:val="21"/>
              </w:rPr>
              <w:t>c．项目应设有备用电源和备用处理设备，以备停电或设备出现故障时保障废气全部通入处理系统进行处理以达标排放；</w:t>
            </w:r>
          </w:p>
          <w:p>
            <w:pPr>
              <w:adjustRightInd w:val="0"/>
              <w:snapToGrid w:val="0"/>
              <w:spacing w:line="360" w:lineRule="auto"/>
              <w:ind w:firstLine="420" w:firstLineChars="200"/>
              <w:rPr>
                <w:color w:val="auto"/>
                <w:szCs w:val="21"/>
              </w:rPr>
            </w:pPr>
            <w:r>
              <w:rPr>
                <w:color w:val="auto"/>
                <w:szCs w:val="21"/>
              </w:rPr>
              <w:t>d．项目对废气治理措施应设置备用的废气治理措施，在常用处理设施出现故障的情况下采用备用处理设施进行处理，防止因此而造成废气的事故性排放。</w:t>
            </w:r>
          </w:p>
          <w:p>
            <w:pPr>
              <w:jc w:val="center"/>
              <w:rPr>
                <w:b/>
                <w:color w:val="auto"/>
                <w:szCs w:val="21"/>
              </w:rPr>
            </w:pPr>
            <w:r>
              <w:rPr>
                <w:rFonts w:hint="eastAsia"/>
                <w:b/>
                <w:color w:val="auto"/>
                <w:szCs w:val="21"/>
              </w:rPr>
              <w:t>表4</w:t>
            </w:r>
            <w:r>
              <w:rPr>
                <w:b/>
                <w:color w:val="auto"/>
                <w:szCs w:val="21"/>
              </w:rPr>
              <w:t>-</w:t>
            </w:r>
            <w:r>
              <w:rPr>
                <w:rFonts w:hint="eastAsia"/>
                <w:b/>
                <w:color w:val="auto"/>
                <w:szCs w:val="21"/>
              </w:rPr>
              <w:t>32</w:t>
            </w:r>
            <w:r>
              <w:rPr>
                <w:b/>
                <w:color w:val="auto"/>
                <w:szCs w:val="21"/>
              </w:rPr>
              <w:t xml:space="preserve"> </w:t>
            </w:r>
            <w:r>
              <w:rPr>
                <w:rFonts w:hint="eastAsia"/>
                <w:b/>
                <w:color w:val="auto"/>
                <w:szCs w:val="21"/>
              </w:rPr>
              <w:t>涉气代表性事故的风险防范措施</w:t>
            </w:r>
          </w:p>
          <w:tbl>
            <w:tblPr>
              <w:tblStyle w:val="3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66"/>
              <w:gridCol w:w="1457"/>
              <w:gridCol w:w="2206"/>
              <w:gridCol w:w="2409"/>
              <w:gridCol w:w="226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766" w:type="dxa"/>
                  <w:vAlign w:val="center"/>
                </w:tcPr>
                <w:p>
                  <w:pPr>
                    <w:pStyle w:val="11"/>
                    <w:ind w:firstLine="0" w:firstLineChars="0"/>
                    <w:jc w:val="center"/>
                    <w:rPr>
                      <w:b/>
                      <w:bCs/>
                      <w:color w:val="auto"/>
                      <w:sz w:val="18"/>
                      <w:szCs w:val="18"/>
                    </w:rPr>
                  </w:pPr>
                  <w:r>
                    <w:rPr>
                      <w:b/>
                      <w:bCs/>
                      <w:color w:val="auto"/>
                      <w:sz w:val="18"/>
                      <w:szCs w:val="18"/>
                    </w:rPr>
                    <w:t>序号</w:t>
                  </w:r>
                </w:p>
              </w:tc>
              <w:tc>
                <w:tcPr>
                  <w:tcW w:w="1457" w:type="dxa"/>
                  <w:vAlign w:val="center"/>
                </w:tcPr>
                <w:p>
                  <w:pPr>
                    <w:pStyle w:val="11"/>
                    <w:ind w:firstLine="0" w:firstLineChars="0"/>
                    <w:jc w:val="center"/>
                    <w:rPr>
                      <w:b/>
                      <w:bCs/>
                      <w:color w:val="auto"/>
                      <w:sz w:val="18"/>
                      <w:szCs w:val="18"/>
                    </w:rPr>
                  </w:pPr>
                  <w:r>
                    <w:rPr>
                      <w:b/>
                      <w:bCs/>
                      <w:color w:val="auto"/>
                      <w:sz w:val="18"/>
                      <w:szCs w:val="18"/>
                    </w:rPr>
                    <w:t>风险物质</w:t>
                  </w:r>
                </w:p>
              </w:tc>
              <w:tc>
                <w:tcPr>
                  <w:tcW w:w="2206" w:type="dxa"/>
                  <w:vAlign w:val="center"/>
                </w:tcPr>
                <w:p>
                  <w:pPr>
                    <w:pStyle w:val="11"/>
                    <w:ind w:firstLine="0" w:firstLineChars="0"/>
                    <w:jc w:val="center"/>
                    <w:rPr>
                      <w:b/>
                      <w:bCs/>
                      <w:color w:val="auto"/>
                      <w:sz w:val="18"/>
                      <w:szCs w:val="18"/>
                    </w:rPr>
                  </w:pPr>
                  <w:r>
                    <w:rPr>
                      <w:b/>
                      <w:bCs/>
                      <w:color w:val="auto"/>
                      <w:sz w:val="18"/>
                      <w:szCs w:val="18"/>
                    </w:rPr>
                    <w:t>是否为有毒有害气体</w:t>
                  </w:r>
                </w:p>
              </w:tc>
              <w:tc>
                <w:tcPr>
                  <w:tcW w:w="2409" w:type="dxa"/>
                  <w:vAlign w:val="center"/>
                </w:tcPr>
                <w:p>
                  <w:pPr>
                    <w:pStyle w:val="11"/>
                    <w:ind w:firstLine="0" w:firstLineChars="0"/>
                    <w:jc w:val="center"/>
                    <w:rPr>
                      <w:b/>
                      <w:bCs/>
                      <w:color w:val="auto"/>
                      <w:sz w:val="18"/>
                      <w:szCs w:val="18"/>
                    </w:rPr>
                  </w:pPr>
                  <w:r>
                    <w:rPr>
                      <w:b/>
                      <w:bCs/>
                      <w:color w:val="auto"/>
                      <w:sz w:val="18"/>
                      <w:szCs w:val="18"/>
                    </w:rPr>
                    <w:t>泄漏监控预警措施</w:t>
                  </w:r>
                </w:p>
              </w:tc>
              <w:tc>
                <w:tcPr>
                  <w:tcW w:w="2261" w:type="dxa"/>
                  <w:vAlign w:val="center"/>
                </w:tcPr>
                <w:p>
                  <w:pPr>
                    <w:pStyle w:val="11"/>
                    <w:ind w:firstLine="0" w:firstLineChars="0"/>
                    <w:jc w:val="center"/>
                    <w:rPr>
                      <w:b/>
                      <w:bCs/>
                      <w:color w:val="auto"/>
                      <w:sz w:val="18"/>
                      <w:szCs w:val="18"/>
                    </w:rPr>
                  </w:pPr>
                  <w:r>
                    <w:rPr>
                      <w:b/>
                      <w:bCs/>
                      <w:color w:val="auto"/>
                      <w:sz w:val="18"/>
                      <w:szCs w:val="18"/>
                    </w:rPr>
                    <w:t>应急监测能力</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5" w:hRule="atLeast"/>
              </w:trPr>
              <w:tc>
                <w:tcPr>
                  <w:tcW w:w="766" w:type="dxa"/>
                  <w:vAlign w:val="center"/>
                </w:tcPr>
                <w:p>
                  <w:pPr>
                    <w:pStyle w:val="11"/>
                    <w:ind w:firstLine="0" w:firstLineChars="0"/>
                    <w:jc w:val="center"/>
                    <w:rPr>
                      <w:color w:val="auto"/>
                      <w:sz w:val="18"/>
                      <w:szCs w:val="18"/>
                    </w:rPr>
                  </w:pPr>
                  <w:r>
                    <w:rPr>
                      <w:color w:val="auto"/>
                      <w:sz w:val="18"/>
                      <w:szCs w:val="18"/>
                    </w:rPr>
                    <w:t>1</w:t>
                  </w:r>
                </w:p>
              </w:tc>
              <w:tc>
                <w:tcPr>
                  <w:tcW w:w="1457" w:type="dxa"/>
                  <w:vAlign w:val="center"/>
                </w:tcPr>
                <w:p>
                  <w:pPr>
                    <w:pStyle w:val="11"/>
                    <w:ind w:firstLine="0" w:firstLineChars="0"/>
                    <w:jc w:val="center"/>
                    <w:rPr>
                      <w:color w:val="auto"/>
                      <w:sz w:val="18"/>
                      <w:szCs w:val="18"/>
                    </w:rPr>
                  </w:pPr>
                  <w:r>
                    <w:rPr>
                      <w:color w:val="auto"/>
                      <w:sz w:val="18"/>
                      <w:szCs w:val="18"/>
                    </w:rPr>
                    <w:t>生产废气</w:t>
                  </w:r>
                </w:p>
              </w:tc>
              <w:tc>
                <w:tcPr>
                  <w:tcW w:w="2206" w:type="dxa"/>
                  <w:vAlign w:val="center"/>
                </w:tcPr>
                <w:p>
                  <w:pPr>
                    <w:pStyle w:val="11"/>
                    <w:ind w:firstLine="0" w:firstLineChars="0"/>
                    <w:jc w:val="center"/>
                    <w:rPr>
                      <w:color w:val="auto"/>
                      <w:sz w:val="18"/>
                      <w:szCs w:val="18"/>
                    </w:rPr>
                  </w:pPr>
                  <w:r>
                    <w:rPr>
                      <w:color w:val="auto"/>
                      <w:sz w:val="18"/>
                      <w:szCs w:val="18"/>
                    </w:rPr>
                    <w:t>否</w:t>
                  </w:r>
                </w:p>
              </w:tc>
              <w:tc>
                <w:tcPr>
                  <w:tcW w:w="2409" w:type="dxa"/>
                  <w:vAlign w:val="center"/>
                </w:tcPr>
                <w:p>
                  <w:pPr>
                    <w:pStyle w:val="11"/>
                    <w:ind w:firstLine="0" w:firstLineChars="0"/>
                    <w:jc w:val="center"/>
                    <w:rPr>
                      <w:color w:val="auto"/>
                      <w:sz w:val="18"/>
                      <w:szCs w:val="18"/>
                    </w:rPr>
                  </w:pPr>
                  <w:r>
                    <w:rPr>
                      <w:color w:val="auto"/>
                      <w:sz w:val="18"/>
                      <w:szCs w:val="18"/>
                    </w:rPr>
                    <w:t>-</w:t>
                  </w:r>
                </w:p>
              </w:tc>
              <w:tc>
                <w:tcPr>
                  <w:tcW w:w="2261" w:type="dxa"/>
                  <w:vAlign w:val="center"/>
                </w:tcPr>
                <w:p>
                  <w:pPr>
                    <w:pStyle w:val="11"/>
                    <w:ind w:firstLine="0" w:firstLineChars="0"/>
                    <w:jc w:val="center"/>
                    <w:rPr>
                      <w:color w:val="auto"/>
                      <w:sz w:val="18"/>
                      <w:szCs w:val="18"/>
                    </w:rPr>
                  </w:pPr>
                  <w:r>
                    <w:rPr>
                      <w:color w:val="auto"/>
                      <w:sz w:val="18"/>
                      <w:szCs w:val="18"/>
                    </w:rPr>
                    <w:t>委托第三方资质单位</w:t>
                  </w:r>
                </w:p>
              </w:tc>
            </w:tr>
          </w:tbl>
          <w:p>
            <w:pPr>
              <w:adjustRightInd w:val="0"/>
              <w:snapToGrid w:val="0"/>
              <w:spacing w:line="360" w:lineRule="auto"/>
              <w:ind w:firstLine="420" w:firstLineChars="200"/>
              <w:rPr>
                <w:rFonts w:eastAsiaTheme="minorEastAsia"/>
                <w:color w:val="auto"/>
                <w:szCs w:val="21"/>
              </w:rPr>
            </w:pPr>
            <w:r>
              <w:rPr>
                <w:rFonts w:hint="eastAsia" w:ascii="宋体" w:hAnsi="宋体" w:cs="宋体" w:eastAsiaTheme="minorEastAsia"/>
                <w:color w:val="auto"/>
                <w:szCs w:val="21"/>
              </w:rPr>
              <w:t>4）</w:t>
            </w:r>
            <w:r>
              <w:rPr>
                <w:rFonts w:hint="eastAsia" w:asciiTheme="minorEastAsia" w:hAnsiTheme="minorEastAsia" w:eastAsiaTheme="minorEastAsia"/>
                <w:color w:val="auto"/>
                <w:szCs w:val="21"/>
              </w:rPr>
              <w:t>活性炭吸附装置</w:t>
            </w:r>
            <w:r>
              <w:rPr>
                <w:rFonts w:hint="eastAsia" w:eastAsiaTheme="minorEastAsia"/>
                <w:color w:val="auto"/>
                <w:szCs w:val="21"/>
              </w:rPr>
              <w:t>存在的风险及事故应急措施</w:t>
            </w:r>
          </w:p>
          <w:p>
            <w:pPr>
              <w:adjustRightInd w:val="0"/>
              <w:snapToGrid w:val="0"/>
              <w:spacing w:line="324" w:lineRule="auto"/>
              <w:ind w:firstLine="480" w:firstLineChars="200"/>
              <w:rPr>
                <w:color w:val="auto"/>
                <w:szCs w:val="21"/>
              </w:rPr>
            </w:pPr>
            <w:r>
              <w:rPr>
                <w:color w:val="auto"/>
                <w:sz w:val="24"/>
              </w:rPr>
              <w:t>a</w:t>
            </w:r>
            <w:r>
              <w:rPr>
                <w:color w:val="auto"/>
                <w:szCs w:val="21"/>
              </w:rPr>
              <w:t>、对于产生有机废气等设备，为避免与氧气形成爆炸性混合物，以正压输送方式输送到废气总管。</w:t>
            </w:r>
          </w:p>
          <w:p>
            <w:pPr>
              <w:adjustRightInd w:val="0"/>
              <w:snapToGrid w:val="0"/>
              <w:spacing w:line="324" w:lineRule="auto"/>
              <w:ind w:firstLine="420" w:firstLineChars="200"/>
              <w:rPr>
                <w:color w:val="auto"/>
                <w:szCs w:val="21"/>
              </w:rPr>
            </w:pPr>
            <w:r>
              <w:rPr>
                <w:color w:val="auto"/>
                <w:szCs w:val="21"/>
              </w:rPr>
              <w:t>b、活性炭选材：使用点火温度高，灰分低的活性炭作为吸附材料。</w:t>
            </w:r>
          </w:p>
          <w:p>
            <w:pPr>
              <w:adjustRightInd w:val="0"/>
              <w:snapToGrid w:val="0"/>
              <w:spacing w:line="324" w:lineRule="auto"/>
              <w:ind w:firstLine="420" w:firstLineChars="200"/>
              <w:rPr>
                <w:color w:val="auto"/>
                <w:szCs w:val="21"/>
              </w:rPr>
            </w:pPr>
            <w:r>
              <w:rPr>
                <w:color w:val="auto"/>
                <w:szCs w:val="21"/>
              </w:rPr>
              <w:t>c、定期检查处理装置、废气管路是否有不完整漏风的情况，要保证管路不漏气。</w:t>
            </w:r>
          </w:p>
          <w:p>
            <w:pPr>
              <w:adjustRightInd w:val="0"/>
              <w:snapToGrid w:val="0"/>
              <w:spacing w:line="324" w:lineRule="auto"/>
              <w:ind w:firstLine="420" w:firstLineChars="200"/>
              <w:rPr>
                <w:color w:val="auto"/>
                <w:szCs w:val="21"/>
              </w:rPr>
            </w:pPr>
            <w:r>
              <w:rPr>
                <w:color w:val="auto"/>
                <w:szCs w:val="21"/>
              </w:rPr>
              <w:t>d、 吸附处理装置前的废气管路安装管路阻火器（阻爆型）；管路上(分段)安装泄爆片，废气缓冲罐上安装泄爆板，泄爆板要有固定装置。</w:t>
            </w:r>
          </w:p>
          <w:p>
            <w:pPr>
              <w:adjustRightInd w:val="0"/>
              <w:snapToGrid w:val="0"/>
              <w:spacing w:line="324" w:lineRule="auto"/>
              <w:ind w:firstLine="420" w:firstLineChars="200"/>
              <w:rPr>
                <w:color w:val="auto"/>
                <w:sz w:val="24"/>
              </w:rPr>
            </w:pPr>
            <w:r>
              <w:rPr>
                <w:color w:val="auto"/>
                <w:szCs w:val="21"/>
              </w:rPr>
              <w:t>e、应急反应与人员培训。培训人员发生火灾时的应急处置能力，要能及时扑灭吸附处理装置的火灾，防止火灾蔓延。</w:t>
            </w:r>
          </w:p>
          <w:p>
            <w:pPr>
              <w:adjustRightInd w:val="0"/>
              <w:snapToGrid w:val="0"/>
              <w:spacing w:line="360" w:lineRule="auto"/>
              <w:ind w:firstLine="420" w:firstLineChars="200"/>
              <w:rPr>
                <w:color w:val="auto"/>
                <w:szCs w:val="21"/>
              </w:rPr>
            </w:pPr>
            <w:r>
              <w:rPr>
                <w:rFonts w:hint="eastAsia" w:ascii="宋体" w:hAnsi="宋体" w:cs="宋体"/>
                <w:color w:val="auto"/>
                <w:szCs w:val="21"/>
              </w:rPr>
              <w:t>5）</w:t>
            </w:r>
            <w:r>
              <w:rPr>
                <w:color w:val="auto"/>
                <w:szCs w:val="21"/>
              </w:rPr>
              <w:t>危废仓库风险防控措施：</w:t>
            </w:r>
          </w:p>
          <w:p>
            <w:pPr>
              <w:adjustRightInd w:val="0"/>
              <w:snapToGrid w:val="0"/>
              <w:spacing w:line="360" w:lineRule="auto"/>
              <w:ind w:firstLine="420" w:firstLineChars="200"/>
              <w:rPr>
                <w:color w:val="auto"/>
                <w:szCs w:val="21"/>
              </w:rPr>
            </w:pPr>
            <w:r>
              <w:rPr>
                <w:color w:val="auto"/>
                <w:szCs w:val="21"/>
              </w:rPr>
              <w:t>a．危废仓库地面采用环氧地坪，底部加设土工膜，防渗等级满足防渗要求；</w:t>
            </w:r>
          </w:p>
          <w:p>
            <w:pPr>
              <w:adjustRightInd w:val="0"/>
              <w:snapToGrid w:val="0"/>
              <w:spacing w:line="360" w:lineRule="auto"/>
              <w:ind w:firstLine="420" w:firstLineChars="200"/>
              <w:rPr>
                <w:color w:val="auto"/>
                <w:szCs w:val="21"/>
              </w:rPr>
            </w:pPr>
            <w:r>
              <w:rPr>
                <w:rFonts w:hint="eastAsia"/>
                <w:color w:val="auto"/>
                <w:szCs w:val="21"/>
              </w:rPr>
              <w:t>b</w:t>
            </w:r>
            <w:r>
              <w:rPr>
                <w:color w:val="auto"/>
                <w:szCs w:val="21"/>
              </w:rPr>
              <w:t>．</w:t>
            </w:r>
            <w:r>
              <w:rPr>
                <w:rFonts w:hint="eastAsia"/>
                <w:color w:val="auto"/>
                <w:szCs w:val="21"/>
              </w:rPr>
              <w:t>已</w:t>
            </w:r>
            <w:r>
              <w:rPr>
                <w:color w:val="auto"/>
                <w:szCs w:val="21"/>
              </w:rPr>
              <w:t>设置在带防雷装置的车间内，仓库密闭，地面防渗处理，四周设围堰，设置钢筋混凝土导流渠，并采用底部加设土工膜进行防渗，具备防风、防雨、防晒功能；配备通讯设备、防爆灯、禁火标志、灭火器（如黄沙）等；</w:t>
            </w:r>
          </w:p>
          <w:p>
            <w:pPr>
              <w:adjustRightInd w:val="0"/>
              <w:snapToGrid w:val="0"/>
              <w:spacing w:line="360" w:lineRule="auto"/>
              <w:ind w:firstLine="420" w:firstLineChars="200"/>
              <w:rPr>
                <w:color w:val="auto"/>
                <w:szCs w:val="21"/>
              </w:rPr>
            </w:pPr>
            <w:r>
              <w:rPr>
                <w:rFonts w:hint="eastAsia"/>
                <w:color w:val="auto"/>
                <w:szCs w:val="21"/>
              </w:rPr>
              <w:t>c</w:t>
            </w:r>
            <w:r>
              <w:rPr>
                <w:color w:val="auto"/>
                <w:szCs w:val="21"/>
              </w:rPr>
              <w:t>．厂区门口设置危废信息公开栏，危废仓库外墙及各类危废贮存处墙面设置贮存设施警示标志牌，对危险废物的容器和包装物以及收集、贮存、运输、处置危险废物的设施、场所，拟设置危险废物识别标志；</w:t>
            </w:r>
          </w:p>
          <w:p>
            <w:pPr>
              <w:adjustRightInd w:val="0"/>
              <w:snapToGrid w:val="0"/>
              <w:spacing w:line="360" w:lineRule="auto"/>
              <w:ind w:firstLine="420" w:firstLineChars="200"/>
              <w:rPr>
                <w:color w:val="auto"/>
                <w:szCs w:val="21"/>
              </w:rPr>
            </w:pPr>
            <w:r>
              <w:rPr>
                <w:rFonts w:hint="eastAsia"/>
                <w:color w:val="auto"/>
                <w:szCs w:val="21"/>
              </w:rPr>
              <w:t>d</w:t>
            </w:r>
            <w:r>
              <w:rPr>
                <w:color w:val="auto"/>
                <w:szCs w:val="21"/>
              </w:rPr>
              <w:t>．根据危险废物的种类和特性进行分区、分类贮存；</w:t>
            </w:r>
          </w:p>
          <w:p>
            <w:pPr>
              <w:adjustRightInd w:val="0"/>
              <w:snapToGrid w:val="0"/>
              <w:spacing w:line="360" w:lineRule="auto"/>
              <w:ind w:firstLine="420" w:firstLineChars="200"/>
              <w:rPr>
                <w:color w:val="auto"/>
                <w:szCs w:val="21"/>
              </w:rPr>
            </w:pPr>
            <w:r>
              <w:rPr>
                <w:rFonts w:hint="eastAsia"/>
                <w:color w:val="auto"/>
                <w:szCs w:val="21"/>
              </w:rPr>
              <w:t>e</w:t>
            </w:r>
            <w:r>
              <w:rPr>
                <w:color w:val="auto"/>
                <w:szCs w:val="21"/>
              </w:rPr>
              <w:t>．危废仓库设立危险废物进出入台账登记管理制度，记录危险废物的名称、来源、数量、特性和包装容器的类别、入库日期</w:t>
            </w:r>
            <w:r>
              <w:rPr>
                <w:color w:val="auto"/>
                <w:szCs w:val="21"/>
              </w:rPr>
              <w:t>、存放库位、废物出库日期及接收单位名称，严格执行危险废物电子联单制度，实行对危险废物从源头到终端处理的全过程监管，确保危险废物100%得到安全处置。危险废物的记录和货单保留三年。</w:t>
            </w:r>
          </w:p>
          <w:p>
            <w:pPr>
              <w:spacing w:line="360" w:lineRule="auto"/>
              <w:ind w:firstLine="420" w:firstLineChars="200"/>
              <w:rPr>
                <w:color w:val="auto"/>
                <w:szCs w:val="21"/>
              </w:rPr>
            </w:pPr>
            <w:r>
              <w:rPr>
                <w:rFonts w:hint="eastAsia" w:ascii="宋体" w:hAnsi="宋体" w:cs="宋体"/>
                <w:color w:val="auto"/>
                <w:szCs w:val="21"/>
              </w:rPr>
              <w:t>6）</w:t>
            </w:r>
            <w:r>
              <w:rPr>
                <w:rFonts w:hint="eastAsia"/>
                <w:color w:val="auto"/>
                <w:szCs w:val="21"/>
              </w:rPr>
              <w:t>应急要求</w:t>
            </w:r>
          </w:p>
          <w:p>
            <w:pPr>
              <w:spacing w:line="360" w:lineRule="auto"/>
              <w:ind w:firstLine="420" w:firstLineChars="200"/>
              <w:jc w:val="left"/>
              <w:rPr>
                <w:rFonts w:ascii="Arial" w:hAnsi="Arial" w:cs="Arial"/>
                <w:color w:val="auto"/>
                <w:szCs w:val="21"/>
              </w:rPr>
            </w:pPr>
            <w:r>
              <w:rPr>
                <w:rFonts w:hint="eastAsia" w:ascii="Arial" w:hAnsi="Arial" w:cs="Arial"/>
                <w:color w:val="auto"/>
                <w:szCs w:val="21"/>
              </w:rPr>
              <w:t>①</w:t>
            </w:r>
            <w:r>
              <w:rPr>
                <w:rFonts w:hint="eastAsia"/>
                <w:color w:val="auto"/>
                <w:szCs w:val="21"/>
              </w:rPr>
              <w:t>突发环境事件应急预案的编制、修订和备案要求；</w:t>
            </w:r>
          </w:p>
          <w:p>
            <w:pPr>
              <w:spacing w:line="360" w:lineRule="auto"/>
              <w:ind w:firstLine="420" w:firstLineChars="200"/>
              <w:jc w:val="left"/>
              <w:rPr>
                <w:rFonts w:ascii="Arial" w:hAnsi="Arial" w:cs="Arial"/>
                <w:color w:val="auto"/>
              </w:rPr>
            </w:pPr>
            <w:r>
              <w:rPr>
                <w:rFonts w:ascii="Arial" w:hAnsi="Arial" w:cs="Arial"/>
                <w:color w:val="auto"/>
              </w:rPr>
              <w:t>根据《企业事业单位突发环境事件应急预案备案管理办法</w:t>
            </w:r>
            <w:r>
              <w:rPr>
                <w:color w:val="auto"/>
              </w:rPr>
              <w:t>(</w:t>
            </w:r>
            <w:r>
              <w:rPr>
                <w:rFonts w:ascii="Arial" w:hAnsi="Arial" w:cs="Arial"/>
                <w:color w:val="auto"/>
              </w:rPr>
              <w:t>试行</w:t>
            </w:r>
            <w:r>
              <w:rPr>
                <w:color w:val="auto"/>
              </w:rPr>
              <w:t>)</w:t>
            </w:r>
            <w:r>
              <w:rPr>
                <w:rFonts w:ascii="Arial" w:hAnsi="Arial" w:cs="Arial"/>
                <w:color w:val="auto"/>
              </w:rPr>
              <w:t>》</w:t>
            </w:r>
            <w:r>
              <w:rPr>
                <w:color w:val="auto"/>
              </w:rPr>
              <w:t>(</w:t>
            </w:r>
            <w:r>
              <w:rPr>
                <w:rFonts w:ascii="Arial" w:hAnsi="Arial" w:cs="Arial"/>
                <w:color w:val="auto"/>
              </w:rPr>
              <w:t>环发</w:t>
            </w:r>
            <w:r>
              <w:rPr>
                <w:color w:val="auto"/>
              </w:rPr>
              <w:t xml:space="preserve">[2015]4 </w:t>
            </w:r>
            <w:r>
              <w:rPr>
                <w:rFonts w:ascii="Arial" w:hAnsi="Arial" w:cs="Arial"/>
                <w:color w:val="auto"/>
              </w:rPr>
              <w:t>号</w:t>
            </w:r>
            <w:r>
              <w:rPr>
                <w:color w:val="auto"/>
              </w:rPr>
              <w:t>)</w:t>
            </w:r>
            <w:r>
              <w:rPr>
                <w:rFonts w:ascii="Arial" w:hAnsi="Arial" w:cs="Arial"/>
                <w:color w:val="auto"/>
              </w:rPr>
              <w:t>的要求，项目建成后，建设单位需根据《企事业单位和工业园区突发环境事件应急预案编制导则》</w:t>
            </w:r>
            <w:r>
              <w:rPr>
                <w:rFonts w:hint="eastAsia" w:ascii="Arial" w:hAnsi="Arial" w:cs="Arial"/>
                <w:color w:val="auto"/>
              </w:rPr>
              <w:t>（</w:t>
            </w:r>
            <w:r>
              <w:rPr>
                <w:color w:val="auto"/>
              </w:rPr>
              <w:t>DB32/T3795-2020</w:t>
            </w:r>
            <w:r>
              <w:rPr>
                <w:rFonts w:ascii="Arial" w:hAnsi="Arial" w:cs="Arial"/>
                <w:color w:val="auto"/>
              </w:rPr>
              <w:t>）</w:t>
            </w:r>
            <w:r>
              <w:rPr>
                <w:rFonts w:hint="eastAsia" w:ascii="Arial" w:hAnsi="Arial" w:cs="Arial"/>
                <w:color w:val="auto"/>
              </w:rPr>
              <w:t>、《江苏省环境影响评价文件环境应急相关内容编制要点的通知》（苏环办（2022）338号）等相关</w:t>
            </w:r>
            <w:r>
              <w:rPr>
                <w:rFonts w:ascii="Arial" w:hAnsi="Arial" w:cs="Arial"/>
                <w:color w:val="auto"/>
              </w:rPr>
              <w:t>要求，</w:t>
            </w:r>
            <w:r>
              <w:rPr>
                <w:rFonts w:hint="eastAsia" w:ascii="Arial" w:hAnsi="Arial" w:cs="Arial"/>
                <w:color w:val="auto"/>
              </w:rPr>
              <w:t>编制</w:t>
            </w:r>
            <w:r>
              <w:rPr>
                <w:rFonts w:ascii="Arial" w:hAnsi="Arial" w:cs="Arial"/>
                <w:color w:val="auto"/>
              </w:rPr>
              <w:t>环境风险应急预案及备案，并组织专业队伍学习和演练，防患于未然，以便应急救援工作的顺利开展。</w:t>
            </w:r>
          </w:p>
          <w:p>
            <w:pPr>
              <w:spacing w:line="360" w:lineRule="auto"/>
              <w:ind w:firstLine="420" w:firstLineChars="200"/>
              <w:jc w:val="left"/>
              <w:rPr>
                <w:rFonts w:ascii="宋体" w:hAnsi="宋体" w:cs="宋体"/>
                <w:color w:val="auto"/>
              </w:rPr>
            </w:pPr>
            <w:r>
              <w:rPr>
                <w:rFonts w:hint="eastAsia" w:ascii="宋体" w:hAnsi="宋体" w:cs="宋体"/>
                <w:color w:val="auto"/>
              </w:rPr>
              <w:t>②明确事故状态下的特征污染因子和应急监测能力；</w:t>
            </w:r>
          </w:p>
          <w:p>
            <w:pPr>
              <w:spacing w:line="360" w:lineRule="auto"/>
              <w:ind w:firstLine="420" w:firstLineChars="200"/>
              <w:jc w:val="left"/>
              <w:rPr>
                <w:rFonts w:ascii="宋体" w:hAnsi="宋体" w:cs="宋体"/>
                <w:color w:val="auto"/>
              </w:rPr>
            </w:pPr>
            <w:r>
              <w:rPr>
                <w:rFonts w:hint="eastAsia" w:ascii="宋体" w:hAnsi="宋体" w:cs="宋体"/>
                <w:color w:val="auto"/>
              </w:rPr>
              <w:t>公司应急监测委托第三方资质单位进行监测，查明污染物的浓度和扩散情况，根据当时风向、风速，判断扩散的方向和速度，并对泄漏下风向扩散区域进行监测，确定结果，监测情况及时公司及环保部门报告，必要时应通知扩散区域内的群众撤离或指导采取简易有效的控制保护措施。</w:t>
            </w:r>
          </w:p>
          <w:p>
            <w:pPr>
              <w:spacing w:line="360" w:lineRule="auto"/>
              <w:ind w:firstLine="420" w:firstLineChars="200"/>
              <w:jc w:val="left"/>
              <w:rPr>
                <w:rFonts w:ascii="宋体" w:hAnsi="宋体" w:cs="宋体"/>
                <w:color w:val="auto"/>
              </w:rPr>
            </w:pPr>
            <w:r>
              <w:rPr>
                <w:rFonts w:ascii="宋体" w:hAnsi="宋体" w:cs="宋体"/>
                <w:color w:val="auto"/>
              </w:rPr>
              <w:t>发生物料泄漏事故</w:t>
            </w:r>
            <w:r>
              <w:rPr>
                <w:rFonts w:hint="eastAsia" w:ascii="宋体" w:hAnsi="宋体" w:cs="宋体"/>
                <w:color w:val="auto"/>
              </w:rPr>
              <w:t>或厂区火灾爆炸</w:t>
            </w:r>
            <w:r>
              <w:rPr>
                <w:rFonts w:ascii="宋体" w:hAnsi="宋体" w:cs="宋体"/>
                <w:color w:val="auto"/>
              </w:rPr>
              <w:t>事故时，水及大气监测因子分别见表</w:t>
            </w:r>
          </w:p>
          <w:p>
            <w:pPr>
              <w:pStyle w:val="266"/>
              <w:spacing w:before="0" w:after="0" w:line="240" w:lineRule="auto"/>
              <w:ind w:right="0" w:firstLine="0" w:firstLineChars="0"/>
              <w:rPr>
                <w:rFonts w:eastAsia="宋体" w:cs="Times New Roman"/>
                <w:b/>
                <w:bCs/>
                <w:color w:val="auto"/>
                <w:sz w:val="21"/>
                <w:szCs w:val="21"/>
              </w:rPr>
            </w:pPr>
            <w:r>
              <w:rPr>
                <w:rFonts w:hint="eastAsia"/>
                <w:b/>
                <w:color w:val="auto"/>
                <w:sz w:val="21"/>
                <w:szCs w:val="21"/>
              </w:rPr>
              <w:t>表4</w:t>
            </w:r>
            <w:r>
              <w:rPr>
                <w:b/>
                <w:color w:val="auto"/>
                <w:sz w:val="21"/>
                <w:szCs w:val="21"/>
              </w:rPr>
              <w:t>-</w:t>
            </w:r>
            <w:r>
              <w:rPr>
                <w:rFonts w:hint="eastAsia"/>
                <w:b/>
                <w:color w:val="auto"/>
                <w:sz w:val="21"/>
                <w:szCs w:val="21"/>
                <w:lang w:val="en-US"/>
              </w:rPr>
              <w:t>33</w:t>
            </w:r>
            <w:r>
              <w:rPr>
                <w:rFonts w:eastAsia="宋体" w:cs="Times New Roman"/>
                <w:b/>
                <w:bCs/>
                <w:color w:val="auto"/>
                <w:sz w:val="21"/>
                <w:szCs w:val="21"/>
                <w:lang w:val="en-US"/>
              </w:rPr>
              <w:t>应急</w:t>
            </w:r>
            <w:r>
              <w:rPr>
                <w:rFonts w:eastAsia="宋体" w:cs="Times New Roman"/>
                <w:b/>
                <w:bCs/>
                <w:color w:val="auto"/>
                <w:sz w:val="21"/>
                <w:szCs w:val="21"/>
              </w:rPr>
              <w:t>监测因子</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2074"/>
              <w:gridCol w:w="7025"/>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2075" w:type="dxa"/>
                  <w:tcBorders>
                    <w:tl2br w:val="nil"/>
                    <w:tr2bl w:val="nil"/>
                  </w:tcBorders>
                  <w:vAlign w:val="center"/>
                </w:tcPr>
                <w:p>
                  <w:pPr>
                    <w:autoSpaceDE w:val="0"/>
                    <w:autoSpaceDN w:val="0"/>
                    <w:adjustRightInd w:val="0"/>
                    <w:jc w:val="center"/>
                    <w:rPr>
                      <w:b/>
                      <w:bCs/>
                      <w:color w:val="auto"/>
                      <w:kern w:val="0"/>
                      <w:sz w:val="18"/>
                      <w:szCs w:val="18"/>
                    </w:rPr>
                  </w:pPr>
                  <w:r>
                    <w:rPr>
                      <w:b/>
                      <w:bCs/>
                      <w:color w:val="auto"/>
                      <w:kern w:val="0"/>
                      <w:sz w:val="18"/>
                      <w:szCs w:val="18"/>
                    </w:rPr>
                    <w:t>事故类型</w:t>
                  </w:r>
                </w:p>
              </w:tc>
              <w:tc>
                <w:tcPr>
                  <w:tcW w:w="7024" w:type="dxa"/>
                  <w:tcBorders>
                    <w:tl2br w:val="nil"/>
                    <w:tr2bl w:val="nil"/>
                  </w:tcBorders>
                  <w:vAlign w:val="center"/>
                </w:tcPr>
                <w:p>
                  <w:pPr>
                    <w:autoSpaceDE w:val="0"/>
                    <w:autoSpaceDN w:val="0"/>
                    <w:adjustRightInd w:val="0"/>
                    <w:jc w:val="center"/>
                    <w:rPr>
                      <w:b/>
                      <w:bCs/>
                      <w:color w:val="auto"/>
                      <w:kern w:val="0"/>
                      <w:sz w:val="18"/>
                      <w:szCs w:val="18"/>
                    </w:rPr>
                  </w:pPr>
                  <w:r>
                    <w:rPr>
                      <w:b/>
                      <w:bCs/>
                      <w:color w:val="auto"/>
                      <w:kern w:val="0"/>
                      <w:sz w:val="18"/>
                      <w:szCs w:val="18"/>
                    </w:rPr>
                    <w:t>监测因子</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2075" w:type="dxa"/>
                  <w:tcBorders>
                    <w:tl2br w:val="nil"/>
                    <w:tr2bl w:val="nil"/>
                  </w:tcBorders>
                  <w:vAlign w:val="center"/>
                </w:tcPr>
                <w:p>
                  <w:pPr>
                    <w:autoSpaceDE w:val="0"/>
                    <w:autoSpaceDN w:val="0"/>
                    <w:adjustRightInd w:val="0"/>
                    <w:jc w:val="center"/>
                    <w:rPr>
                      <w:color w:val="auto"/>
                      <w:kern w:val="0"/>
                      <w:sz w:val="18"/>
                      <w:szCs w:val="18"/>
                    </w:rPr>
                  </w:pPr>
                  <w:r>
                    <w:rPr>
                      <w:color w:val="auto"/>
                      <w:kern w:val="0"/>
                      <w:sz w:val="18"/>
                      <w:szCs w:val="18"/>
                    </w:rPr>
                    <w:t>物料泄漏事故</w:t>
                  </w:r>
                </w:p>
              </w:tc>
              <w:tc>
                <w:tcPr>
                  <w:tcW w:w="7024" w:type="dxa"/>
                  <w:tcBorders>
                    <w:tl2br w:val="nil"/>
                    <w:tr2bl w:val="nil"/>
                  </w:tcBorders>
                  <w:vAlign w:val="center"/>
                </w:tcPr>
                <w:p>
                  <w:pPr>
                    <w:autoSpaceDE w:val="0"/>
                    <w:autoSpaceDN w:val="0"/>
                    <w:adjustRightInd w:val="0"/>
                    <w:jc w:val="center"/>
                    <w:rPr>
                      <w:color w:val="auto"/>
                      <w:kern w:val="0"/>
                      <w:sz w:val="18"/>
                      <w:szCs w:val="18"/>
                    </w:rPr>
                  </w:pPr>
                  <w:r>
                    <w:rPr>
                      <w:color w:val="auto"/>
                      <w:kern w:val="0"/>
                      <w:sz w:val="18"/>
                      <w:szCs w:val="18"/>
                    </w:rPr>
                    <w:t>pH、SS、COD、氨氮、总磷、</w:t>
                  </w:r>
                  <w:r>
                    <w:rPr>
                      <w:rFonts w:hint="eastAsia"/>
                      <w:color w:val="auto"/>
                      <w:kern w:val="0"/>
                      <w:sz w:val="18"/>
                      <w:szCs w:val="18"/>
                    </w:rPr>
                    <w:t>总氮</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2075" w:type="dxa"/>
                  <w:tcBorders>
                    <w:tl2br w:val="nil"/>
                    <w:tr2bl w:val="nil"/>
                  </w:tcBorders>
                  <w:vAlign w:val="center"/>
                </w:tcPr>
                <w:p>
                  <w:pPr>
                    <w:autoSpaceDE w:val="0"/>
                    <w:autoSpaceDN w:val="0"/>
                    <w:adjustRightInd w:val="0"/>
                    <w:jc w:val="center"/>
                    <w:rPr>
                      <w:color w:val="auto"/>
                      <w:kern w:val="0"/>
                      <w:sz w:val="18"/>
                      <w:szCs w:val="18"/>
                    </w:rPr>
                  </w:pPr>
                  <w:r>
                    <w:rPr>
                      <w:color w:val="auto"/>
                      <w:kern w:val="0"/>
                      <w:sz w:val="18"/>
                      <w:szCs w:val="18"/>
                    </w:rPr>
                    <w:t>厂区火灾爆炸事故</w:t>
                  </w:r>
                </w:p>
              </w:tc>
              <w:tc>
                <w:tcPr>
                  <w:tcW w:w="7024" w:type="dxa"/>
                  <w:tcBorders>
                    <w:tl2br w:val="nil"/>
                    <w:tr2bl w:val="nil"/>
                  </w:tcBorders>
                  <w:vAlign w:val="center"/>
                </w:tcPr>
                <w:p>
                  <w:pPr>
                    <w:autoSpaceDE w:val="0"/>
                    <w:autoSpaceDN w:val="0"/>
                    <w:adjustRightInd w:val="0"/>
                    <w:jc w:val="center"/>
                    <w:rPr>
                      <w:color w:val="auto"/>
                      <w:kern w:val="0"/>
                      <w:sz w:val="18"/>
                      <w:szCs w:val="18"/>
                    </w:rPr>
                  </w:pPr>
                  <w:r>
                    <w:rPr>
                      <w:color w:val="auto"/>
                      <w:kern w:val="0"/>
                      <w:sz w:val="18"/>
                      <w:szCs w:val="18"/>
                    </w:rPr>
                    <w:t>pH、SS、COD、氨氮、总磷、</w:t>
                  </w:r>
                  <w:r>
                    <w:rPr>
                      <w:rFonts w:hint="eastAsia"/>
                      <w:color w:val="auto"/>
                      <w:kern w:val="0"/>
                      <w:sz w:val="18"/>
                      <w:szCs w:val="18"/>
                    </w:rPr>
                    <w:t>总氮</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2070" w:type="dxa"/>
                  <w:tcBorders>
                    <w:tl2br w:val="nil"/>
                    <w:tr2bl w:val="nil"/>
                  </w:tcBorders>
                  <w:vAlign w:val="center"/>
                </w:tcPr>
                <w:p>
                  <w:pPr>
                    <w:jc w:val="center"/>
                    <w:rPr>
                      <w:b/>
                      <w:bCs/>
                      <w:color w:val="auto"/>
                      <w:sz w:val="18"/>
                      <w:szCs w:val="18"/>
                    </w:rPr>
                  </w:pPr>
                  <w:r>
                    <w:rPr>
                      <w:b/>
                      <w:bCs/>
                      <w:color w:val="auto"/>
                      <w:sz w:val="18"/>
                      <w:szCs w:val="18"/>
                    </w:rPr>
                    <w:t>事故类型</w:t>
                  </w:r>
                </w:p>
              </w:tc>
              <w:tc>
                <w:tcPr>
                  <w:tcW w:w="7029" w:type="dxa"/>
                  <w:tcBorders>
                    <w:tl2br w:val="nil"/>
                    <w:tr2bl w:val="nil"/>
                  </w:tcBorders>
                  <w:vAlign w:val="center"/>
                </w:tcPr>
                <w:p>
                  <w:pPr>
                    <w:jc w:val="center"/>
                    <w:rPr>
                      <w:b/>
                      <w:bCs/>
                      <w:color w:val="auto"/>
                      <w:sz w:val="18"/>
                      <w:szCs w:val="18"/>
                    </w:rPr>
                  </w:pPr>
                  <w:r>
                    <w:rPr>
                      <w:b/>
                      <w:bCs/>
                      <w:color w:val="auto"/>
                      <w:sz w:val="18"/>
                      <w:szCs w:val="18"/>
                    </w:rPr>
                    <w:t>监测因子</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2070" w:type="dxa"/>
                  <w:tcBorders>
                    <w:tl2br w:val="nil"/>
                    <w:tr2bl w:val="nil"/>
                  </w:tcBorders>
                  <w:vAlign w:val="center"/>
                </w:tcPr>
                <w:p>
                  <w:pPr>
                    <w:jc w:val="center"/>
                    <w:rPr>
                      <w:color w:val="auto"/>
                      <w:sz w:val="18"/>
                      <w:szCs w:val="18"/>
                    </w:rPr>
                  </w:pPr>
                  <w:r>
                    <w:rPr>
                      <w:color w:val="auto"/>
                      <w:sz w:val="18"/>
                      <w:szCs w:val="18"/>
                    </w:rPr>
                    <w:t>厂区火灾爆炸事故</w:t>
                  </w:r>
                </w:p>
              </w:tc>
              <w:tc>
                <w:tcPr>
                  <w:tcW w:w="7029" w:type="dxa"/>
                  <w:tcBorders>
                    <w:tl2br w:val="nil"/>
                    <w:tr2bl w:val="nil"/>
                  </w:tcBorders>
                  <w:vAlign w:val="center"/>
                </w:tcPr>
                <w:p>
                  <w:pPr>
                    <w:adjustRightInd w:val="0"/>
                    <w:jc w:val="center"/>
                    <w:rPr>
                      <w:color w:val="auto"/>
                      <w:sz w:val="18"/>
                      <w:szCs w:val="18"/>
                    </w:rPr>
                  </w:pPr>
                  <w:r>
                    <w:rPr>
                      <w:color w:val="auto"/>
                      <w:sz w:val="18"/>
                      <w:szCs w:val="18"/>
                    </w:rPr>
                    <w:t>SO</w:t>
                  </w:r>
                  <w:r>
                    <w:rPr>
                      <w:color w:val="auto"/>
                      <w:sz w:val="18"/>
                      <w:szCs w:val="18"/>
                      <w:vertAlign w:val="subscript"/>
                    </w:rPr>
                    <w:t>2</w:t>
                  </w:r>
                  <w:r>
                    <w:rPr>
                      <w:color w:val="auto"/>
                      <w:sz w:val="18"/>
                      <w:szCs w:val="18"/>
                    </w:rPr>
                    <w:t>、NO</w:t>
                  </w:r>
                  <w:r>
                    <w:rPr>
                      <w:color w:val="auto"/>
                      <w:sz w:val="18"/>
                      <w:szCs w:val="18"/>
                      <w:vertAlign w:val="subscript"/>
                    </w:rPr>
                    <w:t>2</w:t>
                  </w:r>
                  <w:r>
                    <w:rPr>
                      <w:color w:val="auto"/>
                      <w:sz w:val="18"/>
                      <w:szCs w:val="18"/>
                    </w:rPr>
                    <w:t>、PM</w:t>
                  </w:r>
                  <w:r>
                    <w:rPr>
                      <w:color w:val="auto"/>
                      <w:sz w:val="18"/>
                      <w:szCs w:val="18"/>
                      <w:vertAlign w:val="subscript"/>
                    </w:rPr>
                    <w:t>10</w:t>
                  </w:r>
                  <w:r>
                    <w:rPr>
                      <w:color w:val="auto"/>
                      <w:sz w:val="18"/>
                      <w:szCs w:val="18"/>
                    </w:rPr>
                    <w:t>、CO</w:t>
                  </w:r>
                </w:p>
              </w:tc>
            </w:tr>
          </w:tbl>
          <w:p>
            <w:pPr>
              <w:spacing w:line="360" w:lineRule="auto"/>
              <w:ind w:firstLine="420" w:firstLineChars="200"/>
              <w:jc w:val="left"/>
              <w:rPr>
                <w:rFonts w:ascii="宋体" w:hAnsi="宋体" w:cs="宋体"/>
                <w:color w:val="auto"/>
              </w:rPr>
            </w:pPr>
            <w:r>
              <w:rPr>
                <w:rFonts w:ascii="宋体" w:hAnsi="宋体" w:cs="宋体"/>
                <w:color w:val="auto"/>
              </w:rPr>
              <w:t>按照事故持续时间决定监测时间，根据事故严重性决定监测频次。一般情况下，特征因子每小时监测1次，随事故控制减弱，适当减少监测频次。</w:t>
            </w:r>
          </w:p>
          <w:p>
            <w:pPr>
              <w:pStyle w:val="266"/>
              <w:spacing w:before="0" w:after="0" w:line="240" w:lineRule="auto"/>
              <w:ind w:right="0" w:firstLine="0" w:firstLineChars="0"/>
              <w:rPr>
                <w:rFonts w:eastAsia="宋体" w:cs="Times New Roman"/>
                <w:b/>
                <w:color w:val="auto"/>
                <w:sz w:val="21"/>
                <w:szCs w:val="21"/>
              </w:rPr>
            </w:pPr>
            <w:r>
              <w:rPr>
                <w:rFonts w:eastAsia="宋体" w:cs="Times New Roman"/>
                <w:b/>
                <w:color w:val="auto"/>
                <w:sz w:val="21"/>
                <w:szCs w:val="21"/>
              </w:rPr>
              <w:t>表4-</w:t>
            </w:r>
            <w:r>
              <w:rPr>
                <w:rFonts w:eastAsia="宋体" w:cs="Times New Roman"/>
                <w:b/>
                <w:color w:val="auto"/>
                <w:sz w:val="21"/>
                <w:szCs w:val="21"/>
                <w:lang w:val="en-US"/>
              </w:rPr>
              <w:t>34</w:t>
            </w:r>
            <w:r>
              <w:rPr>
                <w:rFonts w:eastAsia="宋体" w:cs="Times New Roman"/>
                <w:b/>
                <w:color w:val="auto"/>
                <w:sz w:val="21"/>
                <w:szCs w:val="21"/>
              </w:rPr>
              <w:t xml:space="preserve">   应急监测频次确定原则明细表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939"/>
              <w:gridCol w:w="2684"/>
              <w:gridCol w:w="3779"/>
              <w:gridCol w:w="1697"/>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939" w:type="dxa"/>
                  <w:tcBorders>
                    <w:tl2br w:val="nil"/>
                    <w:tr2bl w:val="nil"/>
                  </w:tcBorders>
                  <w:vAlign w:val="center"/>
                </w:tcPr>
                <w:p>
                  <w:pPr>
                    <w:jc w:val="center"/>
                    <w:rPr>
                      <w:b/>
                      <w:color w:val="auto"/>
                      <w:sz w:val="18"/>
                      <w:szCs w:val="18"/>
                    </w:rPr>
                  </w:pPr>
                  <w:r>
                    <w:rPr>
                      <w:b/>
                      <w:color w:val="auto"/>
                      <w:sz w:val="18"/>
                      <w:szCs w:val="18"/>
                    </w:rPr>
                    <w:t>事故类型</w:t>
                  </w:r>
                </w:p>
              </w:tc>
              <w:tc>
                <w:tcPr>
                  <w:tcW w:w="2684" w:type="dxa"/>
                  <w:tcBorders>
                    <w:tl2br w:val="nil"/>
                    <w:tr2bl w:val="nil"/>
                  </w:tcBorders>
                  <w:vAlign w:val="center"/>
                </w:tcPr>
                <w:p>
                  <w:pPr>
                    <w:jc w:val="center"/>
                    <w:rPr>
                      <w:b/>
                      <w:color w:val="auto"/>
                      <w:sz w:val="18"/>
                      <w:szCs w:val="18"/>
                    </w:rPr>
                  </w:pPr>
                  <w:r>
                    <w:rPr>
                      <w:b/>
                      <w:color w:val="auto"/>
                      <w:sz w:val="18"/>
                      <w:szCs w:val="18"/>
                    </w:rPr>
                    <w:t>监测点位</w:t>
                  </w:r>
                </w:p>
              </w:tc>
              <w:tc>
                <w:tcPr>
                  <w:tcW w:w="3779" w:type="dxa"/>
                  <w:tcBorders>
                    <w:tl2br w:val="nil"/>
                    <w:tr2bl w:val="nil"/>
                  </w:tcBorders>
                  <w:vAlign w:val="center"/>
                </w:tcPr>
                <w:p>
                  <w:pPr>
                    <w:jc w:val="center"/>
                    <w:rPr>
                      <w:b/>
                      <w:color w:val="auto"/>
                      <w:sz w:val="18"/>
                      <w:szCs w:val="18"/>
                    </w:rPr>
                  </w:pPr>
                  <w:r>
                    <w:rPr>
                      <w:b/>
                      <w:color w:val="auto"/>
                      <w:sz w:val="18"/>
                      <w:szCs w:val="18"/>
                    </w:rPr>
                    <w:t>应急监测频次</w:t>
                  </w:r>
                </w:p>
              </w:tc>
              <w:tc>
                <w:tcPr>
                  <w:tcW w:w="1697" w:type="dxa"/>
                  <w:tcBorders>
                    <w:tl2br w:val="nil"/>
                    <w:tr2bl w:val="nil"/>
                  </w:tcBorders>
                  <w:vAlign w:val="center"/>
                </w:tcPr>
                <w:p>
                  <w:pPr>
                    <w:adjustRightInd w:val="0"/>
                    <w:snapToGrid w:val="0"/>
                    <w:jc w:val="center"/>
                    <w:rPr>
                      <w:b/>
                      <w:color w:val="auto"/>
                      <w:sz w:val="18"/>
                      <w:szCs w:val="18"/>
                    </w:rPr>
                  </w:pPr>
                  <w:r>
                    <w:rPr>
                      <w:b/>
                      <w:color w:val="auto"/>
                      <w:sz w:val="18"/>
                      <w:szCs w:val="18"/>
                    </w:rPr>
                    <w:t>追踪监测</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939" w:type="dxa"/>
                  <w:vMerge w:val="restart"/>
                  <w:tcBorders>
                    <w:tl2br w:val="nil"/>
                    <w:tr2bl w:val="nil"/>
                  </w:tcBorders>
                  <w:vAlign w:val="center"/>
                </w:tcPr>
                <w:p>
                  <w:pPr>
                    <w:jc w:val="center"/>
                    <w:rPr>
                      <w:color w:val="auto"/>
                      <w:sz w:val="18"/>
                      <w:szCs w:val="18"/>
                    </w:rPr>
                  </w:pPr>
                  <w:r>
                    <w:rPr>
                      <w:color w:val="auto"/>
                      <w:sz w:val="18"/>
                      <w:szCs w:val="18"/>
                    </w:rPr>
                    <w:t>厂区火灾爆炸事故</w:t>
                  </w:r>
                </w:p>
              </w:tc>
              <w:tc>
                <w:tcPr>
                  <w:tcW w:w="2684" w:type="dxa"/>
                  <w:tcBorders>
                    <w:tl2br w:val="nil"/>
                    <w:tr2bl w:val="nil"/>
                  </w:tcBorders>
                  <w:vAlign w:val="center"/>
                </w:tcPr>
                <w:p>
                  <w:pPr>
                    <w:jc w:val="center"/>
                    <w:rPr>
                      <w:color w:val="auto"/>
                      <w:sz w:val="18"/>
                      <w:szCs w:val="18"/>
                    </w:rPr>
                  </w:pPr>
                  <w:r>
                    <w:rPr>
                      <w:color w:val="auto"/>
                      <w:sz w:val="18"/>
                      <w:szCs w:val="18"/>
                    </w:rPr>
                    <w:t>事故发生地（本公司）</w:t>
                  </w:r>
                </w:p>
              </w:tc>
              <w:tc>
                <w:tcPr>
                  <w:tcW w:w="3779" w:type="dxa"/>
                  <w:tcBorders>
                    <w:tl2br w:val="nil"/>
                    <w:tr2bl w:val="nil"/>
                  </w:tcBorders>
                  <w:vAlign w:val="center"/>
                </w:tcPr>
                <w:p>
                  <w:pPr>
                    <w:jc w:val="center"/>
                    <w:rPr>
                      <w:color w:val="auto"/>
                      <w:sz w:val="18"/>
                      <w:szCs w:val="18"/>
                    </w:rPr>
                  </w:pPr>
                  <w:r>
                    <w:rPr>
                      <w:color w:val="auto"/>
                      <w:sz w:val="18"/>
                      <w:szCs w:val="18"/>
                    </w:rPr>
                    <w:t>（1次/30min~1h）监测，随着污染物浓度的下降逐渐降低频次</w:t>
                  </w:r>
                </w:p>
              </w:tc>
              <w:tc>
                <w:tcPr>
                  <w:tcW w:w="1697" w:type="dxa"/>
                  <w:vMerge w:val="restart"/>
                  <w:tcBorders>
                    <w:tl2br w:val="nil"/>
                    <w:tr2bl w:val="nil"/>
                  </w:tcBorders>
                  <w:vAlign w:val="center"/>
                </w:tcPr>
                <w:p>
                  <w:pPr>
                    <w:adjustRightInd w:val="0"/>
                    <w:snapToGrid w:val="0"/>
                    <w:jc w:val="center"/>
                    <w:rPr>
                      <w:color w:val="auto"/>
                      <w:sz w:val="18"/>
                      <w:szCs w:val="18"/>
                    </w:rPr>
                  </w:pPr>
                  <w:r>
                    <w:rPr>
                      <w:color w:val="auto"/>
                      <w:sz w:val="18"/>
                      <w:szCs w:val="18"/>
                    </w:rPr>
                    <w:t>监测浓度低于环境空气质量标准值或已接近可忽略水平为止</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PrEx>
              <w:trPr>
                <w:trHeight w:val="340" w:hRule="atLeast"/>
                <w:jc w:val="center"/>
              </w:trPr>
              <w:tc>
                <w:tcPr>
                  <w:tcW w:w="939" w:type="dxa"/>
                  <w:vMerge w:val="continue"/>
                  <w:tcBorders>
                    <w:tl2br w:val="nil"/>
                    <w:tr2bl w:val="nil"/>
                  </w:tcBorders>
                  <w:vAlign w:val="center"/>
                </w:tcPr>
                <w:p>
                  <w:pPr>
                    <w:jc w:val="center"/>
                    <w:rPr>
                      <w:color w:val="auto"/>
                      <w:sz w:val="18"/>
                      <w:szCs w:val="18"/>
                    </w:rPr>
                  </w:pPr>
                </w:p>
              </w:tc>
              <w:tc>
                <w:tcPr>
                  <w:tcW w:w="2684" w:type="dxa"/>
                  <w:tcBorders>
                    <w:tl2br w:val="nil"/>
                    <w:tr2bl w:val="nil"/>
                  </w:tcBorders>
                  <w:vAlign w:val="center"/>
                </w:tcPr>
                <w:p>
                  <w:pPr>
                    <w:jc w:val="center"/>
                    <w:rPr>
                      <w:color w:val="auto"/>
                      <w:sz w:val="18"/>
                      <w:szCs w:val="18"/>
                    </w:rPr>
                  </w:pPr>
                  <w:r>
                    <w:rPr>
                      <w:color w:val="auto"/>
                      <w:sz w:val="18"/>
                      <w:szCs w:val="18"/>
                    </w:rPr>
                    <w:t>事故发生地下风向</w:t>
                  </w:r>
                </w:p>
              </w:tc>
              <w:tc>
                <w:tcPr>
                  <w:tcW w:w="3779" w:type="dxa"/>
                  <w:tcBorders>
                    <w:tl2br w:val="nil"/>
                    <w:tr2bl w:val="nil"/>
                  </w:tcBorders>
                  <w:vAlign w:val="center"/>
                </w:tcPr>
                <w:p>
                  <w:pPr>
                    <w:jc w:val="center"/>
                    <w:rPr>
                      <w:color w:val="auto"/>
                      <w:sz w:val="18"/>
                      <w:szCs w:val="18"/>
                    </w:rPr>
                  </w:pPr>
                  <w:r>
                    <w:rPr>
                      <w:color w:val="auto"/>
                      <w:sz w:val="18"/>
                      <w:szCs w:val="18"/>
                    </w:rPr>
                    <w:t>1次/30min~1h或与事故发生地同频次（应急期间）</w:t>
                  </w:r>
                </w:p>
              </w:tc>
              <w:tc>
                <w:tcPr>
                  <w:tcW w:w="1697" w:type="dxa"/>
                  <w:vMerge w:val="continue"/>
                  <w:tcBorders>
                    <w:tl2br w:val="nil"/>
                    <w:tr2bl w:val="nil"/>
                  </w:tcBorders>
                  <w:vAlign w:val="center"/>
                </w:tcPr>
                <w:p>
                  <w:pPr>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939" w:type="dxa"/>
                  <w:vMerge w:val="continue"/>
                  <w:tcBorders>
                    <w:tl2br w:val="nil"/>
                    <w:tr2bl w:val="nil"/>
                  </w:tcBorders>
                  <w:vAlign w:val="center"/>
                </w:tcPr>
                <w:p>
                  <w:pPr>
                    <w:jc w:val="center"/>
                    <w:rPr>
                      <w:color w:val="auto"/>
                      <w:sz w:val="18"/>
                      <w:szCs w:val="18"/>
                    </w:rPr>
                  </w:pPr>
                </w:p>
              </w:tc>
              <w:tc>
                <w:tcPr>
                  <w:tcW w:w="2684" w:type="dxa"/>
                  <w:tcBorders>
                    <w:tl2br w:val="nil"/>
                    <w:tr2bl w:val="nil"/>
                  </w:tcBorders>
                  <w:vAlign w:val="center"/>
                </w:tcPr>
                <w:p>
                  <w:pPr>
                    <w:jc w:val="center"/>
                    <w:rPr>
                      <w:color w:val="auto"/>
                      <w:sz w:val="18"/>
                      <w:szCs w:val="18"/>
                    </w:rPr>
                  </w:pPr>
                  <w:r>
                    <w:rPr>
                      <w:color w:val="auto"/>
                      <w:sz w:val="18"/>
                      <w:szCs w:val="18"/>
                    </w:rPr>
                    <w:t>事故上风向对照点</w:t>
                  </w:r>
                </w:p>
              </w:tc>
              <w:tc>
                <w:tcPr>
                  <w:tcW w:w="3779" w:type="dxa"/>
                  <w:tcBorders>
                    <w:tl2br w:val="nil"/>
                    <w:tr2bl w:val="nil"/>
                  </w:tcBorders>
                  <w:vAlign w:val="center"/>
                </w:tcPr>
                <w:p>
                  <w:pPr>
                    <w:jc w:val="center"/>
                    <w:rPr>
                      <w:color w:val="auto"/>
                      <w:sz w:val="18"/>
                      <w:szCs w:val="18"/>
                    </w:rPr>
                  </w:pPr>
                  <w:r>
                    <w:rPr>
                      <w:color w:val="auto"/>
                      <w:sz w:val="18"/>
                      <w:szCs w:val="18"/>
                    </w:rPr>
                    <w:t>1次/1h（应急期间）</w:t>
                  </w:r>
                </w:p>
              </w:tc>
              <w:tc>
                <w:tcPr>
                  <w:tcW w:w="1697" w:type="dxa"/>
                  <w:vMerge w:val="continue"/>
                  <w:tcBorders>
                    <w:tl2br w:val="nil"/>
                    <w:tr2bl w:val="nil"/>
                  </w:tcBorders>
                  <w:vAlign w:val="center"/>
                </w:tcPr>
                <w:p>
                  <w:pPr>
                    <w:jc w:val="center"/>
                    <w:rPr>
                      <w:color w:val="auto"/>
                      <w:sz w:val="18"/>
                      <w:szCs w:val="18"/>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939" w:type="dxa"/>
                  <w:tcBorders>
                    <w:tl2br w:val="nil"/>
                    <w:tr2bl w:val="nil"/>
                  </w:tcBorders>
                  <w:vAlign w:val="center"/>
                </w:tcPr>
                <w:p>
                  <w:pPr>
                    <w:jc w:val="center"/>
                    <w:rPr>
                      <w:color w:val="auto"/>
                      <w:sz w:val="18"/>
                      <w:szCs w:val="18"/>
                    </w:rPr>
                  </w:pPr>
                  <w:r>
                    <w:rPr>
                      <w:color w:val="auto"/>
                      <w:sz w:val="18"/>
                      <w:szCs w:val="18"/>
                    </w:rPr>
                    <w:t>物料泄漏事故</w:t>
                  </w:r>
                </w:p>
              </w:tc>
              <w:tc>
                <w:tcPr>
                  <w:tcW w:w="2684" w:type="dxa"/>
                  <w:tcBorders>
                    <w:tl2br w:val="nil"/>
                    <w:tr2bl w:val="nil"/>
                  </w:tcBorders>
                  <w:vAlign w:val="center"/>
                </w:tcPr>
                <w:p>
                  <w:pPr>
                    <w:jc w:val="center"/>
                    <w:rPr>
                      <w:color w:val="auto"/>
                      <w:sz w:val="18"/>
                      <w:szCs w:val="18"/>
                    </w:rPr>
                  </w:pPr>
                  <w:r>
                    <w:rPr>
                      <w:color w:val="auto"/>
                      <w:sz w:val="18"/>
                      <w:szCs w:val="18"/>
                    </w:rPr>
                    <w:t>事故发生地河流、上游及其下游</w:t>
                  </w:r>
                </w:p>
              </w:tc>
              <w:tc>
                <w:tcPr>
                  <w:tcW w:w="3779" w:type="dxa"/>
                  <w:tcBorders>
                    <w:tl2br w:val="nil"/>
                    <w:tr2bl w:val="nil"/>
                  </w:tcBorders>
                  <w:vAlign w:val="center"/>
                </w:tcPr>
                <w:p>
                  <w:pPr>
                    <w:jc w:val="center"/>
                    <w:rPr>
                      <w:color w:val="auto"/>
                      <w:sz w:val="18"/>
                      <w:szCs w:val="18"/>
                    </w:rPr>
                  </w:pPr>
                  <w:r>
                    <w:rPr>
                      <w:color w:val="auto"/>
                      <w:sz w:val="18"/>
                      <w:szCs w:val="18"/>
                    </w:rPr>
                    <w:t>（2次/天）监测，随着污染物浓度的下降逐渐降低频次</w:t>
                  </w:r>
                </w:p>
              </w:tc>
              <w:tc>
                <w:tcPr>
                  <w:tcW w:w="1697" w:type="dxa"/>
                  <w:tcBorders>
                    <w:tl2br w:val="nil"/>
                    <w:tr2bl w:val="nil"/>
                  </w:tcBorders>
                  <w:vAlign w:val="center"/>
                </w:tcPr>
                <w:p>
                  <w:pPr>
                    <w:jc w:val="center"/>
                    <w:rPr>
                      <w:color w:val="auto"/>
                      <w:sz w:val="18"/>
                      <w:szCs w:val="18"/>
                    </w:rPr>
                  </w:pPr>
                  <w:r>
                    <w:rPr>
                      <w:color w:val="auto"/>
                      <w:sz w:val="18"/>
                      <w:szCs w:val="18"/>
                    </w:rPr>
                    <w:t>监测浓度低于环境地表水质量标准值或已接近可忽略水平为止</w:t>
                  </w:r>
                </w:p>
              </w:tc>
            </w:tr>
          </w:tbl>
          <w:p>
            <w:pPr>
              <w:spacing w:line="360" w:lineRule="auto"/>
              <w:ind w:firstLine="420" w:firstLineChars="200"/>
              <w:jc w:val="left"/>
              <w:rPr>
                <w:rFonts w:ascii="Arial" w:hAnsi="Arial" w:cs="Arial"/>
                <w:color w:val="auto"/>
              </w:rPr>
            </w:pPr>
            <w:r>
              <w:rPr>
                <w:rFonts w:hint="eastAsia" w:ascii="宋体" w:hAnsi="宋体" w:cs="宋体"/>
                <w:color w:val="auto"/>
              </w:rPr>
              <w:t>③</w:t>
            </w:r>
            <w:r>
              <w:rPr>
                <w:rFonts w:hint="eastAsia" w:ascii="Arial" w:hAnsi="Arial" w:cs="Arial"/>
                <w:color w:val="auto"/>
              </w:rPr>
              <w:t>参照相关规范明确环境应急物资装备配备要求；</w:t>
            </w:r>
          </w:p>
          <w:p>
            <w:pPr>
              <w:jc w:val="center"/>
              <w:rPr>
                <w:b/>
                <w:color w:val="auto"/>
              </w:rPr>
            </w:pPr>
            <w:r>
              <w:rPr>
                <w:rFonts w:hint="eastAsia"/>
                <w:b/>
                <w:color w:val="auto"/>
              </w:rPr>
              <w:t>表4-35  环境应急资源</w:t>
            </w:r>
          </w:p>
          <w:tbl>
            <w:tblPr>
              <w:tblStyle w:val="37"/>
              <w:tblW w:w="0" w:type="auto"/>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1307"/>
              <w:gridCol w:w="5280"/>
              <w:gridCol w:w="1043"/>
              <w:gridCol w:w="1107"/>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307" w:type="dxa"/>
                  <w:tcBorders>
                    <w:tl2br w:val="nil"/>
                    <w:tr2bl w:val="nil"/>
                  </w:tcBorders>
                  <w:vAlign w:val="center"/>
                </w:tcPr>
                <w:p>
                  <w:pPr>
                    <w:widowControl/>
                    <w:adjustRightInd w:val="0"/>
                    <w:snapToGrid w:val="0"/>
                    <w:jc w:val="center"/>
                    <w:rPr>
                      <w:b/>
                      <w:color w:val="auto"/>
                      <w:kern w:val="0"/>
                      <w:sz w:val="18"/>
                      <w:szCs w:val="18"/>
                    </w:rPr>
                  </w:pPr>
                  <w:r>
                    <w:rPr>
                      <w:b/>
                      <w:color w:val="auto"/>
                      <w:kern w:val="0"/>
                      <w:sz w:val="18"/>
                      <w:szCs w:val="18"/>
                    </w:rPr>
                    <w:t>主要作业方式或资源功能</w:t>
                  </w:r>
                </w:p>
              </w:tc>
              <w:tc>
                <w:tcPr>
                  <w:tcW w:w="5280" w:type="dxa"/>
                  <w:tcBorders>
                    <w:tl2br w:val="nil"/>
                    <w:tr2bl w:val="nil"/>
                  </w:tcBorders>
                  <w:vAlign w:val="center"/>
                </w:tcPr>
                <w:p>
                  <w:pPr>
                    <w:adjustRightInd w:val="0"/>
                    <w:snapToGrid w:val="0"/>
                    <w:jc w:val="center"/>
                    <w:rPr>
                      <w:b/>
                      <w:color w:val="auto"/>
                      <w:kern w:val="0"/>
                      <w:sz w:val="18"/>
                      <w:szCs w:val="18"/>
                    </w:rPr>
                  </w:pPr>
                  <w:r>
                    <w:rPr>
                      <w:b/>
                      <w:color w:val="auto"/>
                      <w:kern w:val="0"/>
                      <w:sz w:val="18"/>
                      <w:szCs w:val="18"/>
                    </w:rPr>
                    <w:t>重点应急资源名称</w:t>
                  </w:r>
                </w:p>
              </w:tc>
              <w:tc>
                <w:tcPr>
                  <w:tcW w:w="1043" w:type="dxa"/>
                  <w:tcBorders>
                    <w:tl2br w:val="nil"/>
                    <w:tr2bl w:val="nil"/>
                  </w:tcBorders>
                  <w:vAlign w:val="center"/>
                </w:tcPr>
                <w:p>
                  <w:pPr>
                    <w:adjustRightInd w:val="0"/>
                    <w:snapToGrid w:val="0"/>
                    <w:jc w:val="center"/>
                    <w:rPr>
                      <w:b/>
                      <w:color w:val="auto"/>
                      <w:kern w:val="0"/>
                      <w:sz w:val="18"/>
                      <w:szCs w:val="18"/>
                    </w:rPr>
                  </w:pPr>
                  <w:r>
                    <w:rPr>
                      <w:rFonts w:hint="eastAsia"/>
                      <w:b/>
                      <w:color w:val="auto"/>
                      <w:kern w:val="0"/>
                      <w:sz w:val="18"/>
                      <w:szCs w:val="18"/>
                    </w:rPr>
                    <w:t>建设单位</w:t>
                  </w:r>
                  <w:r>
                    <w:rPr>
                      <w:b/>
                      <w:color w:val="auto"/>
                      <w:kern w:val="0"/>
                      <w:sz w:val="18"/>
                      <w:szCs w:val="18"/>
                    </w:rPr>
                    <w:t>物资</w:t>
                  </w:r>
                </w:p>
              </w:tc>
              <w:tc>
                <w:tcPr>
                  <w:tcW w:w="1107" w:type="dxa"/>
                  <w:tcBorders>
                    <w:tl2br w:val="nil"/>
                    <w:tr2bl w:val="nil"/>
                  </w:tcBorders>
                  <w:vAlign w:val="center"/>
                </w:tcPr>
                <w:p>
                  <w:pPr>
                    <w:adjustRightInd w:val="0"/>
                    <w:snapToGrid w:val="0"/>
                    <w:jc w:val="center"/>
                    <w:rPr>
                      <w:b/>
                      <w:color w:val="auto"/>
                      <w:kern w:val="0"/>
                      <w:sz w:val="18"/>
                      <w:szCs w:val="18"/>
                    </w:rPr>
                  </w:pPr>
                  <w:r>
                    <w:rPr>
                      <w:rFonts w:hint="eastAsia"/>
                      <w:b/>
                      <w:color w:val="auto"/>
                      <w:kern w:val="0"/>
                      <w:sz w:val="18"/>
                      <w:szCs w:val="18"/>
                    </w:rPr>
                    <w:t>存储地点</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307" w:type="dxa"/>
                  <w:tcBorders>
                    <w:tl2br w:val="nil"/>
                    <w:tr2bl w:val="nil"/>
                  </w:tcBorders>
                  <w:vAlign w:val="center"/>
                </w:tcPr>
                <w:p>
                  <w:pPr>
                    <w:widowControl/>
                    <w:adjustRightInd w:val="0"/>
                    <w:snapToGrid w:val="0"/>
                    <w:jc w:val="center"/>
                    <w:rPr>
                      <w:color w:val="auto"/>
                      <w:kern w:val="0"/>
                      <w:sz w:val="18"/>
                      <w:szCs w:val="18"/>
                    </w:rPr>
                  </w:pPr>
                  <w:r>
                    <w:rPr>
                      <w:color w:val="auto"/>
                      <w:kern w:val="0"/>
                      <w:sz w:val="18"/>
                      <w:szCs w:val="18"/>
                    </w:rPr>
                    <w:t>污染源切断</w:t>
                  </w:r>
                </w:p>
              </w:tc>
              <w:tc>
                <w:tcPr>
                  <w:tcW w:w="5280" w:type="dxa"/>
                  <w:tcBorders>
                    <w:tl2br w:val="nil"/>
                    <w:tr2bl w:val="nil"/>
                  </w:tcBorders>
                  <w:vAlign w:val="center"/>
                </w:tcPr>
                <w:p>
                  <w:pPr>
                    <w:widowControl/>
                    <w:adjustRightInd w:val="0"/>
                    <w:snapToGrid w:val="0"/>
                    <w:rPr>
                      <w:color w:val="auto"/>
                      <w:kern w:val="0"/>
                      <w:sz w:val="18"/>
                      <w:szCs w:val="18"/>
                    </w:rPr>
                  </w:pPr>
                  <w:r>
                    <w:rPr>
                      <w:color w:val="auto"/>
                      <w:kern w:val="0"/>
                      <w:sz w:val="18"/>
                      <w:szCs w:val="18"/>
                    </w:rPr>
                    <w:t>沙包沙袋，快速膨胀袋，溢漏围堤</w:t>
                  </w:r>
                </w:p>
                <w:p>
                  <w:pPr>
                    <w:widowControl/>
                    <w:adjustRightInd w:val="0"/>
                    <w:snapToGrid w:val="0"/>
                    <w:rPr>
                      <w:color w:val="auto"/>
                      <w:kern w:val="0"/>
                      <w:sz w:val="18"/>
                      <w:szCs w:val="18"/>
                    </w:rPr>
                  </w:pPr>
                  <w:r>
                    <w:rPr>
                      <w:color w:val="auto"/>
                      <w:kern w:val="0"/>
                      <w:sz w:val="18"/>
                      <w:szCs w:val="18"/>
                    </w:rPr>
                    <w:t>下水道阻流袋，排水井保护垫，沟渠密封袋</w:t>
                  </w:r>
                </w:p>
                <w:p>
                  <w:pPr>
                    <w:widowControl/>
                    <w:adjustRightInd w:val="0"/>
                    <w:snapToGrid w:val="0"/>
                    <w:rPr>
                      <w:color w:val="auto"/>
                      <w:kern w:val="0"/>
                      <w:sz w:val="18"/>
                      <w:szCs w:val="18"/>
                    </w:rPr>
                  </w:pPr>
                  <w:r>
                    <w:rPr>
                      <w:color w:val="auto"/>
                      <w:kern w:val="0"/>
                      <w:sz w:val="18"/>
                      <w:szCs w:val="18"/>
                    </w:rPr>
                    <w:t>充气式堵水气囊</w:t>
                  </w:r>
                </w:p>
              </w:tc>
              <w:tc>
                <w:tcPr>
                  <w:tcW w:w="1043" w:type="dxa"/>
                  <w:tcBorders>
                    <w:tl2br w:val="nil"/>
                    <w:tr2bl w:val="nil"/>
                  </w:tcBorders>
                  <w:vAlign w:val="center"/>
                </w:tcPr>
                <w:p>
                  <w:pPr>
                    <w:widowControl/>
                    <w:adjustRightInd w:val="0"/>
                    <w:snapToGrid w:val="0"/>
                    <w:jc w:val="center"/>
                    <w:rPr>
                      <w:color w:val="auto"/>
                      <w:kern w:val="0"/>
                      <w:sz w:val="18"/>
                      <w:szCs w:val="18"/>
                    </w:rPr>
                  </w:pPr>
                  <w:r>
                    <w:rPr>
                      <w:rFonts w:hint="eastAsia"/>
                      <w:color w:val="auto"/>
                      <w:kern w:val="0"/>
                      <w:sz w:val="18"/>
                      <w:szCs w:val="18"/>
                    </w:rPr>
                    <w:t>沙包沙袋</w:t>
                  </w:r>
                </w:p>
              </w:tc>
              <w:tc>
                <w:tcPr>
                  <w:tcW w:w="1107" w:type="dxa"/>
                  <w:tcBorders>
                    <w:tl2br w:val="nil"/>
                    <w:tr2bl w:val="nil"/>
                  </w:tcBorders>
                  <w:vAlign w:val="center"/>
                </w:tcPr>
                <w:p>
                  <w:pPr>
                    <w:widowControl/>
                    <w:adjustRightInd w:val="0"/>
                    <w:snapToGrid w:val="0"/>
                    <w:jc w:val="center"/>
                    <w:rPr>
                      <w:color w:val="auto"/>
                      <w:kern w:val="0"/>
                      <w:sz w:val="18"/>
                      <w:szCs w:val="18"/>
                    </w:rPr>
                  </w:pPr>
                  <w:r>
                    <w:rPr>
                      <w:rFonts w:hint="eastAsia"/>
                      <w:color w:val="auto"/>
                      <w:kern w:val="0"/>
                      <w:sz w:val="18"/>
                      <w:szCs w:val="18"/>
                    </w:rPr>
                    <w:t>仓库</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307" w:type="dxa"/>
                  <w:tcBorders>
                    <w:tl2br w:val="nil"/>
                    <w:tr2bl w:val="nil"/>
                  </w:tcBorders>
                  <w:vAlign w:val="center"/>
                </w:tcPr>
                <w:p>
                  <w:pPr>
                    <w:widowControl/>
                    <w:adjustRightInd w:val="0"/>
                    <w:snapToGrid w:val="0"/>
                    <w:jc w:val="center"/>
                    <w:rPr>
                      <w:color w:val="auto"/>
                      <w:kern w:val="0"/>
                      <w:sz w:val="18"/>
                      <w:szCs w:val="18"/>
                    </w:rPr>
                  </w:pPr>
                  <w:r>
                    <w:rPr>
                      <w:color w:val="auto"/>
                      <w:kern w:val="0"/>
                      <w:sz w:val="18"/>
                      <w:szCs w:val="18"/>
                    </w:rPr>
                    <w:t>污染物控制</w:t>
                  </w:r>
                </w:p>
              </w:tc>
              <w:tc>
                <w:tcPr>
                  <w:tcW w:w="5280" w:type="dxa"/>
                  <w:tcBorders>
                    <w:tl2br w:val="nil"/>
                    <w:tr2bl w:val="nil"/>
                  </w:tcBorders>
                  <w:vAlign w:val="center"/>
                </w:tcPr>
                <w:p>
                  <w:pPr>
                    <w:widowControl/>
                    <w:adjustRightInd w:val="0"/>
                    <w:snapToGrid w:val="0"/>
                    <w:rPr>
                      <w:color w:val="auto"/>
                      <w:kern w:val="0"/>
                      <w:sz w:val="18"/>
                      <w:szCs w:val="18"/>
                    </w:rPr>
                  </w:pPr>
                  <w:r>
                    <w:rPr>
                      <w:color w:val="auto"/>
                      <w:kern w:val="0"/>
                      <w:sz w:val="18"/>
                      <w:szCs w:val="18"/>
                    </w:rPr>
                    <w:t>围油栏（常规围油栏、橡胶围油栏、PVC围油栏、防火围油栏）</w:t>
                  </w:r>
                </w:p>
                <w:p>
                  <w:pPr>
                    <w:widowControl/>
                    <w:adjustRightInd w:val="0"/>
                    <w:snapToGrid w:val="0"/>
                    <w:rPr>
                      <w:color w:val="auto"/>
                      <w:kern w:val="0"/>
                      <w:sz w:val="18"/>
                      <w:szCs w:val="18"/>
                    </w:rPr>
                  </w:pPr>
                  <w:r>
                    <w:rPr>
                      <w:color w:val="auto"/>
                      <w:kern w:val="0"/>
                      <w:sz w:val="18"/>
                      <w:szCs w:val="18"/>
                    </w:rPr>
                    <w:t>浮桶（聚乙烯浮桶、拦污浮桶、管道浮桶、泡沫浮桶、警示浮球）</w:t>
                  </w:r>
                </w:p>
                <w:p>
                  <w:pPr>
                    <w:widowControl/>
                    <w:adjustRightInd w:val="0"/>
                    <w:snapToGrid w:val="0"/>
                    <w:rPr>
                      <w:color w:val="auto"/>
                      <w:kern w:val="0"/>
                      <w:sz w:val="18"/>
                      <w:szCs w:val="18"/>
                    </w:rPr>
                  </w:pPr>
                  <w:r>
                    <w:rPr>
                      <w:color w:val="auto"/>
                      <w:kern w:val="0"/>
                      <w:sz w:val="18"/>
                      <w:szCs w:val="18"/>
                    </w:rPr>
                    <w:t>水工材料（土工布、土工膜、彩条布、钢丝格栅、导流管件）</w:t>
                  </w:r>
                </w:p>
              </w:tc>
              <w:tc>
                <w:tcPr>
                  <w:tcW w:w="1043" w:type="dxa"/>
                  <w:tcBorders>
                    <w:tl2br w:val="nil"/>
                    <w:tr2bl w:val="nil"/>
                  </w:tcBorders>
                  <w:vAlign w:val="center"/>
                </w:tcPr>
                <w:p>
                  <w:pPr>
                    <w:widowControl/>
                    <w:adjustRightInd w:val="0"/>
                    <w:snapToGrid w:val="0"/>
                    <w:jc w:val="center"/>
                    <w:rPr>
                      <w:color w:val="auto"/>
                      <w:kern w:val="0"/>
                      <w:sz w:val="18"/>
                      <w:szCs w:val="18"/>
                    </w:rPr>
                  </w:pPr>
                  <w:r>
                    <w:rPr>
                      <w:rFonts w:hint="eastAsia"/>
                      <w:color w:val="auto"/>
                      <w:kern w:val="0"/>
                      <w:sz w:val="18"/>
                      <w:szCs w:val="18"/>
                    </w:rPr>
                    <w:t>土工布</w:t>
                  </w:r>
                </w:p>
              </w:tc>
              <w:tc>
                <w:tcPr>
                  <w:tcW w:w="1107" w:type="dxa"/>
                  <w:tcBorders>
                    <w:tl2br w:val="nil"/>
                    <w:tr2bl w:val="nil"/>
                  </w:tcBorders>
                  <w:vAlign w:val="center"/>
                </w:tcPr>
                <w:p>
                  <w:pPr>
                    <w:widowControl/>
                    <w:adjustRightInd w:val="0"/>
                    <w:snapToGrid w:val="0"/>
                    <w:jc w:val="center"/>
                    <w:rPr>
                      <w:color w:val="auto"/>
                      <w:kern w:val="0"/>
                      <w:sz w:val="18"/>
                      <w:szCs w:val="18"/>
                    </w:rPr>
                  </w:pPr>
                  <w:r>
                    <w:rPr>
                      <w:rFonts w:hint="eastAsia"/>
                      <w:color w:val="auto"/>
                      <w:kern w:val="0"/>
                      <w:sz w:val="18"/>
                      <w:szCs w:val="18"/>
                    </w:rPr>
                    <w:t>仓库</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307" w:type="dxa"/>
                  <w:tcBorders>
                    <w:tl2br w:val="nil"/>
                    <w:tr2bl w:val="nil"/>
                  </w:tcBorders>
                  <w:vAlign w:val="center"/>
                </w:tcPr>
                <w:p>
                  <w:pPr>
                    <w:widowControl/>
                    <w:adjustRightInd w:val="0"/>
                    <w:snapToGrid w:val="0"/>
                    <w:jc w:val="center"/>
                    <w:rPr>
                      <w:color w:val="auto"/>
                      <w:kern w:val="0"/>
                      <w:sz w:val="18"/>
                      <w:szCs w:val="18"/>
                    </w:rPr>
                  </w:pPr>
                  <w:r>
                    <w:rPr>
                      <w:color w:val="auto"/>
                      <w:kern w:val="0"/>
                      <w:sz w:val="18"/>
                      <w:szCs w:val="18"/>
                    </w:rPr>
                    <w:t>污染物收集</w:t>
                  </w:r>
                </w:p>
              </w:tc>
              <w:tc>
                <w:tcPr>
                  <w:tcW w:w="5280" w:type="dxa"/>
                  <w:tcBorders>
                    <w:tl2br w:val="nil"/>
                    <w:tr2bl w:val="nil"/>
                  </w:tcBorders>
                  <w:vAlign w:val="center"/>
                </w:tcPr>
                <w:p>
                  <w:pPr>
                    <w:widowControl/>
                    <w:adjustRightInd w:val="0"/>
                    <w:snapToGrid w:val="0"/>
                    <w:rPr>
                      <w:color w:val="auto"/>
                      <w:kern w:val="0"/>
                      <w:sz w:val="18"/>
                      <w:szCs w:val="18"/>
                    </w:rPr>
                  </w:pPr>
                  <w:r>
                    <w:rPr>
                      <w:color w:val="auto"/>
                      <w:kern w:val="0"/>
                      <w:sz w:val="18"/>
                      <w:szCs w:val="18"/>
                    </w:rPr>
                    <w:t>收油机，潜水泵（包括防爆潜水泵）</w:t>
                  </w:r>
                </w:p>
                <w:p>
                  <w:pPr>
                    <w:widowControl/>
                    <w:adjustRightInd w:val="0"/>
                    <w:snapToGrid w:val="0"/>
                    <w:rPr>
                      <w:color w:val="auto"/>
                      <w:kern w:val="0"/>
                      <w:sz w:val="18"/>
                      <w:szCs w:val="18"/>
                    </w:rPr>
                  </w:pPr>
                  <w:r>
                    <w:rPr>
                      <w:color w:val="auto"/>
                      <w:kern w:val="0"/>
                      <w:sz w:val="18"/>
                      <w:szCs w:val="18"/>
                    </w:rPr>
                    <w:t>吸油毡、吸油棉，吸污卷、吸污袋</w:t>
                  </w:r>
                </w:p>
                <w:p>
                  <w:pPr>
                    <w:widowControl/>
                    <w:adjustRightInd w:val="0"/>
                    <w:snapToGrid w:val="0"/>
                    <w:rPr>
                      <w:color w:val="auto"/>
                      <w:kern w:val="0"/>
                      <w:sz w:val="18"/>
                      <w:szCs w:val="18"/>
                    </w:rPr>
                  </w:pPr>
                  <w:r>
                    <w:rPr>
                      <w:color w:val="auto"/>
                      <w:kern w:val="0"/>
                      <w:sz w:val="18"/>
                      <w:szCs w:val="18"/>
                    </w:rPr>
                    <w:t>吨桶、油囊、储罐</w:t>
                  </w:r>
                </w:p>
              </w:tc>
              <w:tc>
                <w:tcPr>
                  <w:tcW w:w="1043" w:type="dxa"/>
                  <w:tcBorders>
                    <w:tl2br w:val="nil"/>
                    <w:tr2bl w:val="nil"/>
                  </w:tcBorders>
                  <w:vAlign w:val="center"/>
                </w:tcPr>
                <w:p>
                  <w:pPr>
                    <w:widowControl/>
                    <w:adjustRightInd w:val="0"/>
                    <w:snapToGrid w:val="0"/>
                    <w:jc w:val="center"/>
                    <w:rPr>
                      <w:color w:val="auto"/>
                      <w:kern w:val="0"/>
                      <w:sz w:val="18"/>
                      <w:szCs w:val="18"/>
                    </w:rPr>
                  </w:pPr>
                  <w:r>
                    <w:rPr>
                      <w:color w:val="auto"/>
                      <w:kern w:val="0"/>
                      <w:sz w:val="18"/>
                      <w:szCs w:val="18"/>
                    </w:rPr>
                    <w:t>吸油毡，消防桶</w:t>
                  </w:r>
                </w:p>
              </w:tc>
              <w:tc>
                <w:tcPr>
                  <w:tcW w:w="1107" w:type="dxa"/>
                  <w:tcBorders>
                    <w:tl2br w:val="nil"/>
                    <w:tr2bl w:val="nil"/>
                  </w:tcBorders>
                  <w:vAlign w:val="center"/>
                </w:tcPr>
                <w:p>
                  <w:pPr>
                    <w:widowControl/>
                    <w:adjustRightInd w:val="0"/>
                    <w:snapToGrid w:val="0"/>
                    <w:jc w:val="center"/>
                    <w:rPr>
                      <w:color w:val="auto"/>
                      <w:kern w:val="0"/>
                      <w:sz w:val="18"/>
                      <w:szCs w:val="18"/>
                    </w:rPr>
                  </w:pPr>
                  <w:r>
                    <w:rPr>
                      <w:rFonts w:hint="eastAsia"/>
                      <w:color w:val="auto"/>
                      <w:kern w:val="0"/>
                      <w:sz w:val="18"/>
                      <w:szCs w:val="18"/>
                    </w:rPr>
                    <w:t>仓库</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307" w:type="dxa"/>
                  <w:tcBorders>
                    <w:tl2br w:val="nil"/>
                    <w:tr2bl w:val="nil"/>
                  </w:tcBorders>
                  <w:vAlign w:val="center"/>
                </w:tcPr>
                <w:p>
                  <w:pPr>
                    <w:widowControl/>
                    <w:adjustRightInd w:val="0"/>
                    <w:snapToGrid w:val="0"/>
                    <w:jc w:val="center"/>
                    <w:rPr>
                      <w:color w:val="auto"/>
                      <w:kern w:val="0"/>
                      <w:sz w:val="18"/>
                      <w:szCs w:val="18"/>
                    </w:rPr>
                  </w:pPr>
                  <w:r>
                    <w:rPr>
                      <w:color w:val="auto"/>
                      <w:kern w:val="0"/>
                      <w:sz w:val="18"/>
                      <w:szCs w:val="18"/>
                    </w:rPr>
                    <w:t>污染物降解</w:t>
                  </w:r>
                </w:p>
              </w:tc>
              <w:tc>
                <w:tcPr>
                  <w:tcW w:w="5280" w:type="dxa"/>
                  <w:tcBorders>
                    <w:tl2br w:val="nil"/>
                    <w:tr2bl w:val="nil"/>
                  </w:tcBorders>
                  <w:vAlign w:val="center"/>
                </w:tcPr>
                <w:p>
                  <w:pPr>
                    <w:widowControl/>
                    <w:adjustRightInd w:val="0"/>
                    <w:snapToGrid w:val="0"/>
                    <w:rPr>
                      <w:color w:val="auto"/>
                      <w:kern w:val="0"/>
                      <w:sz w:val="18"/>
                      <w:szCs w:val="18"/>
                    </w:rPr>
                  </w:pPr>
                  <w:r>
                    <w:rPr>
                      <w:color w:val="auto"/>
                      <w:kern w:val="0"/>
                      <w:sz w:val="18"/>
                      <w:szCs w:val="18"/>
                    </w:rPr>
                    <w:t>溶药装置：搅拌机、搅拌桨</w:t>
                  </w:r>
                </w:p>
                <w:p>
                  <w:pPr>
                    <w:widowControl/>
                    <w:adjustRightInd w:val="0"/>
                    <w:snapToGrid w:val="0"/>
                    <w:rPr>
                      <w:color w:val="auto"/>
                      <w:kern w:val="0"/>
                      <w:sz w:val="18"/>
                      <w:szCs w:val="18"/>
                    </w:rPr>
                  </w:pPr>
                  <w:r>
                    <w:rPr>
                      <w:color w:val="auto"/>
                      <w:kern w:val="0"/>
                      <w:sz w:val="18"/>
                      <w:szCs w:val="18"/>
                    </w:rPr>
                    <w:t>加药装置：水泵、阀门、流量计，加药管</w:t>
                  </w:r>
                </w:p>
                <w:p>
                  <w:pPr>
                    <w:widowControl/>
                    <w:adjustRightInd w:val="0"/>
                    <w:snapToGrid w:val="0"/>
                    <w:rPr>
                      <w:color w:val="auto"/>
                      <w:kern w:val="0"/>
                      <w:sz w:val="18"/>
                      <w:szCs w:val="18"/>
                    </w:rPr>
                  </w:pPr>
                  <w:r>
                    <w:rPr>
                      <w:color w:val="auto"/>
                      <w:kern w:val="0"/>
                      <w:sz w:val="18"/>
                      <w:szCs w:val="18"/>
                    </w:rPr>
                    <w:t>水污染、大气污染、固体废物处理一体化装置</w:t>
                  </w:r>
                </w:p>
                <w:p>
                  <w:pPr>
                    <w:widowControl/>
                    <w:adjustRightInd w:val="0"/>
                    <w:snapToGrid w:val="0"/>
                    <w:rPr>
                      <w:color w:val="auto"/>
                      <w:kern w:val="0"/>
                      <w:sz w:val="18"/>
                      <w:szCs w:val="18"/>
                    </w:rPr>
                  </w:pPr>
                  <w:r>
                    <w:rPr>
                      <w:color w:val="auto"/>
                      <w:kern w:val="0"/>
                      <w:sz w:val="18"/>
                      <w:szCs w:val="18"/>
                    </w:rPr>
                    <w:t>吸附剂：活性炭、硅胶、矾土、白土、膨润土、沸石</w:t>
                  </w:r>
                </w:p>
                <w:p>
                  <w:pPr>
                    <w:widowControl/>
                    <w:adjustRightInd w:val="0"/>
                    <w:snapToGrid w:val="0"/>
                    <w:rPr>
                      <w:color w:val="auto"/>
                      <w:kern w:val="0"/>
                      <w:sz w:val="18"/>
                      <w:szCs w:val="18"/>
                    </w:rPr>
                  </w:pPr>
                  <w:r>
                    <w:rPr>
                      <w:color w:val="auto"/>
                      <w:kern w:val="0"/>
                      <w:sz w:val="18"/>
                      <w:szCs w:val="18"/>
                    </w:rPr>
                    <w:t>中和剂：硫酸、盐酸、硝酸，碳酸钠、碳酸氢钠、氢氧化钙、氢氧化钠、氧化钙</w:t>
                  </w:r>
                </w:p>
                <w:p>
                  <w:pPr>
                    <w:widowControl/>
                    <w:adjustRightInd w:val="0"/>
                    <w:snapToGrid w:val="0"/>
                    <w:rPr>
                      <w:color w:val="auto"/>
                      <w:kern w:val="0"/>
                      <w:sz w:val="18"/>
                      <w:szCs w:val="18"/>
                    </w:rPr>
                  </w:pPr>
                  <w:r>
                    <w:rPr>
                      <w:color w:val="auto"/>
                      <w:kern w:val="0"/>
                      <w:sz w:val="18"/>
                      <w:szCs w:val="18"/>
                    </w:rPr>
                    <w:t>絮凝剂：聚丙烯酰胺、三氯化铁、聚合氯化铝、聚合硫酸铁</w:t>
                  </w:r>
                </w:p>
                <w:p>
                  <w:pPr>
                    <w:widowControl/>
                    <w:adjustRightInd w:val="0"/>
                    <w:snapToGrid w:val="0"/>
                    <w:rPr>
                      <w:color w:val="auto"/>
                      <w:kern w:val="0"/>
                      <w:sz w:val="18"/>
                      <w:szCs w:val="18"/>
                    </w:rPr>
                  </w:pPr>
                  <w:r>
                    <w:rPr>
                      <w:color w:val="auto"/>
                      <w:kern w:val="0"/>
                      <w:sz w:val="18"/>
                      <w:szCs w:val="18"/>
                    </w:rPr>
                    <w:t>氧化还原剂：双氧水、高锰酸钾、次氯酸钠，焦亚硫酸钠、亚硫酸氢钠、硫酸亚铁</w:t>
                  </w:r>
                </w:p>
                <w:p>
                  <w:pPr>
                    <w:widowControl/>
                    <w:adjustRightInd w:val="0"/>
                    <w:snapToGrid w:val="0"/>
                    <w:rPr>
                      <w:color w:val="auto"/>
                      <w:kern w:val="0"/>
                      <w:sz w:val="18"/>
                      <w:szCs w:val="18"/>
                    </w:rPr>
                  </w:pPr>
                  <w:r>
                    <w:rPr>
                      <w:color w:val="auto"/>
                      <w:kern w:val="0"/>
                      <w:sz w:val="18"/>
                      <w:szCs w:val="18"/>
                    </w:rPr>
                    <w:t>沉淀剂：硫化钠</w:t>
                  </w:r>
                </w:p>
              </w:tc>
              <w:tc>
                <w:tcPr>
                  <w:tcW w:w="1043" w:type="dxa"/>
                  <w:tcBorders>
                    <w:tl2br w:val="nil"/>
                    <w:tr2bl w:val="nil"/>
                  </w:tcBorders>
                  <w:vAlign w:val="center"/>
                </w:tcPr>
                <w:p>
                  <w:pPr>
                    <w:widowControl/>
                    <w:adjustRightInd w:val="0"/>
                    <w:snapToGrid w:val="0"/>
                    <w:jc w:val="center"/>
                    <w:rPr>
                      <w:color w:val="auto"/>
                      <w:kern w:val="0"/>
                      <w:sz w:val="18"/>
                      <w:szCs w:val="18"/>
                    </w:rPr>
                  </w:pPr>
                  <w:r>
                    <w:rPr>
                      <w:rFonts w:hint="eastAsia"/>
                      <w:color w:val="auto"/>
                      <w:kern w:val="0"/>
                      <w:sz w:val="18"/>
                      <w:szCs w:val="18"/>
                    </w:rPr>
                    <w:t>活性炭</w:t>
                  </w:r>
                </w:p>
              </w:tc>
              <w:tc>
                <w:tcPr>
                  <w:tcW w:w="1107" w:type="dxa"/>
                  <w:tcBorders>
                    <w:tl2br w:val="nil"/>
                    <w:tr2bl w:val="nil"/>
                  </w:tcBorders>
                  <w:vAlign w:val="center"/>
                </w:tcPr>
                <w:p>
                  <w:pPr>
                    <w:widowControl/>
                    <w:adjustRightInd w:val="0"/>
                    <w:snapToGrid w:val="0"/>
                    <w:jc w:val="center"/>
                    <w:rPr>
                      <w:color w:val="auto"/>
                      <w:kern w:val="0"/>
                      <w:sz w:val="18"/>
                      <w:szCs w:val="18"/>
                    </w:rPr>
                  </w:pPr>
                  <w:r>
                    <w:rPr>
                      <w:rFonts w:hint="eastAsia"/>
                      <w:color w:val="auto"/>
                      <w:kern w:val="0"/>
                      <w:sz w:val="18"/>
                      <w:szCs w:val="18"/>
                    </w:rPr>
                    <w:t>仓库</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307" w:type="dxa"/>
                  <w:tcBorders>
                    <w:tl2br w:val="nil"/>
                    <w:tr2bl w:val="nil"/>
                  </w:tcBorders>
                  <w:vAlign w:val="center"/>
                </w:tcPr>
                <w:p>
                  <w:pPr>
                    <w:widowControl/>
                    <w:adjustRightInd w:val="0"/>
                    <w:snapToGrid w:val="0"/>
                    <w:jc w:val="center"/>
                    <w:rPr>
                      <w:color w:val="auto"/>
                      <w:kern w:val="0"/>
                      <w:sz w:val="18"/>
                      <w:szCs w:val="18"/>
                    </w:rPr>
                  </w:pPr>
                  <w:r>
                    <w:rPr>
                      <w:color w:val="auto"/>
                      <w:kern w:val="0"/>
                      <w:sz w:val="18"/>
                      <w:szCs w:val="18"/>
                    </w:rPr>
                    <w:t>安全防护</w:t>
                  </w:r>
                </w:p>
              </w:tc>
              <w:tc>
                <w:tcPr>
                  <w:tcW w:w="5280" w:type="dxa"/>
                  <w:tcBorders>
                    <w:tl2br w:val="nil"/>
                    <w:tr2bl w:val="nil"/>
                  </w:tcBorders>
                  <w:vAlign w:val="center"/>
                </w:tcPr>
                <w:p>
                  <w:pPr>
                    <w:widowControl/>
                    <w:adjustRightInd w:val="0"/>
                    <w:snapToGrid w:val="0"/>
                    <w:rPr>
                      <w:color w:val="auto"/>
                      <w:kern w:val="0"/>
                      <w:sz w:val="18"/>
                      <w:szCs w:val="18"/>
                    </w:rPr>
                  </w:pPr>
                  <w:r>
                    <w:rPr>
                      <w:color w:val="auto"/>
                      <w:kern w:val="0"/>
                      <w:sz w:val="18"/>
                      <w:szCs w:val="18"/>
                    </w:rPr>
                    <w:t>预警装置</w:t>
                  </w:r>
                </w:p>
                <w:p>
                  <w:pPr>
                    <w:widowControl/>
                    <w:adjustRightInd w:val="0"/>
                    <w:snapToGrid w:val="0"/>
                    <w:rPr>
                      <w:color w:val="auto"/>
                      <w:kern w:val="0"/>
                      <w:sz w:val="18"/>
                      <w:szCs w:val="18"/>
                    </w:rPr>
                  </w:pPr>
                  <w:r>
                    <w:rPr>
                      <w:color w:val="auto"/>
                      <w:kern w:val="0"/>
                      <w:sz w:val="18"/>
                      <w:szCs w:val="18"/>
                    </w:rPr>
                    <w:t>防毒面具、防化服、防化靴、防化手套、防化护目镜、防辐射服</w:t>
                  </w:r>
                </w:p>
                <w:p>
                  <w:pPr>
                    <w:widowControl/>
                    <w:adjustRightInd w:val="0"/>
                    <w:snapToGrid w:val="0"/>
                    <w:rPr>
                      <w:color w:val="auto"/>
                      <w:kern w:val="0"/>
                      <w:sz w:val="18"/>
                      <w:szCs w:val="18"/>
                    </w:rPr>
                  </w:pPr>
                  <w:r>
                    <w:rPr>
                      <w:color w:val="auto"/>
                      <w:kern w:val="0"/>
                      <w:sz w:val="18"/>
                      <w:szCs w:val="18"/>
                    </w:rPr>
                    <w:t>氧气（空气）呼吸器、呼吸面具</w:t>
                  </w:r>
                </w:p>
                <w:p>
                  <w:pPr>
                    <w:widowControl/>
                    <w:adjustRightInd w:val="0"/>
                    <w:snapToGrid w:val="0"/>
                    <w:rPr>
                      <w:color w:val="auto"/>
                      <w:kern w:val="0"/>
                      <w:sz w:val="18"/>
                      <w:szCs w:val="18"/>
                    </w:rPr>
                  </w:pPr>
                  <w:r>
                    <w:rPr>
                      <w:color w:val="auto"/>
                      <w:kern w:val="0"/>
                      <w:sz w:val="18"/>
                      <w:szCs w:val="18"/>
                    </w:rPr>
                    <w:t>安全帽、手套、安全鞋、工作服、安全警示背心、安全绳</w:t>
                  </w:r>
                </w:p>
                <w:p>
                  <w:pPr>
                    <w:widowControl/>
                    <w:adjustRightInd w:val="0"/>
                    <w:snapToGrid w:val="0"/>
                    <w:rPr>
                      <w:color w:val="auto"/>
                      <w:kern w:val="0"/>
                      <w:sz w:val="18"/>
                      <w:szCs w:val="18"/>
                    </w:rPr>
                  </w:pPr>
                  <w:r>
                    <w:rPr>
                      <w:color w:val="auto"/>
                      <w:kern w:val="0"/>
                      <w:sz w:val="18"/>
                      <w:szCs w:val="18"/>
                    </w:rPr>
                    <w:t>碘片等</w:t>
                  </w:r>
                </w:p>
              </w:tc>
              <w:tc>
                <w:tcPr>
                  <w:tcW w:w="1043" w:type="dxa"/>
                  <w:tcBorders>
                    <w:tl2br w:val="nil"/>
                    <w:tr2bl w:val="nil"/>
                  </w:tcBorders>
                  <w:vAlign w:val="center"/>
                </w:tcPr>
                <w:p>
                  <w:pPr>
                    <w:widowControl/>
                    <w:adjustRightInd w:val="0"/>
                    <w:snapToGrid w:val="0"/>
                    <w:jc w:val="center"/>
                    <w:rPr>
                      <w:color w:val="auto"/>
                      <w:kern w:val="0"/>
                      <w:sz w:val="18"/>
                      <w:szCs w:val="18"/>
                    </w:rPr>
                  </w:pPr>
                  <w:r>
                    <w:rPr>
                      <w:color w:val="auto"/>
                      <w:kern w:val="0"/>
                      <w:sz w:val="18"/>
                      <w:szCs w:val="18"/>
                    </w:rPr>
                    <w:t>安全帽，工作服，手套</w:t>
                  </w:r>
                </w:p>
              </w:tc>
              <w:tc>
                <w:tcPr>
                  <w:tcW w:w="1107" w:type="dxa"/>
                  <w:tcBorders>
                    <w:tl2br w:val="nil"/>
                    <w:tr2bl w:val="nil"/>
                  </w:tcBorders>
                  <w:vAlign w:val="center"/>
                </w:tcPr>
                <w:p>
                  <w:pPr>
                    <w:widowControl/>
                    <w:adjustRightInd w:val="0"/>
                    <w:snapToGrid w:val="0"/>
                    <w:jc w:val="center"/>
                    <w:rPr>
                      <w:color w:val="auto"/>
                      <w:kern w:val="0"/>
                      <w:sz w:val="18"/>
                      <w:szCs w:val="18"/>
                    </w:rPr>
                  </w:pPr>
                  <w:r>
                    <w:rPr>
                      <w:rFonts w:hint="eastAsia"/>
                      <w:color w:val="auto"/>
                      <w:kern w:val="0"/>
                      <w:sz w:val="18"/>
                      <w:szCs w:val="18"/>
                    </w:rPr>
                    <w:t>仓库</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307" w:type="dxa"/>
                  <w:tcBorders>
                    <w:tl2br w:val="nil"/>
                    <w:tr2bl w:val="nil"/>
                  </w:tcBorders>
                  <w:vAlign w:val="center"/>
                </w:tcPr>
                <w:p>
                  <w:pPr>
                    <w:widowControl/>
                    <w:adjustRightInd w:val="0"/>
                    <w:snapToGrid w:val="0"/>
                    <w:jc w:val="center"/>
                    <w:rPr>
                      <w:color w:val="auto"/>
                      <w:kern w:val="0"/>
                      <w:sz w:val="18"/>
                      <w:szCs w:val="18"/>
                    </w:rPr>
                  </w:pPr>
                  <w:r>
                    <w:rPr>
                      <w:color w:val="auto"/>
                      <w:kern w:val="0"/>
                      <w:sz w:val="18"/>
                      <w:szCs w:val="18"/>
                    </w:rPr>
                    <w:t>应急通信</w:t>
                  </w:r>
                </w:p>
                <w:p>
                  <w:pPr>
                    <w:widowControl/>
                    <w:adjustRightInd w:val="0"/>
                    <w:snapToGrid w:val="0"/>
                    <w:jc w:val="center"/>
                    <w:rPr>
                      <w:color w:val="auto"/>
                      <w:kern w:val="0"/>
                      <w:sz w:val="18"/>
                      <w:szCs w:val="18"/>
                    </w:rPr>
                  </w:pPr>
                  <w:r>
                    <w:rPr>
                      <w:color w:val="auto"/>
                      <w:kern w:val="0"/>
                      <w:sz w:val="18"/>
                      <w:szCs w:val="18"/>
                    </w:rPr>
                    <w:t>和指挥</w:t>
                  </w:r>
                </w:p>
              </w:tc>
              <w:tc>
                <w:tcPr>
                  <w:tcW w:w="5280" w:type="dxa"/>
                  <w:tcBorders>
                    <w:tl2br w:val="nil"/>
                    <w:tr2bl w:val="nil"/>
                  </w:tcBorders>
                  <w:vAlign w:val="center"/>
                </w:tcPr>
                <w:p>
                  <w:pPr>
                    <w:widowControl/>
                    <w:adjustRightInd w:val="0"/>
                    <w:snapToGrid w:val="0"/>
                    <w:rPr>
                      <w:color w:val="auto"/>
                      <w:kern w:val="0"/>
                      <w:sz w:val="18"/>
                      <w:szCs w:val="18"/>
                    </w:rPr>
                  </w:pPr>
                  <w:r>
                    <w:rPr>
                      <w:color w:val="auto"/>
                      <w:kern w:val="0"/>
                      <w:sz w:val="18"/>
                      <w:szCs w:val="18"/>
                    </w:rPr>
                    <w:t>应急指挥及信息系统</w:t>
                  </w:r>
                </w:p>
                <w:p>
                  <w:pPr>
                    <w:widowControl/>
                    <w:adjustRightInd w:val="0"/>
                    <w:snapToGrid w:val="0"/>
                    <w:rPr>
                      <w:color w:val="auto"/>
                      <w:kern w:val="0"/>
                      <w:sz w:val="18"/>
                      <w:szCs w:val="18"/>
                    </w:rPr>
                  </w:pPr>
                  <w:r>
                    <w:rPr>
                      <w:color w:val="auto"/>
                      <w:kern w:val="0"/>
                      <w:sz w:val="18"/>
                      <w:szCs w:val="18"/>
                    </w:rPr>
                    <w:t>应急指挥车、应急指挥船</w:t>
                  </w:r>
                </w:p>
                <w:p>
                  <w:pPr>
                    <w:widowControl/>
                    <w:adjustRightInd w:val="0"/>
                    <w:snapToGrid w:val="0"/>
                    <w:rPr>
                      <w:color w:val="auto"/>
                      <w:kern w:val="0"/>
                      <w:sz w:val="18"/>
                      <w:szCs w:val="18"/>
                    </w:rPr>
                  </w:pPr>
                  <w:r>
                    <w:rPr>
                      <w:color w:val="auto"/>
                      <w:kern w:val="0"/>
                      <w:sz w:val="18"/>
                      <w:szCs w:val="18"/>
                    </w:rPr>
                    <w:t>对讲机、定位仪</w:t>
                  </w:r>
                </w:p>
                <w:p>
                  <w:pPr>
                    <w:widowControl/>
                    <w:adjustRightInd w:val="0"/>
                    <w:snapToGrid w:val="0"/>
                    <w:rPr>
                      <w:color w:val="auto"/>
                      <w:kern w:val="0"/>
                      <w:sz w:val="18"/>
                      <w:szCs w:val="18"/>
                    </w:rPr>
                  </w:pPr>
                  <w:r>
                    <w:rPr>
                      <w:color w:val="auto"/>
                      <w:kern w:val="0"/>
                      <w:sz w:val="18"/>
                      <w:szCs w:val="18"/>
                    </w:rPr>
                    <w:t>海事卫星视频传输系统及单兵系统等</w:t>
                  </w:r>
                </w:p>
              </w:tc>
              <w:tc>
                <w:tcPr>
                  <w:tcW w:w="1043" w:type="dxa"/>
                  <w:tcBorders>
                    <w:tl2br w:val="nil"/>
                    <w:tr2bl w:val="nil"/>
                  </w:tcBorders>
                  <w:vAlign w:val="center"/>
                </w:tcPr>
                <w:p>
                  <w:pPr>
                    <w:widowControl/>
                    <w:adjustRightInd w:val="0"/>
                    <w:snapToGrid w:val="0"/>
                    <w:jc w:val="center"/>
                    <w:rPr>
                      <w:color w:val="auto"/>
                      <w:kern w:val="0"/>
                      <w:sz w:val="18"/>
                      <w:szCs w:val="18"/>
                    </w:rPr>
                  </w:pPr>
                  <w:r>
                    <w:rPr>
                      <w:color w:val="auto"/>
                      <w:kern w:val="0"/>
                      <w:sz w:val="18"/>
                      <w:szCs w:val="18"/>
                    </w:rPr>
                    <w:t>对讲机</w:t>
                  </w:r>
                </w:p>
              </w:tc>
              <w:tc>
                <w:tcPr>
                  <w:tcW w:w="1107" w:type="dxa"/>
                  <w:tcBorders>
                    <w:tl2br w:val="nil"/>
                    <w:tr2bl w:val="nil"/>
                  </w:tcBorders>
                  <w:vAlign w:val="center"/>
                </w:tcPr>
                <w:p>
                  <w:pPr>
                    <w:widowControl/>
                    <w:adjustRightInd w:val="0"/>
                    <w:snapToGrid w:val="0"/>
                    <w:jc w:val="center"/>
                    <w:rPr>
                      <w:color w:val="auto"/>
                      <w:kern w:val="0"/>
                      <w:sz w:val="18"/>
                      <w:szCs w:val="18"/>
                    </w:rPr>
                  </w:pPr>
                  <w:r>
                    <w:rPr>
                      <w:rFonts w:hint="eastAsia"/>
                      <w:color w:val="auto"/>
                      <w:kern w:val="0"/>
                      <w:sz w:val="18"/>
                      <w:szCs w:val="18"/>
                    </w:rPr>
                    <w:t>仓库</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307" w:type="dxa"/>
                  <w:tcBorders>
                    <w:tl2br w:val="nil"/>
                    <w:tr2bl w:val="nil"/>
                  </w:tcBorders>
                  <w:vAlign w:val="center"/>
                </w:tcPr>
                <w:p>
                  <w:pPr>
                    <w:widowControl/>
                    <w:adjustRightInd w:val="0"/>
                    <w:snapToGrid w:val="0"/>
                    <w:jc w:val="center"/>
                    <w:rPr>
                      <w:color w:val="auto"/>
                      <w:kern w:val="0"/>
                      <w:sz w:val="18"/>
                      <w:szCs w:val="18"/>
                    </w:rPr>
                  </w:pPr>
                  <w:r>
                    <w:rPr>
                      <w:color w:val="auto"/>
                      <w:kern w:val="0"/>
                      <w:sz w:val="18"/>
                      <w:szCs w:val="18"/>
                    </w:rPr>
                    <w:t>环境监测</w:t>
                  </w:r>
                </w:p>
              </w:tc>
              <w:tc>
                <w:tcPr>
                  <w:tcW w:w="5280" w:type="dxa"/>
                  <w:tcBorders>
                    <w:tl2br w:val="nil"/>
                    <w:tr2bl w:val="nil"/>
                  </w:tcBorders>
                  <w:vAlign w:val="center"/>
                </w:tcPr>
                <w:p>
                  <w:pPr>
                    <w:widowControl/>
                    <w:adjustRightInd w:val="0"/>
                    <w:snapToGrid w:val="0"/>
                    <w:rPr>
                      <w:color w:val="auto"/>
                      <w:kern w:val="0"/>
                      <w:sz w:val="18"/>
                      <w:szCs w:val="18"/>
                    </w:rPr>
                  </w:pPr>
                  <w:r>
                    <w:rPr>
                      <w:color w:val="auto"/>
                      <w:kern w:val="0"/>
                      <w:sz w:val="18"/>
                      <w:szCs w:val="18"/>
                    </w:rPr>
                    <w:t>采样设备</w:t>
                  </w:r>
                </w:p>
                <w:p>
                  <w:pPr>
                    <w:widowControl/>
                    <w:adjustRightInd w:val="0"/>
                    <w:snapToGrid w:val="0"/>
                    <w:rPr>
                      <w:color w:val="auto"/>
                      <w:kern w:val="0"/>
                      <w:sz w:val="18"/>
                      <w:szCs w:val="18"/>
                    </w:rPr>
                  </w:pPr>
                  <w:r>
                    <w:rPr>
                      <w:color w:val="auto"/>
                      <w:kern w:val="0"/>
                      <w:sz w:val="18"/>
                      <w:szCs w:val="18"/>
                    </w:rPr>
                    <w:t>便携式监测设备</w:t>
                  </w:r>
                </w:p>
                <w:p>
                  <w:pPr>
                    <w:widowControl/>
                    <w:adjustRightInd w:val="0"/>
                    <w:snapToGrid w:val="0"/>
                    <w:rPr>
                      <w:color w:val="auto"/>
                      <w:kern w:val="0"/>
                      <w:sz w:val="18"/>
                      <w:szCs w:val="18"/>
                    </w:rPr>
                  </w:pPr>
                  <w:r>
                    <w:rPr>
                      <w:color w:val="auto"/>
                      <w:kern w:val="0"/>
                      <w:sz w:val="18"/>
                      <w:szCs w:val="18"/>
                    </w:rPr>
                    <w:t>应急监测车（船）</w:t>
                  </w:r>
                </w:p>
                <w:p>
                  <w:pPr>
                    <w:widowControl/>
                    <w:adjustRightInd w:val="0"/>
                    <w:snapToGrid w:val="0"/>
                    <w:rPr>
                      <w:color w:val="auto"/>
                      <w:kern w:val="0"/>
                      <w:sz w:val="18"/>
                      <w:szCs w:val="18"/>
                    </w:rPr>
                  </w:pPr>
                  <w:r>
                    <w:rPr>
                      <w:color w:val="auto"/>
                      <w:kern w:val="0"/>
                      <w:sz w:val="18"/>
                      <w:szCs w:val="18"/>
                    </w:rPr>
                    <w:t>无人机（船）</w:t>
                  </w:r>
                </w:p>
              </w:tc>
              <w:tc>
                <w:tcPr>
                  <w:tcW w:w="1043" w:type="dxa"/>
                  <w:tcBorders>
                    <w:tl2br w:val="nil"/>
                    <w:tr2bl w:val="nil"/>
                  </w:tcBorders>
                  <w:vAlign w:val="center"/>
                </w:tcPr>
                <w:p>
                  <w:pPr>
                    <w:widowControl/>
                    <w:adjustRightInd w:val="0"/>
                    <w:snapToGrid w:val="0"/>
                    <w:jc w:val="center"/>
                    <w:rPr>
                      <w:color w:val="auto"/>
                      <w:kern w:val="0"/>
                      <w:sz w:val="18"/>
                      <w:szCs w:val="18"/>
                    </w:rPr>
                  </w:pPr>
                  <w:r>
                    <w:rPr>
                      <w:rFonts w:hint="eastAsia"/>
                      <w:color w:val="auto"/>
                      <w:kern w:val="0"/>
                      <w:sz w:val="18"/>
                      <w:szCs w:val="18"/>
                    </w:rPr>
                    <w:t>委托第三方检测</w:t>
                  </w:r>
                </w:p>
              </w:tc>
              <w:tc>
                <w:tcPr>
                  <w:tcW w:w="1107" w:type="dxa"/>
                  <w:tcBorders>
                    <w:tl2br w:val="nil"/>
                    <w:tr2bl w:val="nil"/>
                  </w:tcBorders>
                  <w:vAlign w:val="center"/>
                </w:tcPr>
                <w:p>
                  <w:pPr>
                    <w:widowControl/>
                    <w:adjustRightInd w:val="0"/>
                    <w:snapToGrid w:val="0"/>
                    <w:jc w:val="center"/>
                    <w:rPr>
                      <w:color w:val="auto"/>
                      <w:kern w:val="0"/>
                      <w:sz w:val="18"/>
                      <w:szCs w:val="18"/>
                    </w:rPr>
                  </w:pPr>
                  <w:r>
                    <w:rPr>
                      <w:rFonts w:hint="eastAsia"/>
                      <w:color w:val="auto"/>
                      <w:kern w:val="0"/>
                      <w:sz w:val="18"/>
                      <w:szCs w:val="18"/>
                    </w:rPr>
                    <w:t>/</w:t>
                  </w:r>
                </w:p>
              </w:tc>
            </w:tr>
          </w:tbl>
          <w:p>
            <w:pPr>
              <w:spacing w:line="360" w:lineRule="auto"/>
              <w:ind w:firstLine="420" w:firstLineChars="200"/>
              <w:jc w:val="left"/>
              <w:rPr>
                <w:rFonts w:ascii="Arial" w:hAnsi="Arial" w:cs="Arial"/>
                <w:color w:val="auto"/>
              </w:rPr>
            </w:pPr>
            <w:r>
              <w:rPr>
                <w:rFonts w:hint="eastAsia" w:ascii="宋体" w:hAnsi="宋体" w:cs="宋体"/>
                <w:color w:val="auto"/>
              </w:rPr>
              <w:t>④</w:t>
            </w:r>
            <w:r>
              <w:rPr>
                <w:rFonts w:hint="eastAsia" w:ascii="Arial" w:hAnsi="Arial" w:cs="Arial"/>
                <w:color w:val="auto"/>
              </w:rPr>
              <w:t>建立突发环境事件隐患排查治理制度要求，明确隐患排查内容、方式和频次；</w:t>
            </w:r>
          </w:p>
          <w:p>
            <w:pPr>
              <w:spacing w:line="360" w:lineRule="auto"/>
              <w:ind w:firstLine="420" w:firstLineChars="200"/>
              <w:jc w:val="left"/>
              <w:rPr>
                <w:rFonts w:ascii="Arial" w:hAnsi="Arial" w:cs="Arial"/>
                <w:color w:val="auto"/>
              </w:rPr>
            </w:pPr>
            <w:r>
              <w:rPr>
                <w:rFonts w:hint="eastAsia" w:ascii="Arial" w:hAnsi="Arial" w:cs="Arial"/>
                <w:color w:val="auto"/>
              </w:rPr>
              <w:t>a.企业应配合综合考虑自身突发环境事件风险等级、生产工况等因素合理制定年度工作计划，明确排查频次、排查规模、排查项目等内容。</w:t>
            </w:r>
          </w:p>
          <w:p>
            <w:pPr>
              <w:spacing w:line="360" w:lineRule="auto"/>
              <w:ind w:firstLine="420" w:firstLineChars="200"/>
              <w:jc w:val="left"/>
              <w:rPr>
                <w:rFonts w:ascii="Arial" w:hAnsi="Arial" w:cs="Arial"/>
                <w:color w:val="auto"/>
              </w:rPr>
            </w:pPr>
            <w:r>
              <w:rPr>
                <w:rFonts w:hint="eastAsia" w:ascii="Arial" w:hAnsi="Arial" w:cs="Arial"/>
                <w:color w:val="auto"/>
              </w:rPr>
              <w:t>b.根据排查频次、排查规模、排查项目不同，排查可分为综合排查、日常排查、专项排查及抽查等方式。企业应建立以日常排查为主的隐患排查工作机制，及时发现并治理隐患。</w:t>
            </w:r>
          </w:p>
          <w:p>
            <w:pPr>
              <w:spacing w:line="360" w:lineRule="auto"/>
              <w:ind w:firstLine="420" w:firstLineChars="200"/>
              <w:jc w:val="left"/>
              <w:rPr>
                <w:rFonts w:ascii="Arial" w:hAnsi="Arial" w:cs="Arial"/>
                <w:color w:val="auto"/>
              </w:rPr>
            </w:pPr>
            <w:r>
              <w:rPr>
                <w:rFonts w:hint="eastAsia" w:ascii="Arial" w:hAnsi="Arial" w:cs="Arial"/>
                <w:color w:val="auto"/>
              </w:rPr>
              <w:t>综合排查是指企业以厂区为单位开展全面排查，一年应不少于一次。</w:t>
            </w:r>
          </w:p>
          <w:p>
            <w:pPr>
              <w:spacing w:line="360" w:lineRule="auto"/>
              <w:ind w:firstLine="420" w:firstLineChars="200"/>
              <w:jc w:val="left"/>
              <w:rPr>
                <w:rFonts w:ascii="Arial" w:hAnsi="Arial" w:cs="Arial"/>
                <w:color w:val="auto"/>
              </w:rPr>
            </w:pPr>
            <w:r>
              <w:rPr>
                <w:rFonts w:hint="eastAsia" w:ascii="Arial" w:hAnsi="Arial" w:cs="Arial"/>
                <w:color w:val="auto"/>
              </w:rPr>
              <w:t>日常排查是指以班组、工段、车间为单位，组织的对单个或几个项目采取日常的、巡视性的排查工作，其频次根据具体排查项目确定。一月应不少于一次。</w:t>
            </w:r>
          </w:p>
          <w:p>
            <w:pPr>
              <w:spacing w:line="360" w:lineRule="auto"/>
              <w:ind w:firstLine="420" w:firstLineChars="200"/>
              <w:jc w:val="left"/>
              <w:rPr>
                <w:rFonts w:ascii="Arial" w:hAnsi="Arial" w:cs="Arial"/>
                <w:color w:val="auto"/>
              </w:rPr>
            </w:pPr>
            <w:r>
              <w:rPr>
                <w:rFonts w:hint="eastAsia" w:ascii="Arial" w:hAnsi="Arial" w:cs="Arial"/>
                <w:color w:val="auto"/>
              </w:rPr>
              <w:t>专项排查是在特定时间或对特定区域、设备、措施进行的专门性排查。其频次根据实际需要确定。企业可根据自身管理流程，采取抽查方式排查隐患。</w:t>
            </w:r>
          </w:p>
          <w:p>
            <w:pPr>
              <w:spacing w:line="360" w:lineRule="auto"/>
              <w:ind w:firstLine="420" w:firstLineChars="200"/>
              <w:jc w:val="left"/>
              <w:rPr>
                <w:rFonts w:ascii="Arial" w:hAnsi="Arial" w:cs="Arial"/>
                <w:color w:val="auto"/>
              </w:rPr>
            </w:pPr>
            <w:r>
              <w:rPr>
                <w:rFonts w:hint="eastAsia" w:ascii="Arial" w:hAnsi="Arial" w:cs="Arial"/>
                <w:color w:val="auto"/>
              </w:rPr>
              <w:t>c.在完成年度计划的基础上，当出现下列情况时，应当及时组织隐患排查：</w:t>
            </w:r>
          </w:p>
          <w:p>
            <w:pPr>
              <w:spacing w:line="360" w:lineRule="auto"/>
              <w:ind w:firstLine="420" w:firstLineChars="200"/>
              <w:jc w:val="left"/>
              <w:rPr>
                <w:rFonts w:ascii="Arial" w:hAnsi="Arial" w:cs="Arial"/>
                <w:color w:val="auto"/>
              </w:rPr>
            </w:pPr>
            <w:r>
              <w:rPr>
                <w:rFonts w:hint="eastAsia" w:ascii="Arial" w:hAnsi="Arial" w:cs="Arial"/>
                <w:color w:val="auto"/>
              </w:rPr>
              <w:t>出现不符合新颁布、修订的相关法律、法规、标准、产业政策等情况的；企业有新建、改建、扩建项目的；企业突发环境事件风险物质发生重大变化导致突发环境事件风险等级发生变化的；企业管理组织应急指挥体系机构、人员与职责发生重大变化的；企业生产废水系统、雨水系统、事故排水系统发生变化的；企业废水总排口、雨水排口与水环境风险受体连接通道发生变化的；企业周边大气和水环境风险受体发生变化的；季节转换或发布气象灾害预警、地质地震灾害预报的；敏感时期、重大节假日或重大活动前；突发环境事件发生后或本地区其他同类企业发生突发环境事件的；发生生产安全事故或自然灾害的；企业停产后恢复生产前。</w:t>
            </w:r>
          </w:p>
          <w:p>
            <w:pPr>
              <w:spacing w:line="360" w:lineRule="auto"/>
              <w:ind w:firstLine="420" w:firstLineChars="200"/>
              <w:jc w:val="left"/>
              <w:rPr>
                <w:rFonts w:ascii="Arial" w:hAnsi="Arial" w:cs="Arial"/>
                <w:color w:val="auto"/>
              </w:rPr>
            </w:pPr>
            <w:r>
              <w:rPr>
                <w:rFonts w:hint="eastAsia" w:ascii="宋体" w:hAnsi="宋体" w:cs="宋体"/>
                <w:color w:val="auto"/>
              </w:rPr>
              <w:t>⑤</w:t>
            </w:r>
            <w:r>
              <w:rPr>
                <w:rFonts w:hint="eastAsia" w:ascii="Arial" w:hAnsi="Arial" w:cs="Arial"/>
                <w:color w:val="auto"/>
              </w:rPr>
              <w:t>明确环境应急培训和演练内容、方式、频次和台账记录要求；</w:t>
            </w:r>
          </w:p>
          <w:p>
            <w:pPr>
              <w:spacing w:line="360" w:lineRule="auto"/>
              <w:ind w:firstLine="420" w:firstLineChars="200"/>
              <w:jc w:val="left"/>
              <w:rPr>
                <w:rFonts w:ascii="宋体" w:hAnsi="宋体" w:cs="宋体"/>
                <w:color w:val="auto"/>
                <w:szCs w:val="21"/>
              </w:rPr>
            </w:pPr>
            <w:r>
              <w:rPr>
                <w:rFonts w:hint="eastAsia" w:ascii="宋体" w:hAnsi="宋体" w:cs="宋体"/>
                <w:color w:val="auto"/>
                <w:szCs w:val="21"/>
              </w:rPr>
              <w:t>a.环境应急培训</w:t>
            </w:r>
          </w:p>
          <w:p>
            <w:pPr>
              <w:pStyle w:val="104"/>
              <w:snapToGrid w:val="0"/>
              <w:spacing w:line="360" w:lineRule="auto"/>
              <w:ind w:firstLine="420" w:firstLineChars="200"/>
              <w:jc w:val="both"/>
              <w:textAlignment w:val="top"/>
              <w:rPr>
                <w:rFonts w:ascii="Times New Roman" w:cs="Times New Roman"/>
                <w:color w:val="auto"/>
                <w:sz w:val="21"/>
                <w:szCs w:val="21"/>
              </w:rPr>
            </w:pPr>
            <w:r>
              <w:rPr>
                <w:rFonts w:hint="eastAsia" w:hAnsi="宋体"/>
                <w:color w:val="auto"/>
                <w:sz w:val="21"/>
                <w:szCs w:val="21"/>
              </w:rPr>
              <w:t>公司负责依据对从业人员的能力的评估和邻厂或周边人员素质的分析，针对潜在的事故的危险特性，每年进行应急人员培训，邻厂或周边人员应急响应知识的宣传。</w:t>
            </w:r>
            <w:r>
              <w:rPr>
                <w:rFonts w:ascii="Times New Roman" w:cs="Times New Roman"/>
                <w:color w:val="auto"/>
                <w:sz w:val="21"/>
                <w:szCs w:val="21"/>
              </w:rPr>
              <w:t>员工应急响应的培训，结合每年组织的安全技术知识培训一并进行。</w:t>
            </w:r>
          </w:p>
          <w:p>
            <w:pPr>
              <w:pStyle w:val="104"/>
              <w:snapToGrid w:val="0"/>
              <w:spacing w:line="360" w:lineRule="auto"/>
              <w:ind w:firstLine="420" w:firstLineChars="200"/>
              <w:jc w:val="both"/>
              <w:textAlignment w:val="top"/>
              <w:rPr>
                <w:rFonts w:ascii="Times New Roman" w:cs="Times New Roman"/>
                <w:color w:val="auto"/>
                <w:sz w:val="21"/>
                <w:szCs w:val="21"/>
              </w:rPr>
            </w:pPr>
            <w:r>
              <w:rPr>
                <w:rFonts w:hint="eastAsia" w:hAnsi="宋体"/>
                <w:color w:val="auto"/>
                <w:sz w:val="21"/>
                <w:szCs w:val="21"/>
              </w:rPr>
              <w:t>Ⅰ、</w:t>
            </w:r>
            <w:r>
              <w:rPr>
                <w:rFonts w:ascii="Times New Roman" w:cs="Times New Roman"/>
                <w:color w:val="auto"/>
                <w:sz w:val="21"/>
                <w:szCs w:val="21"/>
              </w:rPr>
              <w:t>主要培训内容：</w:t>
            </w:r>
          </w:p>
          <w:p>
            <w:pPr>
              <w:pStyle w:val="104"/>
              <w:snapToGrid w:val="0"/>
              <w:spacing w:line="360" w:lineRule="auto"/>
              <w:ind w:firstLine="420" w:firstLineChars="200"/>
              <w:jc w:val="both"/>
              <w:textAlignment w:val="top"/>
              <w:rPr>
                <w:rFonts w:ascii="Times New Roman" w:cs="Times New Roman"/>
                <w:color w:val="auto"/>
                <w:sz w:val="21"/>
                <w:szCs w:val="21"/>
              </w:rPr>
            </w:pPr>
            <w:r>
              <w:rPr>
                <w:rFonts w:ascii="Times New Roman" w:cs="Times New Roman"/>
                <w:color w:val="auto"/>
                <w:sz w:val="21"/>
                <w:szCs w:val="21"/>
              </w:rPr>
              <w:t>针对系统（或岗位）可能发生的事故，在紧急情况下如何进行紧急停车、避险、报警的方法。</w:t>
            </w:r>
          </w:p>
          <w:p>
            <w:pPr>
              <w:pStyle w:val="104"/>
              <w:snapToGrid w:val="0"/>
              <w:spacing w:line="360" w:lineRule="auto"/>
              <w:ind w:firstLine="420" w:firstLineChars="200"/>
              <w:jc w:val="both"/>
              <w:textAlignment w:val="top"/>
              <w:rPr>
                <w:rFonts w:ascii="Times New Roman" w:cs="Times New Roman"/>
                <w:color w:val="auto"/>
                <w:sz w:val="21"/>
                <w:szCs w:val="21"/>
              </w:rPr>
            </w:pPr>
            <w:r>
              <w:rPr>
                <w:rFonts w:ascii="Times New Roman" w:cs="Times New Roman"/>
                <w:color w:val="auto"/>
                <w:sz w:val="21"/>
                <w:szCs w:val="21"/>
              </w:rPr>
              <w:t>熟悉应急救援预案，了解如何进行详细报警。</w:t>
            </w:r>
          </w:p>
          <w:p>
            <w:pPr>
              <w:pStyle w:val="104"/>
              <w:snapToGrid w:val="0"/>
              <w:spacing w:line="360" w:lineRule="auto"/>
              <w:ind w:firstLine="420" w:firstLineChars="200"/>
              <w:jc w:val="both"/>
              <w:textAlignment w:val="top"/>
              <w:rPr>
                <w:rFonts w:ascii="Times New Roman" w:cs="Times New Roman"/>
                <w:color w:val="auto"/>
                <w:sz w:val="21"/>
                <w:szCs w:val="21"/>
              </w:rPr>
            </w:pPr>
            <w:r>
              <w:rPr>
                <w:rFonts w:ascii="Times New Roman" w:cs="Times New Roman"/>
                <w:color w:val="auto"/>
                <w:sz w:val="21"/>
                <w:szCs w:val="21"/>
              </w:rPr>
              <w:t>针对岗位可能导致人员伤害类别，现场进行紧急救护方法。</w:t>
            </w:r>
          </w:p>
          <w:p>
            <w:pPr>
              <w:pStyle w:val="104"/>
              <w:snapToGrid w:val="0"/>
              <w:spacing w:line="360" w:lineRule="auto"/>
              <w:ind w:firstLine="420" w:firstLineChars="200"/>
              <w:jc w:val="both"/>
              <w:textAlignment w:val="top"/>
              <w:rPr>
                <w:rFonts w:ascii="Times New Roman" w:cs="Times New Roman"/>
                <w:color w:val="auto"/>
                <w:sz w:val="21"/>
                <w:szCs w:val="21"/>
              </w:rPr>
            </w:pPr>
            <w:r>
              <w:rPr>
                <w:rFonts w:ascii="Times New Roman" w:cs="Times New Roman"/>
                <w:color w:val="auto"/>
                <w:sz w:val="21"/>
                <w:szCs w:val="21"/>
              </w:rPr>
              <w:t>针对岗位可能发生的事故，如何采取有效措施防控事故和避免事故扩大化。</w:t>
            </w:r>
          </w:p>
          <w:p>
            <w:pPr>
              <w:pStyle w:val="104"/>
              <w:snapToGrid w:val="0"/>
              <w:spacing w:line="360" w:lineRule="auto"/>
              <w:ind w:firstLine="420" w:firstLineChars="200"/>
              <w:jc w:val="both"/>
              <w:textAlignment w:val="top"/>
              <w:rPr>
                <w:rFonts w:ascii="Times New Roman" w:cs="Times New Roman"/>
                <w:color w:val="auto"/>
                <w:sz w:val="21"/>
                <w:szCs w:val="21"/>
              </w:rPr>
            </w:pPr>
            <w:r>
              <w:rPr>
                <w:rFonts w:ascii="Times New Roman" w:cs="Times New Roman"/>
                <w:color w:val="auto"/>
                <w:sz w:val="21"/>
                <w:szCs w:val="21"/>
              </w:rPr>
              <w:t>针对可能发生的事故应急救援必须使用的防护装备，学会使用方法。</w:t>
            </w:r>
          </w:p>
          <w:p>
            <w:pPr>
              <w:pStyle w:val="104"/>
              <w:snapToGrid w:val="0"/>
              <w:spacing w:line="360" w:lineRule="auto"/>
              <w:ind w:firstLine="420" w:firstLineChars="200"/>
              <w:jc w:val="both"/>
              <w:textAlignment w:val="top"/>
              <w:rPr>
                <w:rFonts w:ascii="Times New Roman" w:cs="Times New Roman"/>
                <w:color w:val="auto"/>
                <w:sz w:val="21"/>
                <w:szCs w:val="21"/>
              </w:rPr>
            </w:pPr>
            <w:r>
              <w:rPr>
                <w:rFonts w:ascii="Times New Roman" w:cs="Times New Roman"/>
                <w:color w:val="auto"/>
                <w:sz w:val="21"/>
                <w:szCs w:val="21"/>
              </w:rPr>
              <w:t>针对可能发生的事故学习消防器材和各类设备的使用方法。</w:t>
            </w:r>
          </w:p>
          <w:p>
            <w:pPr>
              <w:pStyle w:val="104"/>
              <w:snapToGrid w:val="0"/>
              <w:spacing w:line="360" w:lineRule="auto"/>
              <w:ind w:firstLine="420" w:firstLineChars="200"/>
              <w:jc w:val="both"/>
              <w:textAlignment w:val="top"/>
              <w:rPr>
                <w:rFonts w:ascii="Times New Roman" w:cs="Times New Roman"/>
                <w:color w:val="auto"/>
                <w:sz w:val="21"/>
                <w:szCs w:val="21"/>
              </w:rPr>
            </w:pPr>
            <w:r>
              <w:rPr>
                <w:rFonts w:ascii="Times New Roman" w:cs="Times New Roman"/>
                <w:color w:val="auto"/>
                <w:sz w:val="21"/>
                <w:szCs w:val="21"/>
              </w:rPr>
              <w:t>掌握厂区存在危险化学品特性、健康危害、危险性、急救方法。</w:t>
            </w:r>
          </w:p>
          <w:p>
            <w:pPr>
              <w:pStyle w:val="104"/>
              <w:snapToGrid w:val="0"/>
              <w:spacing w:line="360" w:lineRule="auto"/>
              <w:ind w:firstLine="420" w:firstLineChars="200"/>
              <w:jc w:val="both"/>
              <w:textAlignment w:val="top"/>
              <w:rPr>
                <w:rFonts w:ascii="Times New Roman" w:cs="Times New Roman"/>
                <w:color w:val="auto"/>
                <w:sz w:val="21"/>
                <w:szCs w:val="21"/>
              </w:rPr>
            </w:pPr>
            <w:r>
              <w:rPr>
                <w:rFonts w:ascii="Times New Roman" w:cs="Times New Roman"/>
                <w:color w:val="auto"/>
                <w:sz w:val="21"/>
                <w:szCs w:val="21"/>
              </w:rPr>
              <w:t xml:space="preserve"> 事故发生后如何开展自救和互救</w:t>
            </w:r>
            <w:r>
              <w:rPr>
                <w:rFonts w:hint="eastAsia" w:ascii="Times New Roman" w:cs="Times New Roman"/>
                <w:color w:val="auto"/>
                <w:sz w:val="21"/>
                <w:szCs w:val="21"/>
              </w:rPr>
              <w:t>.</w:t>
            </w:r>
          </w:p>
          <w:p>
            <w:pPr>
              <w:pStyle w:val="104"/>
              <w:snapToGrid w:val="0"/>
              <w:spacing w:line="360" w:lineRule="auto"/>
              <w:ind w:firstLine="420" w:firstLineChars="200"/>
              <w:jc w:val="both"/>
              <w:textAlignment w:val="top"/>
              <w:rPr>
                <w:rFonts w:ascii="Times New Roman" w:cs="Times New Roman"/>
                <w:color w:val="auto"/>
                <w:sz w:val="21"/>
                <w:szCs w:val="21"/>
              </w:rPr>
            </w:pPr>
            <w:r>
              <w:rPr>
                <w:rFonts w:ascii="Times New Roman" w:cs="Times New Roman"/>
                <w:color w:val="auto"/>
                <w:sz w:val="21"/>
                <w:szCs w:val="21"/>
              </w:rPr>
              <w:t>事故发生后的撤离和疏散方法。</w:t>
            </w:r>
          </w:p>
          <w:p>
            <w:pPr>
              <w:pStyle w:val="104"/>
              <w:snapToGrid w:val="0"/>
              <w:spacing w:line="360" w:lineRule="auto"/>
              <w:ind w:firstLine="420" w:firstLineChars="200"/>
              <w:jc w:val="both"/>
              <w:textAlignment w:val="top"/>
              <w:rPr>
                <w:rFonts w:ascii="Times New Roman" w:cs="Times New Roman"/>
                <w:color w:val="auto"/>
                <w:sz w:val="21"/>
                <w:szCs w:val="21"/>
              </w:rPr>
            </w:pPr>
            <w:r>
              <w:rPr>
                <w:rFonts w:hint="eastAsia" w:hAnsi="宋体"/>
                <w:color w:val="auto"/>
                <w:sz w:val="21"/>
                <w:szCs w:val="21"/>
              </w:rPr>
              <w:t>Ⅱ、</w:t>
            </w:r>
            <w:r>
              <w:rPr>
                <w:rFonts w:ascii="Times New Roman" w:cs="Times New Roman"/>
                <w:color w:val="auto"/>
                <w:sz w:val="21"/>
                <w:szCs w:val="21"/>
              </w:rPr>
              <w:t>采取的方式：口头宣传、文件下发、举办应急救援知识讲座等。</w:t>
            </w:r>
          </w:p>
          <w:p>
            <w:pPr>
              <w:pStyle w:val="104"/>
              <w:snapToGrid w:val="0"/>
              <w:spacing w:line="360" w:lineRule="auto"/>
              <w:ind w:firstLine="420" w:firstLineChars="200"/>
              <w:jc w:val="both"/>
              <w:textAlignment w:val="top"/>
              <w:rPr>
                <w:rFonts w:ascii="Times New Roman" w:cs="Times New Roman"/>
                <w:color w:val="auto"/>
                <w:sz w:val="21"/>
                <w:szCs w:val="21"/>
              </w:rPr>
            </w:pPr>
            <w:r>
              <w:rPr>
                <w:rFonts w:hint="eastAsia" w:hAnsi="宋体"/>
                <w:color w:val="auto"/>
                <w:sz w:val="21"/>
                <w:szCs w:val="21"/>
              </w:rPr>
              <w:t>Ⅲ、</w:t>
            </w:r>
            <w:r>
              <w:rPr>
                <w:rFonts w:ascii="Times New Roman" w:cs="Times New Roman"/>
                <w:color w:val="auto"/>
                <w:sz w:val="21"/>
                <w:szCs w:val="21"/>
              </w:rPr>
              <w:t>培训时间：每季度不少于4小时。</w:t>
            </w:r>
          </w:p>
          <w:p>
            <w:pPr>
              <w:widowControl/>
              <w:adjustRightInd w:val="0"/>
              <w:snapToGrid w:val="0"/>
              <w:spacing w:line="360" w:lineRule="auto"/>
              <w:ind w:firstLine="420" w:firstLineChars="200"/>
              <w:rPr>
                <w:color w:val="auto"/>
                <w:szCs w:val="21"/>
              </w:rPr>
            </w:pPr>
            <w:r>
              <w:rPr>
                <w:color w:val="auto"/>
                <w:szCs w:val="21"/>
              </w:rPr>
              <w:t>每次应急培训应填写记录表，记录表内容见</w:t>
            </w:r>
            <w:r>
              <w:rPr>
                <w:rFonts w:hint="eastAsia"/>
                <w:color w:val="auto"/>
                <w:szCs w:val="21"/>
              </w:rPr>
              <w:t>下表</w:t>
            </w:r>
            <w:r>
              <w:rPr>
                <w:color w:val="auto"/>
                <w:szCs w:val="21"/>
              </w:rPr>
              <w:t>。</w:t>
            </w:r>
          </w:p>
          <w:p>
            <w:pPr>
              <w:widowControl/>
              <w:adjustRightInd w:val="0"/>
              <w:snapToGrid w:val="0"/>
              <w:ind w:firstLine="422" w:firstLineChars="200"/>
              <w:jc w:val="center"/>
              <w:rPr>
                <w:b/>
                <w:bCs/>
                <w:color w:val="auto"/>
              </w:rPr>
            </w:pPr>
            <w:r>
              <w:rPr>
                <w:b/>
                <w:bCs/>
                <w:color w:val="auto"/>
              </w:rPr>
              <w:t>表</w:t>
            </w:r>
            <w:r>
              <w:rPr>
                <w:rFonts w:hint="eastAsia"/>
                <w:b/>
                <w:bCs/>
                <w:color w:val="auto"/>
              </w:rPr>
              <w:t>4-36</w:t>
            </w:r>
            <w:r>
              <w:rPr>
                <w:b/>
                <w:bCs/>
                <w:color w:val="auto"/>
              </w:rPr>
              <w:t>突发环境事件应急培训记录表</w:t>
            </w:r>
          </w:p>
          <w:tbl>
            <w:tblPr>
              <w:tblStyle w:val="37"/>
              <w:tblW w:w="4999" w:type="pct"/>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2238"/>
              <w:gridCol w:w="2331"/>
              <w:gridCol w:w="2331"/>
              <w:gridCol w:w="2197"/>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230" w:type="pct"/>
                  <w:tcBorders>
                    <w:tl2br w:val="nil"/>
                    <w:tr2bl w:val="nil"/>
                  </w:tcBorders>
                  <w:vAlign w:val="center"/>
                </w:tcPr>
                <w:p>
                  <w:pPr>
                    <w:widowControl/>
                    <w:adjustRightInd w:val="0"/>
                    <w:snapToGrid w:val="0"/>
                    <w:jc w:val="center"/>
                    <w:rPr>
                      <w:b/>
                      <w:color w:val="auto"/>
                      <w:szCs w:val="21"/>
                    </w:rPr>
                  </w:pPr>
                  <w:r>
                    <w:rPr>
                      <w:b/>
                      <w:color w:val="auto"/>
                      <w:szCs w:val="21"/>
                    </w:rPr>
                    <w:t>培训时间</w:t>
                  </w:r>
                </w:p>
              </w:tc>
              <w:tc>
                <w:tcPr>
                  <w:tcW w:w="1281" w:type="pct"/>
                  <w:tcBorders>
                    <w:tl2br w:val="nil"/>
                    <w:tr2bl w:val="nil"/>
                  </w:tcBorders>
                  <w:vAlign w:val="center"/>
                </w:tcPr>
                <w:p>
                  <w:pPr>
                    <w:widowControl/>
                    <w:adjustRightInd w:val="0"/>
                    <w:snapToGrid w:val="0"/>
                    <w:jc w:val="center"/>
                    <w:rPr>
                      <w:b/>
                      <w:color w:val="auto"/>
                      <w:szCs w:val="21"/>
                    </w:rPr>
                  </w:pPr>
                  <w:r>
                    <w:rPr>
                      <w:b/>
                      <w:color w:val="auto"/>
                      <w:szCs w:val="21"/>
                    </w:rPr>
                    <w:t>培训教员</w:t>
                  </w:r>
                </w:p>
              </w:tc>
              <w:tc>
                <w:tcPr>
                  <w:tcW w:w="1281" w:type="pct"/>
                  <w:tcBorders>
                    <w:tl2br w:val="nil"/>
                    <w:tr2bl w:val="nil"/>
                  </w:tcBorders>
                  <w:vAlign w:val="center"/>
                </w:tcPr>
                <w:p>
                  <w:pPr>
                    <w:widowControl/>
                    <w:adjustRightInd w:val="0"/>
                    <w:snapToGrid w:val="0"/>
                    <w:jc w:val="center"/>
                    <w:rPr>
                      <w:b/>
                      <w:color w:val="auto"/>
                      <w:szCs w:val="21"/>
                    </w:rPr>
                  </w:pPr>
                  <w:r>
                    <w:rPr>
                      <w:b/>
                      <w:color w:val="auto"/>
                      <w:szCs w:val="21"/>
                    </w:rPr>
                    <w:t>培训内容</w:t>
                  </w:r>
                </w:p>
              </w:tc>
              <w:tc>
                <w:tcPr>
                  <w:tcW w:w="1207" w:type="pct"/>
                  <w:tcBorders>
                    <w:tl2br w:val="nil"/>
                    <w:tr2bl w:val="nil"/>
                  </w:tcBorders>
                  <w:vAlign w:val="center"/>
                </w:tcPr>
                <w:p>
                  <w:pPr>
                    <w:widowControl/>
                    <w:adjustRightInd w:val="0"/>
                    <w:snapToGrid w:val="0"/>
                    <w:jc w:val="center"/>
                    <w:rPr>
                      <w:b/>
                      <w:color w:val="auto"/>
                      <w:szCs w:val="21"/>
                    </w:rPr>
                  </w:pPr>
                  <w:r>
                    <w:rPr>
                      <w:b/>
                      <w:color w:val="auto"/>
                      <w:szCs w:val="21"/>
                    </w:rPr>
                    <w:t>备注</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230" w:type="pct"/>
                  <w:tcBorders>
                    <w:tl2br w:val="nil"/>
                    <w:tr2bl w:val="nil"/>
                  </w:tcBorders>
                  <w:vAlign w:val="center"/>
                </w:tcPr>
                <w:p>
                  <w:pPr>
                    <w:widowControl/>
                    <w:adjustRightInd w:val="0"/>
                    <w:snapToGrid w:val="0"/>
                    <w:jc w:val="center"/>
                    <w:rPr>
                      <w:color w:val="auto"/>
                      <w:szCs w:val="21"/>
                    </w:rPr>
                  </w:pPr>
                </w:p>
              </w:tc>
              <w:tc>
                <w:tcPr>
                  <w:tcW w:w="1281" w:type="pct"/>
                  <w:tcBorders>
                    <w:tl2br w:val="nil"/>
                    <w:tr2bl w:val="nil"/>
                  </w:tcBorders>
                  <w:vAlign w:val="center"/>
                </w:tcPr>
                <w:p>
                  <w:pPr>
                    <w:widowControl/>
                    <w:adjustRightInd w:val="0"/>
                    <w:snapToGrid w:val="0"/>
                    <w:jc w:val="center"/>
                    <w:rPr>
                      <w:color w:val="auto"/>
                      <w:szCs w:val="21"/>
                    </w:rPr>
                  </w:pPr>
                </w:p>
              </w:tc>
              <w:tc>
                <w:tcPr>
                  <w:tcW w:w="1281" w:type="pct"/>
                  <w:tcBorders>
                    <w:tl2br w:val="nil"/>
                    <w:tr2bl w:val="nil"/>
                  </w:tcBorders>
                  <w:vAlign w:val="center"/>
                </w:tcPr>
                <w:p>
                  <w:pPr>
                    <w:widowControl/>
                    <w:adjustRightInd w:val="0"/>
                    <w:snapToGrid w:val="0"/>
                    <w:jc w:val="center"/>
                    <w:rPr>
                      <w:color w:val="auto"/>
                      <w:szCs w:val="21"/>
                    </w:rPr>
                  </w:pPr>
                </w:p>
              </w:tc>
              <w:tc>
                <w:tcPr>
                  <w:tcW w:w="1207" w:type="pct"/>
                  <w:tcBorders>
                    <w:tl2br w:val="nil"/>
                    <w:tr2bl w:val="nil"/>
                  </w:tcBorders>
                  <w:vAlign w:val="center"/>
                </w:tcPr>
                <w:p>
                  <w:pPr>
                    <w:widowControl/>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230" w:type="pct"/>
                  <w:tcBorders>
                    <w:tl2br w:val="nil"/>
                    <w:tr2bl w:val="nil"/>
                  </w:tcBorders>
                  <w:vAlign w:val="center"/>
                </w:tcPr>
                <w:p>
                  <w:pPr>
                    <w:widowControl/>
                    <w:adjustRightInd w:val="0"/>
                    <w:snapToGrid w:val="0"/>
                    <w:jc w:val="center"/>
                    <w:rPr>
                      <w:color w:val="auto"/>
                      <w:szCs w:val="21"/>
                    </w:rPr>
                  </w:pPr>
                </w:p>
              </w:tc>
              <w:tc>
                <w:tcPr>
                  <w:tcW w:w="1281" w:type="pct"/>
                  <w:tcBorders>
                    <w:tl2br w:val="nil"/>
                    <w:tr2bl w:val="nil"/>
                  </w:tcBorders>
                  <w:vAlign w:val="center"/>
                </w:tcPr>
                <w:p>
                  <w:pPr>
                    <w:widowControl/>
                    <w:adjustRightInd w:val="0"/>
                    <w:snapToGrid w:val="0"/>
                    <w:jc w:val="center"/>
                    <w:rPr>
                      <w:color w:val="auto"/>
                      <w:szCs w:val="21"/>
                    </w:rPr>
                  </w:pPr>
                </w:p>
              </w:tc>
              <w:tc>
                <w:tcPr>
                  <w:tcW w:w="1281" w:type="pct"/>
                  <w:tcBorders>
                    <w:tl2br w:val="nil"/>
                    <w:tr2bl w:val="nil"/>
                  </w:tcBorders>
                  <w:vAlign w:val="center"/>
                </w:tcPr>
                <w:p>
                  <w:pPr>
                    <w:widowControl/>
                    <w:adjustRightInd w:val="0"/>
                    <w:snapToGrid w:val="0"/>
                    <w:jc w:val="center"/>
                    <w:rPr>
                      <w:color w:val="auto"/>
                      <w:szCs w:val="21"/>
                    </w:rPr>
                  </w:pPr>
                </w:p>
              </w:tc>
              <w:tc>
                <w:tcPr>
                  <w:tcW w:w="1207" w:type="pct"/>
                  <w:tcBorders>
                    <w:tl2br w:val="nil"/>
                    <w:tr2bl w:val="nil"/>
                  </w:tcBorders>
                  <w:vAlign w:val="center"/>
                </w:tcPr>
                <w:p>
                  <w:pPr>
                    <w:widowControl/>
                    <w:adjustRightInd w:val="0"/>
                    <w:snapToGrid w:val="0"/>
                    <w:jc w:val="center"/>
                    <w:rPr>
                      <w:color w:val="auto"/>
                      <w:szCs w:val="21"/>
                    </w:rPr>
                  </w:pP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1230" w:type="pct"/>
                  <w:tcBorders>
                    <w:tl2br w:val="nil"/>
                    <w:tr2bl w:val="nil"/>
                  </w:tcBorders>
                  <w:vAlign w:val="center"/>
                </w:tcPr>
                <w:p>
                  <w:pPr>
                    <w:widowControl/>
                    <w:adjustRightInd w:val="0"/>
                    <w:snapToGrid w:val="0"/>
                    <w:jc w:val="center"/>
                    <w:rPr>
                      <w:color w:val="auto"/>
                      <w:szCs w:val="21"/>
                    </w:rPr>
                  </w:pPr>
                </w:p>
              </w:tc>
              <w:tc>
                <w:tcPr>
                  <w:tcW w:w="1281" w:type="pct"/>
                  <w:tcBorders>
                    <w:tl2br w:val="nil"/>
                    <w:tr2bl w:val="nil"/>
                  </w:tcBorders>
                  <w:vAlign w:val="center"/>
                </w:tcPr>
                <w:p>
                  <w:pPr>
                    <w:widowControl/>
                    <w:adjustRightInd w:val="0"/>
                    <w:snapToGrid w:val="0"/>
                    <w:jc w:val="center"/>
                    <w:rPr>
                      <w:color w:val="auto"/>
                      <w:szCs w:val="21"/>
                    </w:rPr>
                  </w:pPr>
                </w:p>
              </w:tc>
              <w:tc>
                <w:tcPr>
                  <w:tcW w:w="1281" w:type="pct"/>
                  <w:tcBorders>
                    <w:tl2br w:val="nil"/>
                    <w:tr2bl w:val="nil"/>
                  </w:tcBorders>
                  <w:vAlign w:val="center"/>
                </w:tcPr>
                <w:p>
                  <w:pPr>
                    <w:widowControl/>
                    <w:adjustRightInd w:val="0"/>
                    <w:snapToGrid w:val="0"/>
                    <w:jc w:val="center"/>
                    <w:rPr>
                      <w:color w:val="auto"/>
                      <w:szCs w:val="21"/>
                    </w:rPr>
                  </w:pPr>
                </w:p>
              </w:tc>
              <w:tc>
                <w:tcPr>
                  <w:tcW w:w="1207" w:type="pct"/>
                  <w:tcBorders>
                    <w:tl2br w:val="nil"/>
                    <w:tr2bl w:val="nil"/>
                  </w:tcBorders>
                  <w:vAlign w:val="center"/>
                </w:tcPr>
                <w:p>
                  <w:pPr>
                    <w:widowControl/>
                    <w:adjustRightInd w:val="0"/>
                    <w:snapToGrid w:val="0"/>
                    <w:jc w:val="center"/>
                    <w:rPr>
                      <w:color w:val="auto"/>
                      <w:szCs w:val="21"/>
                    </w:rPr>
                  </w:pPr>
                </w:p>
              </w:tc>
            </w:tr>
          </w:tbl>
          <w:p>
            <w:pPr>
              <w:spacing w:line="360" w:lineRule="auto"/>
              <w:ind w:firstLine="420" w:firstLineChars="200"/>
              <w:jc w:val="left"/>
              <w:rPr>
                <w:rFonts w:ascii="宋体" w:hAnsi="宋体" w:cs="宋体"/>
                <w:color w:val="auto"/>
                <w:szCs w:val="21"/>
              </w:rPr>
            </w:pPr>
            <w:r>
              <w:rPr>
                <w:rFonts w:hint="eastAsia" w:ascii="宋体" w:hAnsi="宋体" w:cs="宋体"/>
                <w:color w:val="auto"/>
                <w:szCs w:val="21"/>
              </w:rPr>
              <w:t>b.环境应急演练</w:t>
            </w:r>
          </w:p>
          <w:p>
            <w:pPr>
              <w:pStyle w:val="104"/>
              <w:snapToGrid w:val="0"/>
              <w:spacing w:line="360" w:lineRule="auto"/>
              <w:ind w:firstLine="420" w:firstLineChars="200"/>
              <w:jc w:val="both"/>
              <w:textAlignment w:val="top"/>
              <w:rPr>
                <w:rFonts w:ascii="Times New Roman" w:cs="Times New Roman"/>
                <w:color w:val="auto"/>
                <w:sz w:val="21"/>
                <w:szCs w:val="21"/>
              </w:rPr>
            </w:pPr>
            <w:r>
              <w:rPr>
                <w:rFonts w:hint="eastAsia" w:hAnsi="宋体"/>
                <w:color w:val="auto"/>
                <w:sz w:val="21"/>
                <w:szCs w:val="21"/>
              </w:rPr>
              <w:t>Ⅰ、</w:t>
            </w:r>
            <w:r>
              <w:rPr>
                <w:rFonts w:hint="eastAsia" w:ascii="Times New Roman" w:cs="Times New Roman"/>
                <w:color w:val="auto"/>
                <w:sz w:val="21"/>
                <w:szCs w:val="21"/>
              </w:rPr>
              <w:t>演练方式</w:t>
            </w:r>
            <w:r>
              <w:rPr>
                <w:rFonts w:ascii="Times New Roman" w:cs="Times New Roman"/>
                <w:color w:val="auto"/>
                <w:sz w:val="21"/>
                <w:szCs w:val="21"/>
              </w:rPr>
              <w:t>：</w:t>
            </w:r>
          </w:p>
          <w:p>
            <w:pPr>
              <w:spacing w:line="360" w:lineRule="auto"/>
              <w:ind w:firstLine="420" w:firstLineChars="200"/>
              <w:jc w:val="left"/>
              <w:rPr>
                <w:rFonts w:ascii="宋体" w:hAnsi="宋体" w:cs="宋体"/>
                <w:color w:val="auto"/>
              </w:rPr>
            </w:pPr>
            <w:r>
              <w:rPr>
                <w:rFonts w:hint="eastAsia" w:ascii="宋体" w:hAnsi="宋体" w:cs="宋体"/>
                <w:color w:val="auto"/>
              </w:rPr>
              <w:t>应急演练是通过演练定期测试应急预案的应急能力。应急演练的方式通常分为：桌面演练、功能演练、全面演练。</w:t>
            </w:r>
          </w:p>
          <w:p>
            <w:pPr>
              <w:spacing w:line="360" w:lineRule="auto"/>
              <w:ind w:firstLine="420" w:firstLineChars="200"/>
              <w:jc w:val="left"/>
              <w:rPr>
                <w:rFonts w:ascii="宋体" w:hAnsi="宋体" w:cs="宋体"/>
                <w:color w:val="auto"/>
              </w:rPr>
            </w:pPr>
            <w:r>
              <w:rPr>
                <w:rFonts w:hint="eastAsia" w:ascii="宋体" w:hAnsi="宋体" w:cs="宋体"/>
                <w:color w:val="auto"/>
              </w:rPr>
              <w:t>桌面演练是召集应急成员，假设发生事故，请其分别叙述其职责和应急措施。</w:t>
            </w:r>
          </w:p>
          <w:p>
            <w:pPr>
              <w:spacing w:line="360" w:lineRule="auto"/>
              <w:ind w:firstLine="420" w:firstLineChars="200"/>
              <w:jc w:val="left"/>
              <w:rPr>
                <w:rFonts w:ascii="宋体" w:hAnsi="宋体" w:cs="宋体"/>
                <w:color w:val="auto"/>
              </w:rPr>
            </w:pPr>
            <w:r>
              <w:rPr>
                <w:rFonts w:hint="eastAsia" w:ascii="宋体" w:hAnsi="宋体" w:cs="宋体"/>
                <w:color w:val="auto"/>
              </w:rPr>
              <w:t>功能演练是针对应急预案的部分内容进行演练。例如：泄漏应急预案中人员的紧急疏散的演练，灭火演练等。</w:t>
            </w:r>
          </w:p>
          <w:p>
            <w:pPr>
              <w:spacing w:line="360" w:lineRule="auto"/>
              <w:ind w:firstLine="420" w:firstLineChars="200"/>
              <w:jc w:val="left"/>
              <w:rPr>
                <w:rFonts w:ascii="宋体" w:hAnsi="宋体" w:cs="宋体"/>
                <w:color w:val="auto"/>
              </w:rPr>
            </w:pPr>
            <w:r>
              <w:rPr>
                <w:rFonts w:hint="eastAsia" w:ascii="宋体" w:hAnsi="宋体" w:cs="宋体"/>
                <w:color w:val="auto"/>
              </w:rPr>
              <w:t>全面演练是按应急预案全部过程进行的实战演练。例如：针对火灾事故的应急演练，各应急小组分别按其职责进行事故发生后的实战演练，启动自动灭火系统、消防栓、拨打119和120（事先告知是演练）等。</w:t>
            </w:r>
          </w:p>
          <w:p>
            <w:pPr>
              <w:pStyle w:val="104"/>
              <w:snapToGrid w:val="0"/>
              <w:spacing w:line="360" w:lineRule="auto"/>
              <w:ind w:firstLine="420" w:firstLineChars="200"/>
              <w:jc w:val="both"/>
              <w:textAlignment w:val="top"/>
              <w:rPr>
                <w:rFonts w:ascii="Times New Roman" w:cs="Times New Roman"/>
                <w:color w:val="auto"/>
                <w:sz w:val="21"/>
                <w:szCs w:val="21"/>
              </w:rPr>
            </w:pPr>
            <w:r>
              <w:rPr>
                <w:rFonts w:hint="eastAsia" w:hAnsi="宋体"/>
                <w:color w:val="auto"/>
                <w:sz w:val="21"/>
                <w:szCs w:val="21"/>
              </w:rPr>
              <w:t>Ⅱ、</w:t>
            </w:r>
            <w:r>
              <w:rPr>
                <w:rFonts w:hint="eastAsia" w:ascii="Times New Roman" w:cs="Times New Roman"/>
                <w:color w:val="auto"/>
                <w:sz w:val="21"/>
                <w:szCs w:val="21"/>
              </w:rPr>
              <w:t>演练内容</w:t>
            </w:r>
            <w:r>
              <w:rPr>
                <w:rFonts w:ascii="Times New Roman" w:cs="Times New Roman"/>
                <w:color w:val="auto"/>
                <w:sz w:val="21"/>
                <w:szCs w:val="21"/>
              </w:rPr>
              <w:t>：</w:t>
            </w:r>
          </w:p>
          <w:p>
            <w:pPr>
              <w:spacing w:line="360" w:lineRule="auto"/>
              <w:ind w:firstLine="420" w:firstLineChars="200"/>
              <w:jc w:val="left"/>
              <w:rPr>
                <w:rFonts w:ascii="宋体" w:hAnsi="宋体" w:cs="宋体"/>
                <w:color w:val="auto"/>
              </w:rPr>
            </w:pPr>
            <w:r>
              <w:rPr>
                <w:rFonts w:ascii="宋体" w:hAnsi="宋体" w:cs="宋体"/>
                <w:color w:val="auto"/>
              </w:rPr>
              <w:t>演练内容包括：操作失控，操作温度与压力骤变；危险化学品泄漏的阻断和处理；可燃化学品发生火灾；电器故障发生的火灾；人员中毒、受伤或呼吸停止的急救；人员的疏散与避难；搜寻与救助的技术。</w:t>
            </w:r>
          </w:p>
          <w:p>
            <w:pPr>
              <w:pStyle w:val="104"/>
              <w:snapToGrid w:val="0"/>
              <w:spacing w:line="360" w:lineRule="auto"/>
              <w:ind w:firstLine="420" w:firstLineChars="200"/>
              <w:jc w:val="both"/>
              <w:textAlignment w:val="top"/>
              <w:rPr>
                <w:rFonts w:ascii="Times New Roman" w:cs="Times New Roman"/>
                <w:color w:val="auto"/>
                <w:sz w:val="21"/>
                <w:szCs w:val="21"/>
              </w:rPr>
            </w:pPr>
            <w:r>
              <w:rPr>
                <w:rFonts w:hint="eastAsia" w:hAnsi="宋体"/>
                <w:color w:val="auto"/>
                <w:sz w:val="21"/>
                <w:szCs w:val="21"/>
              </w:rPr>
              <w:t>Ⅲ、</w:t>
            </w:r>
            <w:r>
              <w:rPr>
                <w:rFonts w:hint="eastAsia" w:ascii="Times New Roman" w:cs="Times New Roman"/>
                <w:color w:val="auto"/>
                <w:sz w:val="21"/>
                <w:szCs w:val="21"/>
              </w:rPr>
              <w:t>演练频次</w:t>
            </w:r>
            <w:r>
              <w:rPr>
                <w:rFonts w:ascii="Times New Roman" w:cs="Times New Roman"/>
                <w:color w:val="auto"/>
                <w:sz w:val="21"/>
                <w:szCs w:val="21"/>
              </w:rPr>
              <w:t>：</w:t>
            </w:r>
          </w:p>
          <w:p>
            <w:pPr>
              <w:autoSpaceDE w:val="0"/>
              <w:autoSpaceDN w:val="0"/>
              <w:adjustRightInd w:val="0"/>
              <w:snapToGrid w:val="0"/>
              <w:spacing w:line="360" w:lineRule="auto"/>
              <w:ind w:firstLine="420" w:firstLineChars="200"/>
              <w:rPr>
                <w:color w:val="auto"/>
                <w:szCs w:val="22"/>
              </w:rPr>
            </w:pPr>
            <w:r>
              <w:rPr>
                <w:color w:val="auto"/>
              </w:rPr>
              <w:t>每年进行一次公司人员疏散、急救、消防演习或综合演习</w:t>
            </w:r>
            <w:r>
              <w:rPr>
                <w:rFonts w:hint="eastAsia"/>
                <w:color w:val="auto"/>
              </w:rPr>
              <w:t>（针对全公司人员）。</w:t>
            </w:r>
          </w:p>
          <w:p>
            <w:pPr>
              <w:spacing w:line="360" w:lineRule="auto"/>
              <w:ind w:firstLine="420" w:firstLineChars="200"/>
              <w:jc w:val="left"/>
              <w:rPr>
                <w:rFonts w:ascii="宋体" w:hAnsi="宋体" w:cs="宋体"/>
                <w:color w:val="auto"/>
              </w:rPr>
            </w:pPr>
            <w:r>
              <w:rPr>
                <w:rFonts w:hint="eastAsia" w:ascii="宋体" w:hAnsi="宋体" w:cs="宋体"/>
                <w:color w:val="auto"/>
              </w:rPr>
              <w:t>⑥提出设置环境风险防范设施及环境应急处置卡标识标牌等相关要求；</w:t>
            </w:r>
          </w:p>
          <w:p>
            <w:pPr>
              <w:spacing w:line="360" w:lineRule="auto"/>
              <w:ind w:firstLine="420" w:firstLineChars="200"/>
              <w:jc w:val="left"/>
              <w:rPr>
                <w:rFonts w:ascii="Arial" w:hAnsi="Arial" w:cs="Arial"/>
                <w:color w:val="auto"/>
              </w:rPr>
            </w:pPr>
            <w:r>
              <w:rPr>
                <w:rFonts w:hint="eastAsia" w:ascii="Arial" w:hAnsi="Arial" w:cs="Arial"/>
                <w:color w:val="auto"/>
              </w:rPr>
              <w:t>企业应对车间、贮运工程、活性炭吸附装置、危废仓库设置相应的风险防控措施；突发环境事故现场处置方案应根据风险评估及危险性控制措施逐一编制，明确责任人员、工作流程、具体措施，并落实到应急处置卡上。</w:t>
            </w:r>
          </w:p>
          <w:p>
            <w:pPr>
              <w:pStyle w:val="47"/>
              <w:spacing w:line="360" w:lineRule="auto"/>
              <w:rPr>
                <w:rFonts w:hAnsi="宋体"/>
                <w:color w:val="auto"/>
                <w:sz w:val="21"/>
                <w:szCs w:val="21"/>
              </w:rPr>
            </w:pPr>
            <w:r>
              <w:rPr>
                <w:rFonts w:hint="eastAsia"/>
                <w:color w:val="auto"/>
              </w:rPr>
              <w:t xml:space="preserve">   </w:t>
            </w:r>
            <w:r>
              <w:rPr>
                <w:rFonts w:hint="eastAsia"/>
                <w:color w:val="auto"/>
                <w:sz w:val="21"/>
                <w:szCs w:val="21"/>
              </w:rPr>
              <w:t xml:space="preserve"> </w:t>
            </w:r>
            <w:r>
              <w:rPr>
                <w:rFonts w:hint="eastAsia" w:hAnsi="宋体"/>
                <w:color w:val="auto"/>
                <w:sz w:val="21"/>
                <w:szCs w:val="21"/>
              </w:rPr>
              <w:t>⑦应急计划</w:t>
            </w:r>
          </w:p>
          <w:p>
            <w:pPr>
              <w:spacing w:line="360" w:lineRule="auto"/>
              <w:ind w:firstLine="420" w:firstLineChars="200"/>
              <w:jc w:val="left"/>
              <w:rPr>
                <w:rFonts w:ascii="Arial" w:hAnsi="Arial" w:cs="Arial"/>
                <w:color w:val="auto"/>
              </w:rPr>
            </w:pPr>
            <w:r>
              <w:rPr>
                <w:rFonts w:ascii="Arial" w:hAnsi="Arial" w:cs="Arial"/>
                <w:color w:val="auto"/>
              </w:rPr>
              <w:t>风险事故的应急计划包括应急状态分类、应急计划区和事故等级水平、应急防护、应急医学处理等。因此，风险事故应急计划应当包括以下内容：</w:t>
            </w:r>
          </w:p>
          <w:p>
            <w:pPr>
              <w:spacing w:line="360" w:lineRule="auto"/>
              <w:ind w:firstLine="420" w:firstLineChars="200"/>
              <w:jc w:val="left"/>
              <w:rPr>
                <w:color w:val="auto"/>
                <w:szCs w:val="21"/>
              </w:rPr>
            </w:pPr>
            <w:r>
              <w:rPr>
                <w:rFonts w:ascii="Arial" w:hAnsi="Arial" w:cs="Arial"/>
                <w:color w:val="auto"/>
              </w:rPr>
              <w:t>项目生产过程中所使用以及产生的风险物质、危险源的概况；应急计划实施区域；应急和事故灾害控制的组织、责任、授权人；应急状态分类以及应急状态响应程序；应急设备、设施、材料和人员调动系统和程序；应急通知和与授权人、有关人员、相关方面的通讯系统和程序；应急环境监测和事故环境影响评价；应急预防措施，清除泄漏物的措施、方法和使用器材；应急人员接触计量控制、人员撤退、医疗救助与公众健康保证的系统和程序；应急状态终止与事故影响的恢复措施；应急人员培训、演练和试验应急系统的程序；应急事故的公众教育以及事故信息公布程序；调动第三方资源进行应急支持的安排和程序；事故的记录和报告程序。</w:t>
            </w:r>
          </w:p>
          <w:p>
            <w:pPr>
              <w:spacing w:line="360" w:lineRule="auto"/>
              <w:ind w:firstLine="420" w:firstLineChars="200"/>
              <w:rPr>
                <w:color w:val="auto"/>
                <w:szCs w:val="21"/>
              </w:rPr>
            </w:pPr>
            <w:r>
              <w:rPr>
                <w:color w:val="auto"/>
                <w:szCs w:val="21"/>
              </w:rPr>
              <w:t>（</w:t>
            </w:r>
            <w:r>
              <w:rPr>
                <w:rFonts w:hint="eastAsia"/>
                <w:color w:val="auto"/>
                <w:szCs w:val="21"/>
              </w:rPr>
              <w:t>6</w:t>
            </w:r>
            <w:r>
              <w:rPr>
                <w:color w:val="auto"/>
                <w:szCs w:val="21"/>
              </w:rPr>
              <w:t>）风险结论</w:t>
            </w:r>
          </w:p>
          <w:p>
            <w:pPr>
              <w:pStyle w:val="35"/>
              <w:spacing w:before="0" w:beforeAutospacing="0" w:after="0" w:afterAutospacing="0" w:line="360" w:lineRule="auto"/>
              <w:ind w:firstLine="420" w:firstLineChars="200"/>
              <w:jc w:val="both"/>
              <w:outlineLvl w:val="0"/>
              <w:rPr>
                <w:rFonts w:ascii="Times New Roman" w:hAnsi="Times New Roman"/>
                <w:color w:val="auto"/>
                <w:sz w:val="21"/>
                <w:szCs w:val="21"/>
              </w:rPr>
            </w:pPr>
            <w:r>
              <w:rPr>
                <w:rFonts w:ascii="Times New Roman" w:hAnsi="Times New Roman"/>
                <w:color w:val="auto"/>
                <w:sz w:val="21"/>
                <w:szCs w:val="21"/>
              </w:rPr>
              <w:t>在各环境风险防范措施落实到位的情况下，可降低建设项目的环境风险，最大程度减少对环境可能造成的危害，项目对环境的风险影响可接受。</w:t>
            </w:r>
          </w:p>
          <w:p>
            <w:pPr>
              <w:adjustRightInd w:val="0"/>
              <w:snapToGrid w:val="0"/>
              <w:jc w:val="center"/>
              <w:rPr>
                <w:b/>
                <w:bCs/>
                <w:color w:val="auto"/>
                <w:szCs w:val="21"/>
              </w:rPr>
            </w:pPr>
            <w:r>
              <w:rPr>
                <w:rFonts w:hint="eastAsia"/>
                <w:b/>
                <w:bCs/>
                <w:color w:val="auto"/>
                <w:szCs w:val="21"/>
              </w:rPr>
              <w:t>表4</w:t>
            </w:r>
            <w:r>
              <w:rPr>
                <w:b/>
                <w:bCs/>
                <w:color w:val="auto"/>
                <w:szCs w:val="21"/>
              </w:rPr>
              <w:t>-</w:t>
            </w:r>
            <w:r>
              <w:rPr>
                <w:rFonts w:hint="eastAsia"/>
                <w:b/>
                <w:bCs/>
                <w:color w:val="auto"/>
                <w:szCs w:val="21"/>
              </w:rPr>
              <w:t>37</w:t>
            </w:r>
            <w:r>
              <w:rPr>
                <w:b/>
                <w:bCs/>
                <w:color w:val="auto"/>
                <w:szCs w:val="21"/>
              </w:rPr>
              <w:t xml:space="preserve">   </w:t>
            </w:r>
            <w:r>
              <w:rPr>
                <w:rFonts w:hint="eastAsia"/>
                <w:b/>
                <w:bCs/>
                <w:color w:val="auto"/>
                <w:szCs w:val="21"/>
              </w:rPr>
              <w:t>建设项目环境风险简单分析内容表</w:t>
            </w:r>
          </w:p>
          <w:tbl>
            <w:tblPr>
              <w:tblStyle w:val="37"/>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3"/>
              <w:gridCol w:w="1153"/>
              <w:gridCol w:w="2130"/>
              <w:gridCol w:w="1289"/>
              <w:gridCol w:w="302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03" w:type="dxa"/>
                  <w:vAlign w:val="center"/>
                </w:tcPr>
                <w:p>
                  <w:pPr>
                    <w:contextualSpacing/>
                    <w:jc w:val="center"/>
                    <w:rPr>
                      <w:b/>
                      <w:color w:val="auto"/>
                      <w:sz w:val="18"/>
                      <w:szCs w:val="18"/>
                    </w:rPr>
                  </w:pPr>
                  <w:r>
                    <w:rPr>
                      <w:b/>
                      <w:color w:val="auto"/>
                      <w:sz w:val="18"/>
                      <w:szCs w:val="18"/>
                    </w:rPr>
                    <w:t>建设项目名称</w:t>
                  </w:r>
                </w:p>
              </w:tc>
              <w:tc>
                <w:tcPr>
                  <w:tcW w:w="7596" w:type="dxa"/>
                  <w:gridSpan w:val="4"/>
                  <w:vAlign w:val="center"/>
                </w:tcPr>
                <w:p>
                  <w:pPr>
                    <w:contextualSpacing/>
                    <w:jc w:val="center"/>
                    <w:rPr>
                      <w:b/>
                      <w:color w:val="auto"/>
                      <w:sz w:val="18"/>
                      <w:szCs w:val="18"/>
                    </w:rPr>
                  </w:pPr>
                  <w:r>
                    <w:rPr>
                      <w:rFonts w:hint="eastAsia" w:hAnsi="宋体"/>
                      <w:b/>
                      <w:color w:val="auto"/>
                      <w:sz w:val="18"/>
                      <w:szCs w:val="18"/>
                    </w:rPr>
                    <w:t>迁扩建橡胶件及塑料件项目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03" w:type="dxa"/>
                  <w:vAlign w:val="center"/>
                </w:tcPr>
                <w:p>
                  <w:pPr>
                    <w:contextualSpacing/>
                    <w:jc w:val="center"/>
                    <w:rPr>
                      <w:color w:val="auto"/>
                      <w:sz w:val="18"/>
                      <w:szCs w:val="18"/>
                    </w:rPr>
                  </w:pPr>
                  <w:r>
                    <w:rPr>
                      <w:color w:val="auto"/>
                      <w:sz w:val="18"/>
                      <w:szCs w:val="18"/>
                    </w:rPr>
                    <w:t>建设地点</w:t>
                  </w:r>
                </w:p>
              </w:tc>
              <w:tc>
                <w:tcPr>
                  <w:tcW w:w="7596" w:type="dxa"/>
                  <w:gridSpan w:val="4"/>
                  <w:vAlign w:val="center"/>
                </w:tcPr>
                <w:p>
                  <w:pPr>
                    <w:contextualSpacing/>
                    <w:jc w:val="center"/>
                    <w:rPr>
                      <w:color w:val="auto"/>
                      <w:sz w:val="18"/>
                      <w:szCs w:val="18"/>
                    </w:rPr>
                  </w:pPr>
                  <w:r>
                    <w:rPr>
                      <w:rFonts w:hint="eastAsia"/>
                      <w:color w:val="auto"/>
                      <w:sz w:val="18"/>
                      <w:szCs w:val="18"/>
                    </w:rPr>
                    <w:t>江苏省太仓市城厢镇东亭北路128号9幢</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03" w:type="dxa"/>
                  <w:vAlign w:val="center"/>
                </w:tcPr>
                <w:p>
                  <w:pPr>
                    <w:contextualSpacing/>
                    <w:jc w:val="center"/>
                    <w:rPr>
                      <w:color w:val="auto"/>
                      <w:sz w:val="18"/>
                      <w:szCs w:val="18"/>
                    </w:rPr>
                  </w:pPr>
                  <w:r>
                    <w:rPr>
                      <w:color w:val="auto"/>
                      <w:sz w:val="18"/>
                      <w:szCs w:val="18"/>
                    </w:rPr>
                    <w:t>地理坐标</w:t>
                  </w:r>
                </w:p>
              </w:tc>
              <w:tc>
                <w:tcPr>
                  <w:tcW w:w="1153" w:type="dxa"/>
                  <w:vAlign w:val="center"/>
                </w:tcPr>
                <w:p>
                  <w:pPr>
                    <w:contextualSpacing/>
                    <w:jc w:val="center"/>
                    <w:rPr>
                      <w:color w:val="auto"/>
                      <w:sz w:val="18"/>
                      <w:szCs w:val="18"/>
                    </w:rPr>
                  </w:pPr>
                  <w:r>
                    <w:rPr>
                      <w:color w:val="auto"/>
                      <w:sz w:val="18"/>
                      <w:szCs w:val="18"/>
                    </w:rPr>
                    <w:t>经度</w:t>
                  </w:r>
                </w:p>
              </w:tc>
              <w:tc>
                <w:tcPr>
                  <w:tcW w:w="2130" w:type="dxa"/>
                  <w:vAlign w:val="center"/>
                </w:tcPr>
                <w:p>
                  <w:pPr>
                    <w:contextualSpacing/>
                    <w:jc w:val="center"/>
                    <w:rPr>
                      <w:color w:val="auto"/>
                      <w:sz w:val="18"/>
                      <w:szCs w:val="18"/>
                    </w:rPr>
                  </w:pPr>
                  <w:r>
                    <w:rPr>
                      <w:rFonts w:hint="eastAsia"/>
                      <w:color w:val="auto"/>
                      <w:sz w:val="18"/>
                      <w:szCs w:val="18"/>
                    </w:rPr>
                    <w:t>121度7分8.1228秒</w:t>
                  </w:r>
                </w:p>
              </w:tc>
              <w:tc>
                <w:tcPr>
                  <w:tcW w:w="1289" w:type="dxa"/>
                  <w:vAlign w:val="center"/>
                </w:tcPr>
                <w:p>
                  <w:pPr>
                    <w:contextualSpacing/>
                    <w:jc w:val="center"/>
                    <w:rPr>
                      <w:color w:val="auto"/>
                      <w:sz w:val="18"/>
                      <w:szCs w:val="18"/>
                    </w:rPr>
                  </w:pPr>
                  <w:r>
                    <w:rPr>
                      <w:color w:val="auto"/>
                      <w:sz w:val="18"/>
                      <w:szCs w:val="18"/>
                    </w:rPr>
                    <w:t>纬度</w:t>
                  </w:r>
                </w:p>
              </w:tc>
              <w:tc>
                <w:tcPr>
                  <w:tcW w:w="3024" w:type="dxa"/>
                  <w:vAlign w:val="center"/>
                </w:tcPr>
                <w:p>
                  <w:pPr>
                    <w:contextualSpacing/>
                    <w:jc w:val="center"/>
                    <w:rPr>
                      <w:color w:val="auto"/>
                      <w:sz w:val="18"/>
                      <w:szCs w:val="18"/>
                    </w:rPr>
                  </w:pPr>
                  <w:r>
                    <w:rPr>
                      <w:rFonts w:hint="eastAsia"/>
                      <w:color w:val="auto"/>
                      <w:sz w:val="18"/>
                      <w:szCs w:val="18"/>
                    </w:rPr>
                    <w:t>31度29分 51.0648秒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03" w:type="dxa"/>
                  <w:vAlign w:val="center"/>
                </w:tcPr>
                <w:p>
                  <w:pPr>
                    <w:contextualSpacing/>
                    <w:jc w:val="center"/>
                    <w:rPr>
                      <w:color w:val="auto"/>
                      <w:sz w:val="18"/>
                      <w:szCs w:val="18"/>
                    </w:rPr>
                  </w:pPr>
                  <w:r>
                    <w:rPr>
                      <w:color w:val="auto"/>
                      <w:sz w:val="18"/>
                      <w:szCs w:val="18"/>
                    </w:rPr>
                    <w:t>主要危险物质及分布</w:t>
                  </w:r>
                </w:p>
              </w:tc>
              <w:tc>
                <w:tcPr>
                  <w:tcW w:w="7596" w:type="dxa"/>
                  <w:gridSpan w:val="4"/>
                  <w:vAlign w:val="center"/>
                </w:tcPr>
                <w:p>
                  <w:pPr>
                    <w:contextualSpacing/>
                    <w:jc w:val="center"/>
                    <w:rPr>
                      <w:color w:val="auto"/>
                      <w:sz w:val="18"/>
                      <w:szCs w:val="18"/>
                    </w:rPr>
                  </w:pPr>
                  <w:r>
                    <w:rPr>
                      <w:color w:val="auto"/>
                      <w:sz w:val="18"/>
                      <w:szCs w:val="18"/>
                    </w:rPr>
                    <w:t>本项目</w:t>
                  </w:r>
                  <w:r>
                    <w:rPr>
                      <w:rFonts w:hint="eastAsia"/>
                      <w:color w:val="auto"/>
                      <w:sz w:val="18"/>
                      <w:szCs w:val="18"/>
                    </w:rPr>
                    <w:t>涉及</w:t>
                  </w:r>
                  <w:r>
                    <w:rPr>
                      <w:color w:val="auto"/>
                      <w:sz w:val="18"/>
                      <w:szCs w:val="18"/>
                    </w:rPr>
                    <w:t>危险物质</w:t>
                  </w:r>
                  <w:r>
                    <w:rPr>
                      <w:rFonts w:hint="eastAsia"/>
                      <w:color w:val="auto"/>
                      <w:sz w:val="18"/>
                      <w:szCs w:val="18"/>
                    </w:rPr>
                    <w:t>主要为双二五硫化剂、硫磺、危险废物</w:t>
                  </w:r>
                  <w:r>
                    <w:rPr>
                      <w:color w:val="auto"/>
                      <w:sz w:val="18"/>
                      <w:szCs w:val="18"/>
                    </w:rPr>
                    <w:t>。</w:t>
                  </w:r>
                  <w:r>
                    <w:rPr>
                      <w:rFonts w:hint="eastAsia"/>
                      <w:color w:val="auto"/>
                      <w:sz w:val="18"/>
                      <w:szCs w:val="18"/>
                    </w:rPr>
                    <w:t>主要分布在原料仓库、生产车间及危废暂存间。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03" w:type="dxa"/>
                  <w:vAlign w:val="center"/>
                </w:tcPr>
                <w:p>
                  <w:pPr>
                    <w:contextualSpacing/>
                    <w:jc w:val="center"/>
                    <w:rPr>
                      <w:color w:val="auto"/>
                      <w:sz w:val="18"/>
                      <w:szCs w:val="18"/>
                    </w:rPr>
                  </w:pPr>
                  <w:r>
                    <w:rPr>
                      <w:color w:val="auto"/>
                      <w:sz w:val="18"/>
                      <w:szCs w:val="18"/>
                    </w:rPr>
                    <w:t>环境影响途径及危害后果（大气、地表水、地下水等）</w:t>
                  </w:r>
                </w:p>
              </w:tc>
              <w:tc>
                <w:tcPr>
                  <w:tcW w:w="7596" w:type="dxa"/>
                  <w:gridSpan w:val="4"/>
                  <w:vAlign w:val="center"/>
                </w:tcPr>
                <w:p>
                  <w:pPr>
                    <w:contextualSpacing/>
                    <w:jc w:val="left"/>
                    <w:rPr>
                      <w:color w:val="auto"/>
                      <w:sz w:val="18"/>
                      <w:szCs w:val="18"/>
                    </w:rPr>
                  </w:pPr>
                  <w:r>
                    <w:rPr>
                      <w:rFonts w:hint="eastAsia"/>
                      <w:bCs/>
                      <w:color w:val="auto"/>
                      <w:sz w:val="18"/>
                      <w:szCs w:val="18"/>
                    </w:rPr>
                    <w:t>双二五硫化剂、硫磺及废活性炭如遇明火、火花则可能发生火灾事故，燃烧产生CO、NOx、二氧化硫等废气进入大气环境中，会导致周围大气环境中相应污染物浓度增高，造成环境空气质量污染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03" w:type="dxa"/>
                  <w:vAlign w:val="center"/>
                </w:tcPr>
                <w:p>
                  <w:pPr>
                    <w:contextualSpacing/>
                    <w:jc w:val="center"/>
                    <w:rPr>
                      <w:color w:val="auto"/>
                      <w:sz w:val="18"/>
                      <w:szCs w:val="18"/>
                    </w:rPr>
                  </w:pPr>
                  <w:r>
                    <w:rPr>
                      <w:color w:val="auto"/>
                      <w:sz w:val="18"/>
                      <w:szCs w:val="18"/>
                    </w:rPr>
                    <w:t>风险防范措施要求</w:t>
                  </w:r>
                </w:p>
              </w:tc>
              <w:tc>
                <w:tcPr>
                  <w:tcW w:w="7596" w:type="dxa"/>
                  <w:gridSpan w:val="4"/>
                  <w:vAlign w:val="center"/>
                </w:tcPr>
                <w:p>
                  <w:pPr>
                    <w:ind w:firstLine="360" w:firstLineChars="200"/>
                    <w:contextualSpacing/>
                    <w:jc w:val="left"/>
                    <w:rPr>
                      <w:color w:val="auto"/>
                      <w:sz w:val="18"/>
                      <w:szCs w:val="18"/>
                    </w:rPr>
                  </w:pPr>
                  <w:r>
                    <w:rPr>
                      <w:rFonts w:hint="eastAsia"/>
                      <w:color w:val="auto"/>
                      <w:sz w:val="18"/>
                      <w:szCs w:val="18"/>
                    </w:rPr>
                    <w:t>针对本项目可能发生的环境风险事故，提出以下风险防范措施：</w:t>
                  </w:r>
                </w:p>
                <w:p>
                  <w:pPr>
                    <w:adjustRightInd w:val="0"/>
                    <w:snapToGrid w:val="0"/>
                    <w:ind w:firstLine="360" w:firstLineChars="200"/>
                    <w:rPr>
                      <w:color w:val="auto"/>
                      <w:sz w:val="18"/>
                      <w:szCs w:val="18"/>
                    </w:rPr>
                  </w:pPr>
                  <w:r>
                    <w:rPr>
                      <w:rFonts w:hint="eastAsia"/>
                      <w:color w:val="auto"/>
                      <w:sz w:val="18"/>
                      <w:szCs w:val="18"/>
                    </w:rPr>
                    <w:t>①车间风险防控措施：</w:t>
                  </w:r>
                </w:p>
                <w:p>
                  <w:pPr>
                    <w:adjustRightInd w:val="0"/>
                    <w:snapToGrid w:val="0"/>
                    <w:ind w:firstLine="360" w:firstLineChars="200"/>
                    <w:rPr>
                      <w:color w:val="auto"/>
                      <w:sz w:val="18"/>
                      <w:szCs w:val="18"/>
                    </w:rPr>
                  </w:pPr>
                  <w:r>
                    <w:rPr>
                      <w:rFonts w:hint="eastAsia"/>
                      <w:color w:val="auto"/>
                      <w:sz w:val="18"/>
                      <w:szCs w:val="18"/>
                    </w:rPr>
                    <w:t>a．企业生产车间具有良好的通风设施，排风系统安装防火阀。</w:t>
                  </w:r>
                </w:p>
                <w:p>
                  <w:pPr>
                    <w:adjustRightInd w:val="0"/>
                    <w:snapToGrid w:val="0"/>
                    <w:ind w:firstLine="360" w:firstLineChars="200"/>
                    <w:rPr>
                      <w:color w:val="auto"/>
                      <w:sz w:val="18"/>
                      <w:szCs w:val="18"/>
                    </w:rPr>
                  </w:pPr>
                  <w:r>
                    <w:rPr>
                      <w:rFonts w:hint="eastAsia"/>
                      <w:color w:val="auto"/>
                      <w:sz w:val="18"/>
                      <w:szCs w:val="18"/>
                    </w:rPr>
                    <w:t>b．所有材料均选用不燃和阻燃材料。</w:t>
                  </w:r>
                </w:p>
                <w:p>
                  <w:pPr>
                    <w:adjustRightInd w:val="0"/>
                    <w:snapToGrid w:val="0"/>
                    <w:ind w:firstLine="360" w:firstLineChars="200"/>
                    <w:rPr>
                      <w:color w:val="auto"/>
                      <w:sz w:val="18"/>
                      <w:szCs w:val="18"/>
                    </w:rPr>
                  </w:pPr>
                  <w:r>
                    <w:rPr>
                      <w:rFonts w:hint="eastAsia"/>
                      <w:color w:val="auto"/>
                      <w:sz w:val="18"/>
                      <w:szCs w:val="18"/>
                    </w:rPr>
                    <w:t>c．车间设温度自动控制系统，带超高温报警装置，以确保生产的安全性。</w:t>
                  </w:r>
                </w:p>
                <w:p>
                  <w:pPr>
                    <w:adjustRightInd w:val="0"/>
                    <w:snapToGrid w:val="0"/>
                    <w:ind w:firstLine="360" w:firstLineChars="200"/>
                    <w:rPr>
                      <w:color w:val="auto"/>
                      <w:sz w:val="18"/>
                      <w:szCs w:val="18"/>
                    </w:rPr>
                  </w:pPr>
                  <w:r>
                    <w:rPr>
                      <w:rFonts w:hint="eastAsia"/>
                      <w:color w:val="auto"/>
                      <w:sz w:val="18"/>
                      <w:szCs w:val="18"/>
                    </w:rPr>
                    <w:t>d．安装超压报警装置，在送风或排风不畅的情况下报警、停机，避免通风不畅引起可燃气体浓度过高。</w:t>
                  </w:r>
                </w:p>
                <w:p>
                  <w:pPr>
                    <w:adjustRightInd w:val="0"/>
                    <w:snapToGrid w:val="0"/>
                    <w:ind w:firstLine="360" w:firstLineChars="200"/>
                    <w:rPr>
                      <w:color w:val="auto"/>
                      <w:sz w:val="18"/>
                      <w:szCs w:val="18"/>
                    </w:rPr>
                  </w:pPr>
                  <w:r>
                    <w:rPr>
                      <w:rFonts w:hint="eastAsia"/>
                      <w:color w:val="auto"/>
                      <w:sz w:val="18"/>
                      <w:szCs w:val="18"/>
                    </w:rPr>
                    <w:t>e．厂区内设置雨水排口切断阀，防止事故废水泄漏。</w:t>
                  </w:r>
                </w:p>
                <w:p>
                  <w:pPr>
                    <w:adjustRightInd w:val="0"/>
                    <w:snapToGrid w:val="0"/>
                    <w:ind w:firstLine="360" w:firstLineChars="200"/>
                    <w:rPr>
                      <w:color w:val="auto"/>
                      <w:sz w:val="18"/>
                      <w:szCs w:val="18"/>
                    </w:rPr>
                  </w:pPr>
                  <w:r>
                    <w:rPr>
                      <w:rFonts w:hint="eastAsia"/>
                      <w:color w:val="auto"/>
                      <w:sz w:val="18"/>
                      <w:szCs w:val="18"/>
                    </w:rPr>
                    <w:t>②贮运工程风险防控措施：</w:t>
                  </w:r>
                </w:p>
                <w:p>
                  <w:pPr>
                    <w:adjustRightInd w:val="0"/>
                    <w:snapToGrid w:val="0"/>
                    <w:ind w:firstLine="360" w:firstLineChars="200"/>
                    <w:rPr>
                      <w:color w:val="auto"/>
                      <w:sz w:val="18"/>
                      <w:szCs w:val="18"/>
                    </w:rPr>
                  </w:pPr>
                  <w:r>
                    <w:rPr>
                      <w:rFonts w:hint="eastAsia"/>
                      <w:color w:val="auto"/>
                      <w:sz w:val="18"/>
                      <w:szCs w:val="18"/>
                    </w:rPr>
                    <w:t>a．原料均储存于阴凉通风仓库内，远离火种、热源，防止阳光直射，与易燃或可燃物分开存放。搬运时轻装轻卸，防止原料桶破损或倾倒。</w:t>
                  </w:r>
                </w:p>
                <w:p>
                  <w:pPr>
                    <w:adjustRightInd w:val="0"/>
                    <w:snapToGrid w:val="0"/>
                    <w:ind w:firstLine="360" w:firstLineChars="200"/>
                    <w:rPr>
                      <w:color w:val="auto"/>
                      <w:sz w:val="18"/>
                      <w:szCs w:val="18"/>
                    </w:rPr>
                  </w:pPr>
                  <w:r>
                    <w:rPr>
                      <w:rFonts w:hint="eastAsia"/>
                      <w:color w:val="auto"/>
                      <w:sz w:val="18"/>
                      <w:szCs w:val="18"/>
                    </w:rPr>
                    <w:t>b．划定禁火区，在明显地点设有警示标志，输配电线、灯具、火灾事故照明和疏散指示标志均应符合安全要求；严禁未安装灭火装置的车辆出入生产装置区。</w:t>
                  </w:r>
                </w:p>
                <w:p>
                  <w:pPr>
                    <w:adjustRightInd w:val="0"/>
                    <w:snapToGrid w:val="0"/>
                    <w:ind w:firstLine="360" w:firstLineChars="200"/>
                    <w:rPr>
                      <w:color w:val="auto"/>
                      <w:sz w:val="18"/>
                      <w:szCs w:val="18"/>
                    </w:rPr>
                  </w:pPr>
                  <w:r>
                    <w:rPr>
                      <w:rFonts w:hint="eastAsia"/>
                      <w:color w:val="auto"/>
                      <w:sz w:val="18"/>
                      <w:szCs w:val="18"/>
                    </w:rPr>
                    <w:t>c．合理规划运输路线及时间，加强危险废物运输车辆的管理，严格遵守危险品运输管理规定，避免运输过程事故的发生。</w:t>
                  </w:r>
                </w:p>
                <w:p>
                  <w:pPr>
                    <w:adjustRightInd w:val="0"/>
                    <w:snapToGrid w:val="0"/>
                    <w:ind w:firstLine="360" w:firstLineChars="200"/>
                    <w:rPr>
                      <w:color w:val="auto"/>
                      <w:sz w:val="18"/>
                      <w:szCs w:val="18"/>
                    </w:rPr>
                  </w:pPr>
                  <w:r>
                    <w:rPr>
                      <w:rFonts w:hint="eastAsia"/>
                      <w:color w:val="auto"/>
                      <w:sz w:val="18"/>
                      <w:szCs w:val="18"/>
                    </w:rPr>
                    <w:t>③废气事故排放风险防控措施：</w:t>
                  </w:r>
                </w:p>
                <w:p>
                  <w:pPr>
                    <w:adjustRightInd w:val="0"/>
                    <w:snapToGrid w:val="0"/>
                    <w:ind w:firstLine="360" w:firstLineChars="200"/>
                    <w:rPr>
                      <w:color w:val="auto"/>
                      <w:sz w:val="18"/>
                      <w:szCs w:val="18"/>
                    </w:rPr>
                  </w:pPr>
                  <w:r>
                    <w:rPr>
                      <w:rFonts w:hint="eastAsia"/>
                      <w:color w:val="auto"/>
                      <w:sz w:val="18"/>
                      <w:szCs w:val="18"/>
                    </w:rPr>
                    <w:t>发生事故的原因主要由以下几个：</w:t>
                  </w:r>
                </w:p>
                <w:p>
                  <w:pPr>
                    <w:adjustRightInd w:val="0"/>
                    <w:snapToGrid w:val="0"/>
                    <w:ind w:firstLine="360" w:firstLineChars="200"/>
                    <w:rPr>
                      <w:color w:val="auto"/>
                      <w:sz w:val="18"/>
                      <w:szCs w:val="18"/>
                    </w:rPr>
                  </w:pPr>
                  <w:r>
                    <w:rPr>
                      <w:rFonts w:hint="eastAsia"/>
                      <w:color w:val="auto"/>
                      <w:sz w:val="18"/>
                      <w:szCs w:val="18"/>
                    </w:rPr>
                    <w:t>a．废气处理系统出现故障、设备开车、停车检修时废气直接排入大气环境中；</w:t>
                  </w:r>
                </w:p>
                <w:p>
                  <w:pPr>
                    <w:adjustRightInd w:val="0"/>
                    <w:snapToGrid w:val="0"/>
                    <w:ind w:firstLine="360" w:firstLineChars="200"/>
                    <w:rPr>
                      <w:color w:val="auto"/>
                      <w:sz w:val="18"/>
                      <w:szCs w:val="18"/>
                    </w:rPr>
                  </w:pPr>
                  <w:r>
                    <w:rPr>
                      <w:rFonts w:hint="eastAsia"/>
                      <w:color w:val="auto"/>
                      <w:sz w:val="18"/>
                      <w:szCs w:val="18"/>
                    </w:rPr>
                    <w:t>b．生产过程中由于设备老化、腐蚀、实务操作等原因造成车间废气浓度超标；</w:t>
                  </w:r>
                </w:p>
                <w:p>
                  <w:pPr>
                    <w:adjustRightInd w:val="0"/>
                    <w:snapToGrid w:val="0"/>
                    <w:ind w:firstLine="360" w:firstLineChars="200"/>
                    <w:rPr>
                      <w:color w:val="auto"/>
                      <w:sz w:val="18"/>
                      <w:szCs w:val="18"/>
                    </w:rPr>
                  </w:pPr>
                  <w:r>
                    <w:rPr>
                      <w:rFonts w:hint="eastAsia"/>
                      <w:color w:val="auto"/>
                      <w:sz w:val="18"/>
                      <w:szCs w:val="18"/>
                    </w:rPr>
                    <w:t>c．厂内突然停电、废气处理系统停止工作，致使废气不能得到及时处理；</w:t>
                  </w:r>
                </w:p>
                <w:p>
                  <w:pPr>
                    <w:adjustRightInd w:val="0"/>
                    <w:snapToGrid w:val="0"/>
                    <w:ind w:firstLine="360" w:firstLineChars="200"/>
                    <w:rPr>
                      <w:color w:val="auto"/>
                      <w:sz w:val="18"/>
                      <w:szCs w:val="18"/>
                    </w:rPr>
                  </w:pPr>
                  <w:r>
                    <w:rPr>
                      <w:rFonts w:hint="eastAsia"/>
                      <w:color w:val="auto"/>
                      <w:sz w:val="18"/>
                      <w:szCs w:val="18"/>
                    </w:rPr>
                    <w:t>d．对废气治理措施疏于管理，使治理措施处理效率降低造成废气浓度超标；</w:t>
                  </w:r>
                </w:p>
                <w:p>
                  <w:pPr>
                    <w:adjustRightInd w:val="0"/>
                    <w:snapToGrid w:val="0"/>
                    <w:ind w:firstLine="360" w:firstLineChars="200"/>
                    <w:rPr>
                      <w:color w:val="auto"/>
                      <w:sz w:val="18"/>
                      <w:szCs w:val="18"/>
                    </w:rPr>
                  </w:pPr>
                  <w:r>
                    <w:rPr>
                      <w:rFonts w:hint="eastAsia"/>
                      <w:color w:val="auto"/>
                      <w:sz w:val="18"/>
                      <w:szCs w:val="18"/>
                    </w:rPr>
                    <w:t>为杜绝事故性废气排放，建议采用以下措施确保废气达标排放：</w:t>
                  </w:r>
                </w:p>
                <w:p>
                  <w:pPr>
                    <w:adjustRightInd w:val="0"/>
                    <w:snapToGrid w:val="0"/>
                    <w:ind w:firstLine="360" w:firstLineChars="200"/>
                    <w:rPr>
                      <w:color w:val="auto"/>
                      <w:sz w:val="18"/>
                      <w:szCs w:val="18"/>
                    </w:rPr>
                  </w:pPr>
                  <w:r>
                    <w:rPr>
                      <w:rFonts w:hint="eastAsia"/>
                      <w:color w:val="auto"/>
                      <w:sz w:val="18"/>
                      <w:szCs w:val="18"/>
                    </w:rPr>
                    <w:t>a．平时加强废气处理设施的维护保养，及时发现处理设备的隐患，并及时进行维修，确保废气处理系统正常运行；</w:t>
                  </w:r>
                </w:p>
                <w:p>
                  <w:pPr>
                    <w:adjustRightInd w:val="0"/>
                    <w:snapToGrid w:val="0"/>
                    <w:ind w:firstLine="360" w:firstLineChars="200"/>
                    <w:rPr>
                      <w:color w:val="auto"/>
                      <w:sz w:val="18"/>
                      <w:szCs w:val="18"/>
                    </w:rPr>
                  </w:pPr>
                  <w:r>
                    <w:rPr>
                      <w:rFonts w:hint="eastAsia"/>
                      <w:color w:val="auto"/>
                      <w:sz w:val="18"/>
                      <w:szCs w:val="18"/>
                    </w:rPr>
                    <w:t>b．建立健全的环保机构，配置必要的监测仪器，对管理人员和技术人员进行岗位培训，对废气处理实行全过程跟踪控制；</w:t>
                  </w:r>
                </w:p>
                <w:p>
                  <w:pPr>
                    <w:adjustRightInd w:val="0"/>
                    <w:snapToGrid w:val="0"/>
                    <w:ind w:firstLine="360" w:firstLineChars="200"/>
                    <w:rPr>
                      <w:color w:val="auto"/>
                      <w:sz w:val="18"/>
                      <w:szCs w:val="18"/>
                    </w:rPr>
                  </w:pPr>
                  <w:r>
                    <w:rPr>
                      <w:rFonts w:hint="eastAsia"/>
                      <w:color w:val="auto"/>
                      <w:sz w:val="18"/>
                      <w:szCs w:val="18"/>
                    </w:rPr>
                    <w:t>c．项目应设有备用电源和备用处理设备，以备停电或设备出现故障时保障废气全部通入处理系统进行处理以达标排放；</w:t>
                  </w:r>
                </w:p>
                <w:p>
                  <w:pPr>
                    <w:adjustRightInd w:val="0"/>
                    <w:snapToGrid w:val="0"/>
                    <w:ind w:firstLine="360" w:firstLineChars="200"/>
                    <w:rPr>
                      <w:color w:val="auto"/>
                      <w:sz w:val="18"/>
                      <w:szCs w:val="18"/>
                    </w:rPr>
                  </w:pPr>
                  <w:r>
                    <w:rPr>
                      <w:rFonts w:hint="eastAsia"/>
                      <w:color w:val="auto"/>
                      <w:sz w:val="18"/>
                      <w:szCs w:val="18"/>
                    </w:rPr>
                    <w:t>d．项目对废气治理措施应设置备用的废气治理措施，在常用处理设施出现故障的情况下课采用备用处理设施进行处理，防止因此而造成废气的事故性排放。</w:t>
                  </w:r>
                </w:p>
                <w:p>
                  <w:pPr>
                    <w:adjustRightInd w:val="0"/>
                    <w:snapToGrid w:val="0"/>
                    <w:ind w:firstLine="360" w:firstLineChars="200"/>
                    <w:rPr>
                      <w:rFonts w:eastAsiaTheme="minorEastAsia"/>
                      <w:color w:val="auto"/>
                      <w:sz w:val="18"/>
                      <w:szCs w:val="18"/>
                    </w:rPr>
                  </w:pPr>
                  <w:r>
                    <w:rPr>
                      <w:rFonts w:hint="eastAsia" w:ascii="宋体" w:hAnsi="宋体" w:cs="宋体"/>
                      <w:color w:val="auto"/>
                      <w:sz w:val="18"/>
                      <w:szCs w:val="18"/>
                    </w:rPr>
                    <w:t>④</w:t>
                  </w:r>
                  <w:r>
                    <w:rPr>
                      <w:rFonts w:hint="eastAsia" w:asciiTheme="minorEastAsia" w:hAnsiTheme="minorEastAsia" w:eastAsiaTheme="minorEastAsia"/>
                      <w:color w:val="auto"/>
                      <w:sz w:val="18"/>
                      <w:szCs w:val="18"/>
                    </w:rPr>
                    <w:t>活性炭吸附装置</w:t>
                  </w:r>
                  <w:r>
                    <w:rPr>
                      <w:rFonts w:hint="eastAsia" w:eastAsiaTheme="minorEastAsia"/>
                      <w:color w:val="auto"/>
                      <w:sz w:val="18"/>
                      <w:szCs w:val="18"/>
                    </w:rPr>
                    <w:t>存在的风险及事故应急措施</w:t>
                  </w:r>
                </w:p>
                <w:p>
                  <w:pPr>
                    <w:adjustRightInd w:val="0"/>
                    <w:snapToGrid w:val="0"/>
                    <w:ind w:firstLine="360" w:firstLineChars="200"/>
                    <w:rPr>
                      <w:color w:val="auto"/>
                      <w:sz w:val="18"/>
                      <w:szCs w:val="18"/>
                    </w:rPr>
                  </w:pPr>
                  <w:r>
                    <w:rPr>
                      <w:color w:val="auto"/>
                      <w:sz w:val="18"/>
                      <w:szCs w:val="18"/>
                    </w:rPr>
                    <w:t>a、对于产生有机废气等设备，为避免与氧气形成爆炸性混合物，以正压输送方式输送到废气总管。</w:t>
                  </w:r>
                </w:p>
                <w:p>
                  <w:pPr>
                    <w:adjustRightInd w:val="0"/>
                    <w:snapToGrid w:val="0"/>
                    <w:ind w:firstLine="360" w:firstLineChars="200"/>
                    <w:rPr>
                      <w:color w:val="auto"/>
                      <w:sz w:val="18"/>
                      <w:szCs w:val="18"/>
                    </w:rPr>
                  </w:pPr>
                  <w:r>
                    <w:rPr>
                      <w:color w:val="auto"/>
                      <w:sz w:val="18"/>
                      <w:szCs w:val="18"/>
                    </w:rPr>
                    <w:t>b、活性炭选材：使用点火温度高，灰分低的活性炭作为吸附材料。</w:t>
                  </w:r>
                </w:p>
                <w:p>
                  <w:pPr>
                    <w:adjustRightInd w:val="0"/>
                    <w:snapToGrid w:val="0"/>
                    <w:ind w:firstLine="360" w:firstLineChars="200"/>
                    <w:rPr>
                      <w:color w:val="auto"/>
                      <w:sz w:val="18"/>
                      <w:szCs w:val="18"/>
                    </w:rPr>
                  </w:pPr>
                  <w:r>
                    <w:rPr>
                      <w:color w:val="auto"/>
                      <w:sz w:val="18"/>
                      <w:szCs w:val="18"/>
                    </w:rPr>
                    <w:t>c、定期检查处理装置、废气管路是否有不完整漏风的情况，要保证管路不漏气。</w:t>
                  </w:r>
                </w:p>
                <w:p>
                  <w:pPr>
                    <w:adjustRightInd w:val="0"/>
                    <w:snapToGrid w:val="0"/>
                    <w:ind w:firstLine="360" w:firstLineChars="200"/>
                    <w:rPr>
                      <w:color w:val="auto"/>
                      <w:sz w:val="18"/>
                      <w:szCs w:val="18"/>
                    </w:rPr>
                  </w:pPr>
                  <w:r>
                    <w:rPr>
                      <w:color w:val="auto"/>
                      <w:sz w:val="18"/>
                      <w:szCs w:val="18"/>
                    </w:rPr>
                    <w:t>d、 吸附处理装置前的废气管路安装管路阻火器（阻爆型）；管路上(分段)安装泄爆片，废气缓冲罐上安装泄爆板，泄爆板要有固定装置。</w:t>
                  </w:r>
                </w:p>
                <w:p>
                  <w:pPr>
                    <w:adjustRightInd w:val="0"/>
                    <w:snapToGrid w:val="0"/>
                    <w:ind w:firstLine="360" w:firstLineChars="200"/>
                    <w:rPr>
                      <w:color w:val="auto"/>
                      <w:sz w:val="18"/>
                      <w:szCs w:val="18"/>
                    </w:rPr>
                  </w:pPr>
                  <w:r>
                    <w:rPr>
                      <w:color w:val="auto"/>
                      <w:sz w:val="18"/>
                      <w:szCs w:val="18"/>
                    </w:rPr>
                    <w:t>e、应急反应与人员培训。培训人员发生火灾时的应急处置能力，要能及时扑灭吸附处理装置的火灾，防止火灾蔓延。</w:t>
                  </w:r>
                </w:p>
                <w:p>
                  <w:pPr>
                    <w:adjustRightInd w:val="0"/>
                    <w:snapToGrid w:val="0"/>
                    <w:ind w:firstLine="360" w:firstLineChars="200"/>
                    <w:rPr>
                      <w:color w:val="auto"/>
                      <w:sz w:val="18"/>
                      <w:szCs w:val="18"/>
                    </w:rPr>
                  </w:pPr>
                  <w:r>
                    <w:rPr>
                      <w:rFonts w:hint="eastAsia" w:ascii="宋体" w:hAnsi="宋体" w:cs="宋体"/>
                      <w:color w:val="auto"/>
                      <w:sz w:val="18"/>
                      <w:szCs w:val="18"/>
                    </w:rPr>
                    <w:t>⑤</w:t>
                  </w:r>
                  <w:r>
                    <w:rPr>
                      <w:color w:val="auto"/>
                      <w:sz w:val="18"/>
                      <w:szCs w:val="18"/>
                    </w:rPr>
                    <w:t>危废仓库风险防控措施：</w:t>
                  </w:r>
                </w:p>
                <w:p>
                  <w:pPr>
                    <w:adjustRightInd w:val="0"/>
                    <w:snapToGrid w:val="0"/>
                    <w:ind w:firstLine="360" w:firstLineChars="200"/>
                    <w:rPr>
                      <w:color w:val="auto"/>
                      <w:sz w:val="18"/>
                      <w:szCs w:val="18"/>
                    </w:rPr>
                  </w:pPr>
                  <w:r>
                    <w:rPr>
                      <w:color w:val="auto"/>
                      <w:sz w:val="18"/>
                      <w:szCs w:val="18"/>
                    </w:rPr>
                    <w:t>a．危废仓库地面采用环氧地坪，底部加设土工膜，防渗等级满足防渗要求；</w:t>
                  </w:r>
                </w:p>
                <w:p>
                  <w:pPr>
                    <w:adjustRightInd w:val="0"/>
                    <w:snapToGrid w:val="0"/>
                    <w:ind w:firstLine="360" w:firstLineChars="200"/>
                    <w:rPr>
                      <w:color w:val="auto"/>
                      <w:sz w:val="18"/>
                      <w:szCs w:val="18"/>
                    </w:rPr>
                  </w:pPr>
                  <w:r>
                    <w:rPr>
                      <w:rFonts w:hint="eastAsia"/>
                      <w:color w:val="auto"/>
                      <w:sz w:val="18"/>
                      <w:szCs w:val="18"/>
                    </w:rPr>
                    <w:t>b</w:t>
                  </w:r>
                  <w:r>
                    <w:rPr>
                      <w:color w:val="auto"/>
                      <w:sz w:val="18"/>
                      <w:szCs w:val="18"/>
                    </w:rPr>
                    <w:t>．</w:t>
                  </w:r>
                  <w:r>
                    <w:rPr>
                      <w:rFonts w:hint="eastAsia"/>
                      <w:color w:val="auto"/>
                      <w:sz w:val="18"/>
                      <w:szCs w:val="18"/>
                    </w:rPr>
                    <w:t>已</w:t>
                  </w:r>
                  <w:r>
                    <w:rPr>
                      <w:color w:val="auto"/>
                      <w:sz w:val="18"/>
                      <w:szCs w:val="18"/>
                    </w:rPr>
                    <w:t>设置在带防雷装置的车间内，仓库密闭，地面防渗处理，四周设围堰，设置钢筋混凝土导流渠，并采用底部加设土工膜进行防渗，具备防风、防雨、防晒功能；配备通讯设备、防爆灯、禁火标志、灭火器（如黄沙）等；</w:t>
                  </w:r>
                </w:p>
                <w:p>
                  <w:pPr>
                    <w:adjustRightInd w:val="0"/>
                    <w:snapToGrid w:val="0"/>
                    <w:ind w:firstLine="360" w:firstLineChars="200"/>
                    <w:rPr>
                      <w:color w:val="auto"/>
                      <w:sz w:val="18"/>
                      <w:szCs w:val="18"/>
                    </w:rPr>
                  </w:pPr>
                  <w:r>
                    <w:rPr>
                      <w:rFonts w:hint="eastAsia"/>
                      <w:color w:val="auto"/>
                      <w:sz w:val="18"/>
                      <w:szCs w:val="18"/>
                    </w:rPr>
                    <w:t>c</w:t>
                  </w:r>
                  <w:r>
                    <w:rPr>
                      <w:color w:val="auto"/>
                      <w:sz w:val="18"/>
                      <w:szCs w:val="18"/>
                    </w:rPr>
                    <w:t>．厂区门口设置危废信息公开栏，危废仓库外墙及各类危废贮存处墙面设置贮存设施警示标志牌，对危险废物的容器和包装物以及收集、贮存、运输、处置危险废物的设施、场所，拟设置危险废物识别标志；</w:t>
                  </w:r>
                </w:p>
                <w:p>
                  <w:pPr>
                    <w:adjustRightInd w:val="0"/>
                    <w:snapToGrid w:val="0"/>
                    <w:ind w:firstLine="360" w:firstLineChars="200"/>
                    <w:rPr>
                      <w:color w:val="auto"/>
                      <w:sz w:val="18"/>
                      <w:szCs w:val="18"/>
                    </w:rPr>
                  </w:pPr>
                  <w:r>
                    <w:rPr>
                      <w:rFonts w:hint="eastAsia"/>
                      <w:color w:val="auto"/>
                      <w:sz w:val="18"/>
                      <w:szCs w:val="18"/>
                    </w:rPr>
                    <w:t>d</w:t>
                  </w:r>
                  <w:r>
                    <w:rPr>
                      <w:color w:val="auto"/>
                      <w:sz w:val="18"/>
                      <w:szCs w:val="18"/>
                    </w:rPr>
                    <w:t>．根据危险废物的种类和特性进行分区、分类贮存；</w:t>
                  </w:r>
                </w:p>
                <w:p>
                  <w:pPr>
                    <w:adjustRightInd w:val="0"/>
                    <w:snapToGrid w:val="0"/>
                    <w:ind w:firstLine="360" w:firstLineChars="200"/>
                    <w:rPr>
                      <w:color w:val="auto"/>
                      <w:sz w:val="18"/>
                      <w:szCs w:val="18"/>
                    </w:rPr>
                  </w:pPr>
                  <w:r>
                    <w:rPr>
                      <w:rFonts w:hint="eastAsia"/>
                      <w:color w:val="auto"/>
                      <w:sz w:val="18"/>
                      <w:szCs w:val="18"/>
                    </w:rPr>
                    <w:t>e</w:t>
                  </w:r>
                  <w:r>
                    <w:rPr>
                      <w:color w:val="auto"/>
                      <w:sz w:val="18"/>
                      <w:szCs w:val="18"/>
                    </w:rPr>
                    <w:t>．危废仓库设立危险废物进出入台账登记管理制度，记录危险废物的名称、来源、数量、特性和包装容器的类别、入库日期、存放库位、废物出库日期及接收单位名称，严格执行危险废物电子联单制度，实行对危险废物从源头到终端处理的全过程监管，确保危险废物100%得到安全处置。危险废物的记录和货单保留三年。</w:t>
                  </w:r>
                </w:p>
                <w:p>
                  <w:pPr>
                    <w:ind w:firstLine="360" w:firstLineChars="200"/>
                    <w:rPr>
                      <w:color w:val="auto"/>
                      <w:sz w:val="18"/>
                      <w:szCs w:val="18"/>
                    </w:rPr>
                  </w:pPr>
                  <w:r>
                    <w:rPr>
                      <w:rFonts w:hint="eastAsia" w:ascii="宋体" w:hAnsi="宋体" w:cs="宋体"/>
                      <w:color w:val="auto"/>
                      <w:sz w:val="18"/>
                      <w:szCs w:val="18"/>
                    </w:rPr>
                    <w:t>⑥</w:t>
                  </w:r>
                  <w:r>
                    <w:rPr>
                      <w:rFonts w:hint="eastAsia"/>
                      <w:color w:val="auto"/>
                      <w:sz w:val="18"/>
                      <w:szCs w:val="18"/>
                    </w:rPr>
                    <w:t>应急要求</w:t>
                  </w:r>
                </w:p>
                <w:p>
                  <w:pPr>
                    <w:ind w:firstLine="360" w:firstLineChars="200"/>
                    <w:jc w:val="left"/>
                    <w:rPr>
                      <w:rFonts w:ascii="Arial" w:hAnsi="Arial" w:cs="Arial"/>
                      <w:color w:val="auto"/>
                      <w:sz w:val="18"/>
                      <w:szCs w:val="18"/>
                    </w:rPr>
                  </w:pPr>
                  <w:r>
                    <w:rPr>
                      <w:rFonts w:ascii="Arial" w:hAnsi="Arial" w:cs="Arial"/>
                      <w:color w:val="auto"/>
                      <w:sz w:val="18"/>
                      <w:szCs w:val="18"/>
                    </w:rPr>
                    <w:t>为保证企业及人民生命财产安全，防止突发性重大环境事故发生，或在发生事故时能迅速有序地开展救援工作，尽最大努力减少事故的危害和损失。根据《企业事业单位突发环境事件应急预案备案管理办法</w:t>
                  </w:r>
                  <w:r>
                    <w:rPr>
                      <w:color w:val="auto"/>
                      <w:sz w:val="18"/>
                      <w:szCs w:val="18"/>
                    </w:rPr>
                    <w:t>(</w:t>
                  </w:r>
                  <w:r>
                    <w:rPr>
                      <w:rFonts w:ascii="Arial" w:hAnsi="Arial" w:cs="Arial"/>
                      <w:color w:val="auto"/>
                      <w:sz w:val="18"/>
                      <w:szCs w:val="18"/>
                    </w:rPr>
                    <w:t>试行</w:t>
                  </w:r>
                  <w:r>
                    <w:rPr>
                      <w:color w:val="auto"/>
                      <w:sz w:val="18"/>
                      <w:szCs w:val="18"/>
                    </w:rPr>
                    <w:t>)</w:t>
                  </w:r>
                  <w:r>
                    <w:rPr>
                      <w:rFonts w:ascii="Arial" w:hAnsi="Arial" w:cs="Arial"/>
                      <w:color w:val="auto"/>
                      <w:sz w:val="18"/>
                      <w:szCs w:val="18"/>
                    </w:rPr>
                    <w:t>》</w:t>
                  </w:r>
                  <w:r>
                    <w:rPr>
                      <w:color w:val="auto"/>
                      <w:sz w:val="18"/>
                      <w:szCs w:val="18"/>
                    </w:rPr>
                    <w:t>(</w:t>
                  </w:r>
                  <w:r>
                    <w:rPr>
                      <w:rFonts w:ascii="Arial" w:hAnsi="Arial" w:cs="Arial"/>
                      <w:color w:val="auto"/>
                      <w:sz w:val="18"/>
                      <w:szCs w:val="18"/>
                    </w:rPr>
                    <w:t>环发</w:t>
                  </w:r>
                  <w:r>
                    <w:rPr>
                      <w:color w:val="auto"/>
                      <w:sz w:val="18"/>
                      <w:szCs w:val="18"/>
                    </w:rPr>
                    <w:t xml:space="preserve">[2015]4 </w:t>
                  </w:r>
                  <w:r>
                    <w:rPr>
                      <w:rFonts w:ascii="Arial" w:hAnsi="Arial" w:cs="Arial"/>
                      <w:color w:val="auto"/>
                      <w:sz w:val="18"/>
                      <w:szCs w:val="18"/>
                    </w:rPr>
                    <w:t>号</w:t>
                  </w:r>
                  <w:r>
                    <w:rPr>
                      <w:color w:val="auto"/>
                      <w:sz w:val="18"/>
                      <w:szCs w:val="18"/>
                    </w:rPr>
                    <w:t>)</w:t>
                  </w:r>
                  <w:r>
                    <w:rPr>
                      <w:rFonts w:ascii="Arial" w:hAnsi="Arial" w:cs="Arial"/>
                      <w:color w:val="auto"/>
                      <w:sz w:val="18"/>
                      <w:szCs w:val="18"/>
                    </w:rPr>
                    <w:t>的要求，项目建成后，建设单位需根据《企事业单位和工业园区突发环境事件应急预案编制导则》</w:t>
                  </w:r>
                  <w:r>
                    <w:rPr>
                      <w:rFonts w:hint="eastAsia" w:ascii="Arial" w:hAnsi="Arial" w:cs="Arial"/>
                      <w:color w:val="auto"/>
                      <w:sz w:val="18"/>
                      <w:szCs w:val="18"/>
                    </w:rPr>
                    <w:t>（</w:t>
                  </w:r>
                  <w:r>
                    <w:rPr>
                      <w:color w:val="auto"/>
                      <w:sz w:val="18"/>
                      <w:szCs w:val="18"/>
                    </w:rPr>
                    <w:t>DB32/T3795-2020</w:t>
                  </w:r>
                  <w:r>
                    <w:rPr>
                      <w:rFonts w:ascii="Arial" w:hAnsi="Arial" w:cs="Arial"/>
                      <w:color w:val="auto"/>
                      <w:sz w:val="18"/>
                      <w:szCs w:val="18"/>
                    </w:rPr>
                    <w:t>）要求，</w:t>
                  </w:r>
                  <w:r>
                    <w:rPr>
                      <w:rFonts w:hint="eastAsia" w:ascii="Arial" w:hAnsi="Arial" w:cs="Arial"/>
                      <w:color w:val="auto"/>
                      <w:sz w:val="18"/>
                      <w:szCs w:val="18"/>
                    </w:rPr>
                    <w:t>编制</w:t>
                  </w:r>
                  <w:r>
                    <w:rPr>
                      <w:rFonts w:ascii="Arial" w:hAnsi="Arial" w:cs="Arial"/>
                      <w:color w:val="auto"/>
                      <w:sz w:val="18"/>
                      <w:szCs w:val="18"/>
                    </w:rPr>
                    <w:t>环境风险应急预案及备案，并组织专业队伍学习和演练，防患于未然，以便应急救援工作的顺利开展。</w:t>
                  </w:r>
                </w:p>
                <w:p>
                  <w:pPr>
                    <w:ind w:firstLine="360" w:firstLineChars="200"/>
                    <w:jc w:val="left"/>
                    <w:rPr>
                      <w:color w:val="auto"/>
                      <w:sz w:val="18"/>
                      <w:szCs w:val="18"/>
                    </w:rPr>
                  </w:pPr>
                  <w:r>
                    <w:rPr>
                      <w:rFonts w:ascii="Arial" w:hAnsi="Arial" w:cs="Arial"/>
                      <w:color w:val="auto"/>
                      <w:sz w:val="18"/>
                      <w:szCs w:val="18"/>
                    </w:rPr>
                    <w:t>风险事故的应急计划包括应急状态分类、应急计划区和事故等级水平、应急防护、应急医学处理等。因此，风险事故应急计划应当包括以下内容：项目生产过程中所使用以及产生的风险物质、危险源的概况；应急计划实施区域；应急和事故灾害控制的组织、责任、授权人；应急状态分类以及应急状态响应程序；应急设备、设施、材料和人员调动系统和程序；应急通知和与授权人、有关人员、相关方面的通讯系统和程序；应急环境监测和事故环境影响评价；应急预防措施，清除泄漏物的措施、方法和使用器材；应急人员接触计量控制、人员撤退、医疗救助与公众健康保证的系统和程序；应急状态终止与事故影响的恢复措施；应急人员培训、演练和试验应急系统的程序；应急事故的公众教育以及事故信息公布程序；调动第三方资源进行应急支持的安排和程序；事故的记录和报告程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099" w:type="dxa"/>
                  <w:gridSpan w:val="5"/>
                  <w:vAlign w:val="center"/>
                </w:tcPr>
                <w:p>
                  <w:pPr>
                    <w:contextualSpacing/>
                    <w:jc w:val="left"/>
                    <w:rPr>
                      <w:color w:val="auto"/>
                      <w:sz w:val="18"/>
                      <w:szCs w:val="18"/>
                    </w:rPr>
                  </w:pPr>
                  <w:r>
                    <w:rPr>
                      <w:color w:val="auto"/>
                      <w:sz w:val="18"/>
                      <w:szCs w:val="18"/>
                    </w:rPr>
                    <w:t>填表说明（列出项目相关信息及评价说明）</w:t>
                  </w:r>
                </w:p>
                <w:p>
                  <w:pPr>
                    <w:ind w:firstLine="360" w:firstLineChars="200"/>
                    <w:contextualSpacing/>
                    <w:jc w:val="left"/>
                    <w:rPr>
                      <w:color w:val="auto"/>
                      <w:sz w:val="18"/>
                      <w:szCs w:val="18"/>
                    </w:rPr>
                  </w:pPr>
                  <w:r>
                    <w:rPr>
                      <w:color w:val="auto"/>
                      <w:sz w:val="18"/>
                      <w:szCs w:val="18"/>
                    </w:rPr>
                    <w:t>在各环境风险防范措施落实到位的情况下，将可大大降低本项目的环境风险，最大程度减少对环境可能造成的危害</w:t>
                  </w:r>
                  <w:r>
                    <w:rPr>
                      <w:rFonts w:hint="eastAsia"/>
                      <w:color w:val="auto"/>
                      <w:sz w:val="18"/>
                      <w:szCs w:val="18"/>
                    </w:rPr>
                    <w:t>，</w:t>
                  </w:r>
                  <w:r>
                    <w:rPr>
                      <w:color w:val="auto"/>
                      <w:sz w:val="18"/>
                      <w:szCs w:val="18"/>
                    </w:rPr>
                    <w:t>风险较小</w:t>
                  </w:r>
                  <w:r>
                    <w:rPr>
                      <w:rFonts w:hint="eastAsia"/>
                      <w:color w:val="auto"/>
                      <w:sz w:val="18"/>
                      <w:szCs w:val="18"/>
                    </w:rPr>
                    <w:t>。</w:t>
                  </w:r>
                </w:p>
              </w:tc>
            </w:tr>
          </w:tbl>
          <w:p>
            <w:pPr>
              <w:adjustRightInd w:val="0"/>
              <w:snapToGrid w:val="0"/>
              <w:spacing w:line="360" w:lineRule="auto"/>
              <w:ind w:firstLine="420" w:firstLineChars="200"/>
              <w:rPr>
                <w:color w:val="auto"/>
                <w:szCs w:val="21"/>
              </w:rPr>
            </w:pPr>
          </w:p>
        </w:tc>
      </w:tr>
    </w:tbl>
    <w:p>
      <w:pPr>
        <w:spacing w:line="360" w:lineRule="auto"/>
        <w:jc w:val="center"/>
        <w:outlineLvl w:val="0"/>
        <w:rPr>
          <w:rFonts w:eastAsia="黑体"/>
          <w:snapToGrid w:val="0"/>
          <w:color w:val="auto"/>
          <w:sz w:val="30"/>
          <w:szCs w:val="30"/>
        </w:rPr>
        <w:sectPr>
          <w:pgSz w:w="11906" w:h="16838"/>
          <w:pgMar w:top="1440" w:right="1080" w:bottom="1440" w:left="1080" w:header="851" w:footer="851" w:gutter="0"/>
          <w:cols w:space="720" w:num="1"/>
          <w:docGrid w:linePitch="312" w:charSpace="0"/>
        </w:sectPr>
      </w:pPr>
    </w:p>
    <w:p>
      <w:pPr>
        <w:spacing w:line="360" w:lineRule="auto"/>
        <w:jc w:val="center"/>
        <w:outlineLvl w:val="0"/>
        <w:rPr>
          <w:rFonts w:eastAsia="黑体"/>
          <w:snapToGrid w:val="0"/>
          <w:color w:val="auto"/>
          <w:sz w:val="30"/>
          <w:szCs w:val="30"/>
        </w:rPr>
      </w:pPr>
      <w:r>
        <w:rPr>
          <w:rFonts w:eastAsia="黑体"/>
          <w:snapToGrid w:val="0"/>
          <w:color w:val="auto"/>
          <w:sz w:val="30"/>
          <w:szCs w:val="30"/>
        </w:rPr>
        <w:t>五、</w:t>
      </w:r>
      <w:bookmarkStart w:id="16" w:name="_Hlk54167917"/>
      <w:r>
        <w:rPr>
          <w:rFonts w:eastAsia="黑体"/>
          <w:snapToGrid w:val="0"/>
          <w:color w:val="auto"/>
          <w:sz w:val="30"/>
          <w:szCs w:val="30"/>
        </w:rPr>
        <w:t>环境保护措施监督检查清单</w:t>
      </w:r>
      <w:bookmarkEnd w:id="16"/>
    </w:p>
    <w:tbl>
      <w:tblPr>
        <w:tblStyle w:val="37"/>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011"/>
        <w:gridCol w:w="1098"/>
        <w:gridCol w:w="1099"/>
        <w:gridCol w:w="1407"/>
        <w:gridCol w:w="1929"/>
        <w:gridCol w:w="241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11" w:type="dxa"/>
            <w:tcBorders>
              <w:top w:val="single" w:color="000000" w:sz="4" w:space="0"/>
              <w:left w:val="single" w:color="000000" w:sz="4" w:space="0"/>
              <w:bottom w:val="single" w:color="000000" w:sz="4" w:space="0"/>
              <w:right w:val="single" w:color="000000" w:sz="4" w:space="0"/>
              <w:tl2br w:val="single" w:color="auto" w:sz="4" w:space="0"/>
            </w:tcBorders>
            <w:vAlign w:val="center"/>
          </w:tcPr>
          <w:p>
            <w:pPr>
              <w:ind w:firstLine="840"/>
              <w:rPr>
                <w:b/>
                <w:color w:val="auto"/>
                <w:szCs w:val="21"/>
              </w:rPr>
            </w:pPr>
            <w:r>
              <w:rPr>
                <w:b/>
                <w:color w:val="auto"/>
                <w:szCs w:val="21"/>
              </w:rPr>
              <w:t>内容</w:t>
            </w:r>
          </w:p>
          <w:p>
            <w:pPr>
              <w:rPr>
                <w:b/>
                <w:color w:val="auto"/>
                <w:szCs w:val="21"/>
              </w:rPr>
            </w:pPr>
            <w:r>
              <w:rPr>
                <w:b/>
                <w:color w:val="auto"/>
                <w:szCs w:val="21"/>
              </w:rPr>
              <w:t>要素</w:t>
            </w:r>
          </w:p>
        </w:tc>
        <w:tc>
          <w:tcPr>
            <w:tcW w:w="2197" w:type="dxa"/>
            <w:gridSpan w:val="2"/>
            <w:tcBorders>
              <w:top w:val="single" w:color="000000" w:sz="4" w:space="0"/>
              <w:left w:val="single" w:color="000000" w:sz="4" w:space="0"/>
              <w:bottom w:val="single" w:color="000000" w:sz="4" w:space="0"/>
              <w:right w:val="single" w:color="000000" w:sz="4" w:space="0"/>
            </w:tcBorders>
            <w:vAlign w:val="center"/>
          </w:tcPr>
          <w:p>
            <w:pPr>
              <w:jc w:val="center"/>
              <w:rPr>
                <w:b/>
                <w:color w:val="auto"/>
                <w:szCs w:val="21"/>
              </w:rPr>
            </w:pPr>
            <w:r>
              <w:rPr>
                <w:b/>
                <w:color w:val="auto"/>
                <w:szCs w:val="21"/>
              </w:rPr>
              <w:t>排放口(编号、</w:t>
            </w:r>
          </w:p>
          <w:p>
            <w:pPr>
              <w:jc w:val="center"/>
              <w:rPr>
                <w:b/>
                <w:color w:val="auto"/>
                <w:szCs w:val="21"/>
              </w:rPr>
            </w:pPr>
            <w:r>
              <w:rPr>
                <w:b/>
                <w:color w:val="auto"/>
                <w:szCs w:val="21"/>
              </w:rPr>
              <w:t>名称)/污染源</w:t>
            </w:r>
          </w:p>
        </w:tc>
        <w:tc>
          <w:tcPr>
            <w:tcW w:w="1407" w:type="dxa"/>
            <w:tcBorders>
              <w:top w:val="single" w:color="000000" w:sz="4" w:space="0"/>
              <w:left w:val="single" w:color="000000" w:sz="4" w:space="0"/>
              <w:bottom w:val="single" w:color="000000" w:sz="4" w:space="0"/>
              <w:right w:val="single" w:color="000000" w:sz="4" w:space="0"/>
            </w:tcBorders>
            <w:vAlign w:val="center"/>
          </w:tcPr>
          <w:p>
            <w:pPr>
              <w:jc w:val="center"/>
              <w:rPr>
                <w:b/>
                <w:color w:val="auto"/>
                <w:szCs w:val="21"/>
              </w:rPr>
            </w:pPr>
            <w:r>
              <w:rPr>
                <w:b/>
                <w:color w:val="auto"/>
                <w:szCs w:val="21"/>
              </w:rPr>
              <w:t>污染物项目</w:t>
            </w:r>
          </w:p>
        </w:tc>
        <w:tc>
          <w:tcPr>
            <w:tcW w:w="1929" w:type="dxa"/>
            <w:tcBorders>
              <w:top w:val="single" w:color="000000" w:sz="4" w:space="0"/>
              <w:left w:val="single" w:color="000000" w:sz="4" w:space="0"/>
              <w:bottom w:val="single" w:color="000000" w:sz="4" w:space="0"/>
              <w:right w:val="single" w:color="000000" w:sz="4" w:space="0"/>
            </w:tcBorders>
            <w:vAlign w:val="center"/>
          </w:tcPr>
          <w:p>
            <w:pPr>
              <w:jc w:val="center"/>
              <w:rPr>
                <w:b/>
                <w:color w:val="auto"/>
                <w:szCs w:val="21"/>
              </w:rPr>
            </w:pPr>
            <w:r>
              <w:rPr>
                <w:b/>
                <w:color w:val="auto"/>
                <w:szCs w:val="21"/>
              </w:rPr>
              <w:t>环境保护措施</w:t>
            </w:r>
          </w:p>
        </w:tc>
        <w:tc>
          <w:tcPr>
            <w:tcW w:w="2419" w:type="dxa"/>
            <w:tcBorders>
              <w:top w:val="single" w:color="000000" w:sz="4" w:space="0"/>
              <w:left w:val="single" w:color="000000" w:sz="4" w:space="0"/>
              <w:bottom w:val="single" w:color="000000" w:sz="4" w:space="0"/>
              <w:right w:val="single" w:color="000000" w:sz="4" w:space="0"/>
            </w:tcBorders>
            <w:vAlign w:val="center"/>
          </w:tcPr>
          <w:p>
            <w:pPr>
              <w:jc w:val="center"/>
              <w:rPr>
                <w:b/>
                <w:color w:val="auto"/>
                <w:szCs w:val="21"/>
              </w:rPr>
            </w:pPr>
            <w:r>
              <w:rPr>
                <w:b/>
                <w:color w:val="auto"/>
                <w:szCs w:val="21"/>
              </w:rPr>
              <w:t>执行标准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2011" w:type="dxa"/>
            <w:vMerge w:val="restart"/>
            <w:tcBorders>
              <w:top w:val="single" w:color="000000" w:sz="4" w:space="0"/>
              <w:left w:val="single" w:color="000000" w:sz="4" w:space="0"/>
              <w:right w:val="single" w:color="000000" w:sz="4" w:space="0"/>
            </w:tcBorders>
            <w:vAlign w:val="center"/>
          </w:tcPr>
          <w:p>
            <w:pPr>
              <w:jc w:val="center"/>
              <w:rPr>
                <w:color w:val="auto"/>
                <w:szCs w:val="21"/>
              </w:rPr>
            </w:pPr>
            <w:r>
              <w:rPr>
                <w:color w:val="auto"/>
                <w:szCs w:val="21"/>
              </w:rPr>
              <w:t>大气环境</w:t>
            </w:r>
          </w:p>
        </w:tc>
        <w:tc>
          <w:tcPr>
            <w:tcW w:w="2197" w:type="dxa"/>
            <w:gridSpan w:val="2"/>
            <w:tcBorders>
              <w:top w:val="single" w:color="000000" w:sz="4" w:space="0"/>
              <w:left w:val="single" w:color="000000" w:sz="4" w:space="0"/>
              <w:right w:val="single" w:color="000000" w:sz="4" w:space="0"/>
            </w:tcBorders>
            <w:vAlign w:val="center"/>
          </w:tcPr>
          <w:p>
            <w:pPr>
              <w:jc w:val="center"/>
              <w:rPr>
                <w:color w:val="auto"/>
                <w:szCs w:val="21"/>
              </w:rPr>
            </w:pPr>
            <w:r>
              <w:rPr>
                <w:rFonts w:hint="eastAsia"/>
                <w:color w:val="auto"/>
                <w:szCs w:val="21"/>
              </w:rPr>
              <w:t>混炼、开炼、成型、注塑废气</w:t>
            </w:r>
          </w:p>
        </w:tc>
        <w:tc>
          <w:tcPr>
            <w:tcW w:w="1407" w:type="dxa"/>
            <w:tcBorders>
              <w:top w:val="single" w:color="000000" w:sz="4" w:space="0"/>
              <w:left w:val="single" w:color="000000" w:sz="4" w:space="0"/>
              <w:right w:val="single" w:color="000000" w:sz="4" w:space="0"/>
            </w:tcBorders>
            <w:vAlign w:val="center"/>
          </w:tcPr>
          <w:p>
            <w:pPr>
              <w:jc w:val="center"/>
              <w:rPr>
                <w:color w:val="auto"/>
                <w:szCs w:val="21"/>
              </w:rPr>
            </w:pPr>
            <w:r>
              <w:rPr>
                <w:rFonts w:hint="eastAsia"/>
                <w:color w:val="auto"/>
                <w:szCs w:val="21"/>
              </w:rPr>
              <w:t>非甲烷总烃、颗粒物、CS</w:t>
            </w:r>
            <w:r>
              <w:rPr>
                <w:rFonts w:hint="eastAsia"/>
                <w:color w:val="auto"/>
                <w:szCs w:val="21"/>
                <w:vertAlign w:val="subscript"/>
              </w:rPr>
              <w:t>2</w:t>
            </w:r>
            <w:r>
              <w:rPr>
                <w:rFonts w:hint="eastAsia"/>
                <w:color w:val="auto"/>
                <w:szCs w:val="21"/>
              </w:rPr>
              <w:t>、硫化氢</w:t>
            </w:r>
          </w:p>
        </w:tc>
        <w:tc>
          <w:tcPr>
            <w:tcW w:w="1929" w:type="dxa"/>
            <w:tcBorders>
              <w:top w:val="single" w:color="000000" w:sz="4" w:space="0"/>
              <w:left w:val="single" w:color="000000" w:sz="4" w:space="0"/>
              <w:right w:val="single" w:color="000000" w:sz="4" w:space="0"/>
            </w:tcBorders>
            <w:vAlign w:val="center"/>
          </w:tcPr>
          <w:p>
            <w:pPr>
              <w:jc w:val="center"/>
              <w:rPr>
                <w:color w:val="auto"/>
                <w:szCs w:val="21"/>
              </w:rPr>
            </w:pPr>
            <w:r>
              <w:rPr>
                <w:rFonts w:hint="eastAsia"/>
                <w:color w:val="auto"/>
                <w:szCs w:val="21"/>
              </w:rPr>
              <w:t>集气罩+布袋除尘+二级活性炭吸附+</w:t>
            </w:r>
            <w:r>
              <w:rPr>
                <w:rFonts w:hint="eastAsia"/>
                <w:color w:val="auto"/>
                <w:szCs w:val="21"/>
                <w:lang w:val="en-US" w:eastAsia="zh-CN"/>
              </w:rPr>
              <w:t>25</w:t>
            </w:r>
            <w:r>
              <w:rPr>
                <w:rFonts w:hint="eastAsia"/>
                <w:color w:val="auto"/>
                <w:szCs w:val="21"/>
              </w:rPr>
              <w:t>米高排气筒</w:t>
            </w:r>
          </w:p>
        </w:tc>
        <w:tc>
          <w:tcPr>
            <w:tcW w:w="2419" w:type="dxa"/>
            <w:vMerge w:val="restart"/>
            <w:tcBorders>
              <w:top w:val="single" w:color="000000" w:sz="4" w:space="0"/>
              <w:left w:val="single" w:color="000000" w:sz="4" w:space="0"/>
              <w:right w:val="single" w:color="000000" w:sz="4" w:space="0"/>
            </w:tcBorders>
            <w:vAlign w:val="center"/>
          </w:tcPr>
          <w:p>
            <w:pPr>
              <w:jc w:val="center"/>
              <w:rPr>
                <w:color w:val="auto"/>
                <w:szCs w:val="21"/>
              </w:rPr>
            </w:pPr>
            <w:r>
              <w:rPr>
                <w:rFonts w:hint="eastAsia"/>
                <w:snapToGrid w:val="0"/>
                <w:color w:val="auto"/>
                <w:kern w:val="0"/>
                <w:szCs w:val="21"/>
              </w:rPr>
              <w:t>《橡胶制品工业污染物排放标准》(GB27632-2011)、《恶臭污染物排放标准》（GB14554-93）、《大气污染物综合排放标准》（DB32/4041-2021）表</w:t>
            </w:r>
            <w:r>
              <w:rPr>
                <w:snapToGrid w:val="0"/>
                <w:color w:val="auto"/>
                <w:kern w:val="0"/>
                <w:szCs w:val="21"/>
              </w:rPr>
              <w:t>3</w:t>
            </w:r>
            <w:r>
              <w:rPr>
                <w:rFonts w:hint="eastAsia"/>
                <w:snapToGrid w:val="0"/>
                <w:color w:val="auto"/>
                <w:kern w:val="0"/>
                <w:szCs w:val="21"/>
              </w:rPr>
              <w:t>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2011" w:type="dxa"/>
            <w:vMerge w:val="continue"/>
            <w:tcBorders>
              <w:left w:val="single" w:color="000000" w:sz="4" w:space="0"/>
              <w:bottom w:val="single" w:color="000000" w:sz="4" w:space="0"/>
              <w:right w:val="single" w:color="000000" w:sz="4" w:space="0"/>
            </w:tcBorders>
            <w:vAlign w:val="center"/>
          </w:tcPr>
          <w:p>
            <w:pPr>
              <w:jc w:val="center"/>
              <w:rPr>
                <w:color w:val="auto"/>
              </w:rPr>
            </w:pPr>
          </w:p>
        </w:tc>
        <w:tc>
          <w:tcPr>
            <w:tcW w:w="2197" w:type="dxa"/>
            <w:gridSpan w:val="2"/>
            <w:tcBorders>
              <w:left w:val="single" w:color="000000" w:sz="4" w:space="0"/>
              <w:right w:val="single" w:color="000000" w:sz="4" w:space="0"/>
            </w:tcBorders>
            <w:vAlign w:val="center"/>
          </w:tcPr>
          <w:p>
            <w:pPr>
              <w:jc w:val="center"/>
              <w:rPr>
                <w:color w:val="auto"/>
              </w:rPr>
            </w:pPr>
            <w:r>
              <w:rPr>
                <w:rFonts w:hint="eastAsia"/>
                <w:color w:val="auto"/>
                <w:szCs w:val="21"/>
              </w:rPr>
              <w:t>混炼、开炼、成型、注塑废气</w:t>
            </w:r>
          </w:p>
        </w:tc>
        <w:tc>
          <w:tcPr>
            <w:tcW w:w="1407" w:type="dxa"/>
            <w:tcBorders>
              <w:left w:val="single" w:color="000000" w:sz="4" w:space="0"/>
              <w:bottom w:val="single" w:color="000000" w:sz="4" w:space="0"/>
              <w:right w:val="single" w:color="000000" w:sz="4" w:space="0"/>
            </w:tcBorders>
            <w:vAlign w:val="center"/>
          </w:tcPr>
          <w:p>
            <w:pPr>
              <w:jc w:val="center"/>
              <w:rPr>
                <w:color w:val="auto"/>
              </w:rPr>
            </w:pPr>
            <w:r>
              <w:rPr>
                <w:rFonts w:hint="eastAsia"/>
                <w:color w:val="auto"/>
                <w:szCs w:val="21"/>
              </w:rPr>
              <w:t>非甲烷总烃、颗粒物、CS</w:t>
            </w:r>
            <w:r>
              <w:rPr>
                <w:rFonts w:hint="eastAsia"/>
                <w:color w:val="auto"/>
                <w:szCs w:val="21"/>
                <w:vertAlign w:val="subscript"/>
              </w:rPr>
              <w:t>2</w:t>
            </w:r>
            <w:r>
              <w:rPr>
                <w:rFonts w:hint="eastAsia"/>
                <w:color w:val="auto"/>
                <w:szCs w:val="21"/>
              </w:rPr>
              <w:t>、硫化氢</w:t>
            </w:r>
          </w:p>
        </w:tc>
        <w:tc>
          <w:tcPr>
            <w:tcW w:w="1929" w:type="dxa"/>
            <w:tcBorders>
              <w:top w:val="single" w:color="000000" w:sz="4" w:space="0"/>
              <w:left w:val="single" w:color="000000" w:sz="4" w:space="0"/>
              <w:right w:val="single" w:color="000000" w:sz="4" w:space="0"/>
            </w:tcBorders>
            <w:vAlign w:val="center"/>
          </w:tcPr>
          <w:p>
            <w:pPr>
              <w:jc w:val="center"/>
              <w:rPr>
                <w:color w:val="auto"/>
                <w:szCs w:val="21"/>
              </w:rPr>
            </w:pPr>
            <w:r>
              <w:rPr>
                <w:rFonts w:hint="eastAsia"/>
                <w:color w:val="auto"/>
                <w:szCs w:val="21"/>
              </w:rPr>
              <w:t>未捕集无组织排放</w:t>
            </w:r>
          </w:p>
        </w:tc>
        <w:tc>
          <w:tcPr>
            <w:tcW w:w="2419" w:type="dxa"/>
            <w:vMerge w:val="continue"/>
            <w:tcBorders>
              <w:left w:val="single" w:color="000000" w:sz="4" w:space="0"/>
              <w:right w:val="single" w:color="000000" w:sz="4" w:space="0"/>
            </w:tcBorders>
            <w:vAlign w:val="center"/>
          </w:tcPr>
          <w:p>
            <w:pPr>
              <w:jc w:val="center"/>
              <w:rPr>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12" w:hRule="atLeast"/>
          <w:jc w:val="center"/>
        </w:trPr>
        <w:tc>
          <w:tcPr>
            <w:tcW w:w="2011" w:type="dxa"/>
            <w:tcBorders>
              <w:top w:val="single" w:color="000000" w:sz="4" w:space="0"/>
              <w:left w:val="single" w:color="000000" w:sz="4" w:space="0"/>
              <w:right w:val="single" w:color="000000" w:sz="4" w:space="0"/>
            </w:tcBorders>
            <w:vAlign w:val="center"/>
          </w:tcPr>
          <w:p>
            <w:pPr>
              <w:jc w:val="center"/>
              <w:rPr>
                <w:color w:val="auto"/>
                <w:szCs w:val="21"/>
              </w:rPr>
            </w:pPr>
            <w:r>
              <w:rPr>
                <w:color w:val="auto"/>
                <w:szCs w:val="21"/>
              </w:rPr>
              <w:t>地表水环境</w:t>
            </w:r>
          </w:p>
        </w:tc>
        <w:tc>
          <w:tcPr>
            <w:tcW w:w="1098" w:type="dxa"/>
            <w:tcBorders>
              <w:top w:val="single" w:color="000000" w:sz="4" w:space="0"/>
              <w:left w:val="single" w:color="000000" w:sz="4" w:space="0"/>
              <w:right w:val="single" w:color="000000" w:sz="4" w:space="0"/>
            </w:tcBorders>
            <w:vAlign w:val="center"/>
          </w:tcPr>
          <w:p>
            <w:pPr>
              <w:jc w:val="center"/>
              <w:rPr>
                <w:color w:val="auto"/>
                <w:szCs w:val="21"/>
              </w:rPr>
            </w:pPr>
            <w:r>
              <w:rPr>
                <w:color w:val="auto"/>
                <w:szCs w:val="21"/>
              </w:rPr>
              <w:t>DW001</w:t>
            </w:r>
          </w:p>
        </w:tc>
        <w:tc>
          <w:tcPr>
            <w:tcW w:w="1099" w:type="dxa"/>
            <w:tcBorders>
              <w:top w:val="single" w:color="000000" w:sz="4" w:space="0"/>
              <w:left w:val="single" w:color="000000" w:sz="4" w:space="0"/>
              <w:right w:val="single" w:color="000000" w:sz="4" w:space="0"/>
            </w:tcBorders>
            <w:vAlign w:val="center"/>
          </w:tcPr>
          <w:p>
            <w:pPr>
              <w:jc w:val="center"/>
              <w:rPr>
                <w:color w:val="auto"/>
                <w:szCs w:val="21"/>
              </w:rPr>
            </w:pPr>
            <w:r>
              <w:rPr>
                <w:color w:val="auto"/>
                <w:szCs w:val="21"/>
              </w:rPr>
              <w:t>生活污水</w:t>
            </w:r>
          </w:p>
        </w:tc>
        <w:tc>
          <w:tcPr>
            <w:tcW w:w="1407" w:type="dxa"/>
            <w:tcBorders>
              <w:top w:val="single" w:color="000000" w:sz="4" w:space="0"/>
              <w:left w:val="single" w:color="000000" w:sz="4" w:space="0"/>
              <w:right w:val="single" w:color="000000" w:sz="4" w:space="0"/>
            </w:tcBorders>
            <w:vAlign w:val="center"/>
          </w:tcPr>
          <w:p>
            <w:pPr>
              <w:jc w:val="center"/>
              <w:rPr>
                <w:color w:val="auto"/>
                <w:szCs w:val="21"/>
              </w:rPr>
            </w:pPr>
            <w:r>
              <w:rPr>
                <w:color w:val="auto"/>
                <w:szCs w:val="21"/>
              </w:rPr>
              <w:t>pH</w:t>
            </w:r>
          </w:p>
          <w:p>
            <w:pPr>
              <w:jc w:val="center"/>
              <w:rPr>
                <w:color w:val="auto"/>
                <w:szCs w:val="21"/>
              </w:rPr>
            </w:pPr>
            <w:r>
              <w:rPr>
                <w:color w:val="auto"/>
                <w:szCs w:val="21"/>
              </w:rPr>
              <w:t>COD</w:t>
            </w:r>
          </w:p>
          <w:p>
            <w:pPr>
              <w:jc w:val="center"/>
              <w:rPr>
                <w:color w:val="auto"/>
                <w:szCs w:val="21"/>
              </w:rPr>
            </w:pPr>
            <w:r>
              <w:rPr>
                <w:color w:val="auto"/>
                <w:szCs w:val="21"/>
              </w:rPr>
              <w:t>SS</w:t>
            </w:r>
          </w:p>
          <w:p>
            <w:pPr>
              <w:jc w:val="center"/>
              <w:rPr>
                <w:color w:val="auto"/>
                <w:szCs w:val="21"/>
              </w:rPr>
            </w:pPr>
            <w:r>
              <w:rPr>
                <w:color w:val="auto"/>
                <w:szCs w:val="21"/>
              </w:rPr>
              <w:t>氨氮</w:t>
            </w:r>
          </w:p>
          <w:p>
            <w:pPr>
              <w:jc w:val="center"/>
              <w:rPr>
                <w:color w:val="auto"/>
                <w:szCs w:val="21"/>
              </w:rPr>
            </w:pPr>
            <w:r>
              <w:rPr>
                <w:color w:val="auto"/>
                <w:szCs w:val="21"/>
              </w:rPr>
              <w:t>总氮</w:t>
            </w:r>
          </w:p>
          <w:p>
            <w:pPr>
              <w:jc w:val="center"/>
              <w:rPr>
                <w:color w:val="auto"/>
                <w:szCs w:val="21"/>
              </w:rPr>
            </w:pPr>
            <w:r>
              <w:rPr>
                <w:color w:val="auto"/>
                <w:szCs w:val="21"/>
              </w:rPr>
              <w:t>总磷</w:t>
            </w:r>
          </w:p>
        </w:tc>
        <w:tc>
          <w:tcPr>
            <w:tcW w:w="1929" w:type="dxa"/>
            <w:tcBorders>
              <w:top w:val="single" w:color="000000" w:sz="4" w:space="0"/>
              <w:left w:val="single" w:color="000000" w:sz="4" w:space="0"/>
              <w:right w:val="single" w:color="000000" w:sz="4" w:space="0"/>
            </w:tcBorders>
            <w:vAlign w:val="center"/>
          </w:tcPr>
          <w:p>
            <w:pPr>
              <w:jc w:val="center"/>
              <w:rPr>
                <w:color w:val="auto"/>
                <w:szCs w:val="21"/>
              </w:rPr>
            </w:pPr>
            <w:r>
              <w:rPr>
                <w:rFonts w:hint="eastAsia"/>
                <w:color w:val="auto"/>
                <w:szCs w:val="21"/>
              </w:rPr>
              <w:t>化粪池</w:t>
            </w:r>
          </w:p>
        </w:tc>
        <w:tc>
          <w:tcPr>
            <w:tcW w:w="2419" w:type="dxa"/>
            <w:tcBorders>
              <w:top w:val="single" w:color="000000" w:sz="4" w:space="0"/>
              <w:left w:val="single" w:color="000000" w:sz="4" w:space="0"/>
              <w:right w:val="single" w:color="000000" w:sz="4" w:space="0"/>
            </w:tcBorders>
            <w:vAlign w:val="center"/>
          </w:tcPr>
          <w:p>
            <w:pPr>
              <w:jc w:val="center"/>
              <w:rPr>
                <w:color w:val="auto"/>
                <w:szCs w:val="21"/>
              </w:rPr>
            </w:pPr>
            <w:r>
              <w:rPr>
                <w:color w:val="auto"/>
                <w:szCs w:val="21"/>
              </w:rPr>
              <w:t>《污水综合排放标准》（GB8978-1996）表4三级标准、《污水排入城镇下水道水质标准》（GB/T31962-2015）表1中B等级标准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11" w:type="dxa"/>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声环境</w:t>
            </w:r>
          </w:p>
        </w:tc>
        <w:tc>
          <w:tcPr>
            <w:tcW w:w="2197" w:type="dxa"/>
            <w:gridSpan w:val="2"/>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rFonts w:hint="eastAsia"/>
                <w:color w:val="auto"/>
                <w:szCs w:val="21"/>
              </w:rPr>
              <w:t>密炼机、开炼机、注塑机等</w:t>
            </w:r>
          </w:p>
        </w:tc>
        <w:tc>
          <w:tcPr>
            <w:tcW w:w="1407" w:type="dxa"/>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Leq(A)</w:t>
            </w:r>
          </w:p>
        </w:tc>
        <w:tc>
          <w:tcPr>
            <w:tcW w:w="1929" w:type="dxa"/>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采取合理布局、选用低噪声设备、设备减振、加强管理等</w:t>
            </w:r>
          </w:p>
        </w:tc>
        <w:tc>
          <w:tcPr>
            <w:tcW w:w="2419" w:type="dxa"/>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《工业企业厂界环境噪声排放标准》（GB12348-2008）中3类标准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11" w:type="dxa"/>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电磁辐射</w:t>
            </w:r>
          </w:p>
        </w:tc>
        <w:tc>
          <w:tcPr>
            <w:tcW w:w="2197" w:type="dxa"/>
            <w:gridSpan w:val="2"/>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w:t>
            </w:r>
          </w:p>
        </w:tc>
        <w:tc>
          <w:tcPr>
            <w:tcW w:w="1407" w:type="dxa"/>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w:t>
            </w:r>
          </w:p>
        </w:tc>
        <w:tc>
          <w:tcPr>
            <w:tcW w:w="1929" w:type="dxa"/>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w:t>
            </w:r>
          </w:p>
        </w:tc>
        <w:tc>
          <w:tcPr>
            <w:tcW w:w="2419" w:type="dxa"/>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11" w:type="dxa"/>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固体废物</w:t>
            </w:r>
          </w:p>
        </w:tc>
        <w:tc>
          <w:tcPr>
            <w:tcW w:w="7952" w:type="dxa"/>
            <w:gridSpan w:val="5"/>
            <w:tcBorders>
              <w:top w:val="single" w:color="000000" w:sz="4" w:space="0"/>
              <w:left w:val="single" w:color="000000" w:sz="4" w:space="0"/>
              <w:bottom w:val="single" w:color="000000" w:sz="4" w:space="0"/>
              <w:right w:val="single" w:color="000000" w:sz="4" w:space="0"/>
            </w:tcBorders>
            <w:vAlign w:val="center"/>
          </w:tcPr>
          <w:p>
            <w:pPr>
              <w:spacing w:line="360" w:lineRule="auto"/>
              <w:ind w:firstLine="420" w:firstLineChars="200"/>
              <w:rPr>
                <w:color w:val="auto"/>
                <w:szCs w:val="21"/>
              </w:rPr>
            </w:pPr>
            <w:r>
              <w:rPr>
                <w:color w:val="auto"/>
                <w:szCs w:val="21"/>
              </w:rPr>
              <w:t>1、</w:t>
            </w:r>
            <w:r>
              <w:rPr>
                <w:rFonts w:hint="eastAsia"/>
                <w:color w:val="auto"/>
                <w:szCs w:val="21"/>
              </w:rPr>
              <w:t>新建一座</w:t>
            </w:r>
            <w:r>
              <w:rPr>
                <w:color w:val="auto"/>
                <w:szCs w:val="21"/>
              </w:rPr>
              <w:t>危废仓库，面积</w:t>
            </w:r>
            <w:r>
              <w:rPr>
                <w:rFonts w:hint="eastAsia"/>
                <w:color w:val="auto"/>
                <w:szCs w:val="21"/>
              </w:rPr>
              <w:t>5</w:t>
            </w:r>
            <w:r>
              <w:rPr>
                <w:color w:val="auto"/>
                <w:szCs w:val="21"/>
              </w:rPr>
              <w:t>m</w:t>
            </w:r>
            <w:r>
              <w:rPr>
                <w:color w:val="auto"/>
                <w:szCs w:val="21"/>
                <w:vertAlign w:val="superscript"/>
              </w:rPr>
              <w:t>2</w:t>
            </w:r>
            <w:r>
              <w:rPr>
                <w:color w:val="auto"/>
                <w:szCs w:val="21"/>
              </w:rPr>
              <w:t>，危险废物贮存按照</w:t>
            </w:r>
            <w:r>
              <w:rPr>
                <w:rFonts w:hint="eastAsia"/>
                <w:color w:val="auto"/>
                <w:szCs w:val="21"/>
              </w:rPr>
              <w:t>《危险废物贮存污染控制标准》（GB18597-2023）</w:t>
            </w:r>
            <w:r>
              <w:rPr>
                <w:color w:val="auto"/>
                <w:szCs w:val="21"/>
              </w:rPr>
              <w:t>要求、《危险废物收集储存运输技术规范》（HJ2025-2012）</w:t>
            </w:r>
            <w:r>
              <w:rPr>
                <w:rFonts w:hint="eastAsia"/>
                <w:color w:val="auto"/>
                <w:szCs w:val="21"/>
              </w:rPr>
              <w:t>、</w:t>
            </w:r>
            <w:r>
              <w:rPr>
                <w:color w:val="auto"/>
                <w:szCs w:val="21"/>
              </w:rPr>
              <w:t>《省生态环境厅关于进一步加强危险废物污染防治工作的实施意见》（苏环办[2019]327号）</w:t>
            </w:r>
            <w:r>
              <w:rPr>
                <w:rFonts w:hint="eastAsia"/>
                <w:color w:val="auto"/>
                <w:szCs w:val="21"/>
              </w:rPr>
              <w:t>以及《省生态环境厅关于做好</w:t>
            </w:r>
            <w:r>
              <w:rPr>
                <w:rFonts w:ascii="Arial" w:hAnsi="Arial" w:cs="Arial"/>
                <w:color w:val="auto"/>
                <w:sz w:val="19"/>
                <w:szCs w:val="19"/>
                <w:shd w:val="clear" w:color="auto" w:fill="FFFFFF"/>
              </w:rPr>
              <w:t>〈</w:t>
            </w:r>
            <w:r>
              <w:rPr>
                <w:rFonts w:hint="eastAsia"/>
                <w:color w:val="auto"/>
                <w:szCs w:val="21"/>
              </w:rPr>
              <w:t>危险废物贮存污染控制标准</w:t>
            </w:r>
            <w:r>
              <w:rPr>
                <w:rFonts w:ascii="Arial" w:hAnsi="Arial" w:cs="Arial"/>
                <w:color w:val="auto"/>
                <w:sz w:val="19"/>
                <w:szCs w:val="19"/>
                <w:shd w:val="clear" w:color="auto" w:fill="FFFFFF"/>
              </w:rPr>
              <w:t>〉</w:t>
            </w:r>
            <w:r>
              <w:rPr>
                <w:rFonts w:hint="eastAsia"/>
                <w:color w:val="auto"/>
                <w:szCs w:val="21"/>
              </w:rPr>
              <w:t>等标准规范实施后危险废物环境管理衔接工作的通知》（苏环办〔2023〕154号）相关</w:t>
            </w:r>
            <w:r>
              <w:rPr>
                <w:color w:val="auto"/>
                <w:szCs w:val="21"/>
              </w:rPr>
              <w:t>要求进行危险废物的贮存；</w:t>
            </w:r>
          </w:p>
          <w:p>
            <w:pPr>
              <w:spacing w:line="360" w:lineRule="auto"/>
              <w:ind w:firstLine="420" w:firstLineChars="200"/>
              <w:rPr>
                <w:color w:val="auto"/>
                <w:szCs w:val="21"/>
              </w:rPr>
            </w:pPr>
            <w:r>
              <w:rPr>
                <w:color w:val="auto"/>
                <w:szCs w:val="21"/>
              </w:rPr>
              <w:t>2、</w:t>
            </w:r>
            <w:r>
              <w:rPr>
                <w:rFonts w:hint="eastAsia"/>
                <w:color w:val="auto"/>
                <w:szCs w:val="21"/>
              </w:rPr>
              <w:t>新建一座</w:t>
            </w:r>
            <w:r>
              <w:rPr>
                <w:color w:val="auto"/>
                <w:szCs w:val="21"/>
              </w:rPr>
              <w:t>一般工业固废仓库，面积10m</w:t>
            </w:r>
            <w:r>
              <w:rPr>
                <w:color w:val="auto"/>
                <w:szCs w:val="21"/>
                <w:vertAlign w:val="superscript"/>
              </w:rPr>
              <w:t>2</w:t>
            </w:r>
            <w:r>
              <w:rPr>
                <w:color w:val="auto"/>
                <w:szCs w:val="21"/>
              </w:rPr>
              <w:t>，按照《一般工业固体废物贮存和填埋污染控制标准》（GB18599-2020）贮存。</w:t>
            </w:r>
          </w:p>
          <w:p>
            <w:pPr>
              <w:spacing w:line="360" w:lineRule="auto"/>
              <w:ind w:firstLine="420" w:firstLineChars="200"/>
              <w:rPr>
                <w:color w:val="auto"/>
                <w:szCs w:val="21"/>
              </w:rPr>
            </w:pPr>
            <w:r>
              <w:rPr>
                <w:color w:val="auto"/>
                <w:szCs w:val="21"/>
              </w:rPr>
              <w:t>3、本项目产生的</w:t>
            </w:r>
            <w:r>
              <w:rPr>
                <w:rFonts w:hint="eastAsia"/>
                <w:color w:val="auto"/>
                <w:szCs w:val="21"/>
              </w:rPr>
              <w:t>废包装桶和废活性炭</w:t>
            </w:r>
            <w:r>
              <w:rPr>
                <w:color w:val="auto"/>
                <w:szCs w:val="21"/>
              </w:rPr>
              <w:t>等危废，分类密封分区存放，委托有资质单位处置。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11" w:type="dxa"/>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土壤及地下水</w:t>
            </w:r>
          </w:p>
          <w:p>
            <w:pPr>
              <w:jc w:val="center"/>
              <w:rPr>
                <w:color w:val="auto"/>
                <w:szCs w:val="21"/>
              </w:rPr>
            </w:pPr>
            <w:r>
              <w:rPr>
                <w:color w:val="auto"/>
                <w:szCs w:val="21"/>
              </w:rPr>
              <w:t>污染防治措施</w:t>
            </w:r>
          </w:p>
        </w:tc>
        <w:tc>
          <w:tcPr>
            <w:tcW w:w="7952" w:type="dxa"/>
            <w:gridSpan w:val="5"/>
            <w:tcBorders>
              <w:top w:val="single" w:color="000000" w:sz="4" w:space="0"/>
              <w:left w:val="single" w:color="000000" w:sz="4" w:space="0"/>
              <w:bottom w:val="single" w:color="000000" w:sz="4" w:space="0"/>
              <w:right w:val="single" w:color="000000" w:sz="4" w:space="0"/>
            </w:tcBorders>
            <w:vAlign w:val="center"/>
          </w:tcPr>
          <w:p>
            <w:pPr>
              <w:pStyle w:val="28"/>
              <w:spacing w:line="360" w:lineRule="auto"/>
              <w:ind w:firstLine="420" w:firstLineChars="200"/>
              <w:rPr>
                <w:color w:val="auto"/>
                <w:sz w:val="21"/>
                <w:szCs w:val="21"/>
              </w:rPr>
            </w:pPr>
            <w:r>
              <w:rPr>
                <w:color w:val="auto"/>
                <w:sz w:val="21"/>
                <w:szCs w:val="21"/>
              </w:rPr>
              <w:t>本项目厂区应划分为重点防渗区和一般防渗区，不同的污染物区，采取不同等级的防渗措施，并确保其可靠性和有效性。重点防渗区为危废仓库、</w:t>
            </w:r>
            <w:r>
              <w:rPr>
                <w:rFonts w:hint="eastAsia"/>
                <w:color w:val="auto"/>
                <w:sz w:val="21"/>
                <w:szCs w:val="21"/>
              </w:rPr>
              <w:t>一楼生产车间</w:t>
            </w:r>
            <w:r>
              <w:rPr>
                <w:color w:val="auto"/>
                <w:sz w:val="21"/>
                <w:szCs w:val="21"/>
              </w:rPr>
              <w:t>，设计应满足</w:t>
            </w:r>
            <w:r>
              <w:rPr>
                <w:rFonts w:hint="eastAsia"/>
                <w:color w:val="auto"/>
                <w:sz w:val="21"/>
                <w:szCs w:val="21"/>
              </w:rPr>
              <w:t>《危险废物贮存污染控制标准》（GB18597-2023）</w:t>
            </w:r>
            <w:r>
              <w:rPr>
                <w:color w:val="auto"/>
                <w:sz w:val="21"/>
                <w:szCs w:val="21"/>
              </w:rPr>
              <w:t>；一般防渗区为一般固废仓库及其他车间区域，设计应满足《一般工业固体废物贮存和填埋污染控制标准》（GB18599-2020）要求。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11" w:type="dxa"/>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生态保护措施</w:t>
            </w:r>
          </w:p>
        </w:tc>
        <w:tc>
          <w:tcPr>
            <w:tcW w:w="7952" w:type="dxa"/>
            <w:gridSpan w:val="5"/>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11" w:type="dxa"/>
            <w:tcBorders>
              <w:top w:val="single" w:color="000000" w:sz="4" w:space="0"/>
              <w:left w:val="single" w:color="000000" w:sz="4" w:space="0"/>
              <w:bottom w:val="single" w:color="000000" w:sz="4" w:space="0"/>
              <w:right w:val="single" w:color="000000" w:sz="4" w:space="0"/>
            </w:tcBorders>
            <w:vAlign w:val="center"/>
          </w:tcPr>
          <w:p>
            <w:pPr>
              <w:jc w:val="center"/>
              <w:rPr>
                <w:color w:val="auto"/>
                <w:spacing w:val="-8"/>
                <w:szCs w:val="21"/>
              </w:rPr>
            </w:pPr>
            <w:r>
              <w:rPr>
                <w:color w:val="auto"/>
                <w:spacing w:val="-8"/>
                <w:szCs w:val="21"/>
              </w:rPr>
              <w:t>环境风险</w:t>
            </w:r>
          </w:p>
          <w:p>
            <w:pPr>
              <w:jc w:val="center"/>
              <w:rPr>
                <w:color w:val="auto"/>
                <w:spacing w:val="-8"/>
                <w:szCs w:val="21"/>
              </w:rPr>
            </w:pPr>
            <w:r>
              <w:rPr>
                <w:color w:val="auto"/>
                <w:spacing w:val="-8"/>
                <w:szCs w:val="21"/>
              </w:rPr>
              <w:t>防范措施</w:t>
            </w:r>
          </w:p>
        </w:tc>
        <w:tc>
          <w:tcPr>
            <w:tcW w:w="7952" w:type="dxa"/>
            <w:gridSpan w:val="5"/>
            <w:tcBorders>
              <w:top w:val="single" w:color="000000" w:sz="4" w:space="0"/>
              <w:left w:val="single" w:color="000000" w:sz="4" w:space="0"/>
              <w:bottom w:val="single" w:color="000000" w:sz="4" w:space="0"/>
              <w:right w:val="single" w:color="000000" w:sz="4" w:space="0"/>
            </w:tcBorders>
            <w:vAlign w:val="center"/>
          </w:tcPr>
          <w:p>
            <w:pPr>
              <w:spacing w:line="360" w:lineRule="auto"/>
              <w:ind w:firstLine="420" w:firstLineChars="200"/>
              <w:rPr>
                <w:color w:val="auto"/>
                <w:szCs w:val="21"/>
              </w:rPr>
            </w:pPr>
            <w:r>
              <w:rPr>
                <w:color w:val="auto"/>
                <w:szCs w:val="21"/>
              </w:rPr>
              <w:t>1、建立健全各种有关消防与安全生产的规章制度，建立岗位责任制。仓库、生产车间严禁明火。生产车间、仓库等场所配置足量的泡沫、干粉等灭火器，并保持完好状态。</w:t>
            </w:r>
          </w:p>
          <w:p>
            <w:pPr>
              <w:spacing w:line="360" w:lineRule="auto"/>
              <w:ind w:firstLine="420" w:firstLineChars="200"/>
              <w:rPr>
                <w:color w:val="auto"/>
                <w:szCs w:val="21"/>
              </w:rPr>
            </w:pPr>
            <w:r>
              <w:rPr>
                <w:color w:val="auto"/>
                <w:szCs w:val="21"/>
              </w:rPr>
              <w:t>2、厂区留有足够的消防通道。生产车间、仓库设置消防给水管道和消防栓。厂部要组织义务消防员，并进行定期的培训和训练。对有火灾危险的场所设置自动报警系统，一旦发生火灾，立即做出应急反应。</w:t>
            </w:r>
          </w:p>
          <w:p>
            <w:pPr>
              <w:spacing w:line="360" w:lineRule="auto"/>
              <w:ind w:firstLine="420" w:firstLineChars="200"/>
              <w:rPr>
                <w:color w:val="auto"/>
                <w:szCs w:val="21"/>
              </w:rPr>
            </w:pPr>
            <w:r>
              <w:rPr>
                <w:color w:val="auto"/>
                <w:szCs w:val="21"/>
              </w:rPr>
              <w:t>3、对于危废仓库，建设单位</w:t>
            </w:r>
            <w:r>
              <w:rPr>
                <w:rFonts w:hint="eastAsia"/>
                <w:color w:val="auto"/>
                <w:szCs w:val="21"/>
              </w:rPr>
              <w:t>需</w:t>
            </w:r>
            <w:r>
              <w:rPr>
                <w:color w:val="auto"/>
                <w:szCs w:val="21"/>
              </w:rPr>
              <w:t>设置监控系统，主要在仓库出入口、仓库内、厂门口等关键位置安装视频监控，进行实时监控并与中控室联网。</w:t>
            </w:r>
          </w:p>
          <w:p>
            <w:pPr>
              <w:spacing w:line="360" w:lineRule="auto"/>
              <w:ind w:firstLine="420" w:firstLineChars="200"/>
              <w:rPr>
                <w:color w:val="auto"/>
                <w:spacing w:val="-8"/>
                <w:szCs w:val="21"/>
              </w:rPr>
            </w:pPr>
            <w:r>
              <w:rPr>
                <w:color w:val="auto"/>
                <w:szCs w:val="21"/>
              </w:rPr>
              <w:t>4、厂区内的雨水管道、事故沟收集系统严格分开，设置雨水排口切断阀。车间内进行分区防渗，并设置导流沟、围挡。</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11" w:type="dxa"/>
            <w:tcBorders>
              <w:top w:val="single" w:color="000000" w:sz="4" w:space="0"/>
              <w:left w:val="single" w:color="000000" w:sz="4" w:space="0"/>
              <w:bottom w:val="single" w:color="000000" w:sz="4" w:space="0"/>
              <w:right w:val="single" w:color="000000" w:sz="4" w:space="0"/>
            </w:tcBorders>
            <w:vAlign w:val="center"/>
          </w:tcPr>
          <w:p>
            <w:pPr>
              <w:jc w:val="center"/>
              <w:rPr>
                <w:color w:val="auto"/>
                <w:spacing w:val="-8"/>
                <w:szCs w:val="21"/>
              </w:rPr>
            </w:pPr>
            <w:r>
              <w:rPr>
                <w:color w:val="auto"/>
                <w:spacing w:val="-8"/>
                <w:szCs w:val="21"/>
              </w:rPr>
              <w:t>其他环境</w:t>
            </w:r>
          </w:p>
          <w:p>
            <w:pPr>
              <w:jc w:val="center"/>
              <w:rPr>
                <w:color w:val="auto"/>
                <w:spacing w:val="-8"/>
                <w:szCs w:val="21"/>
              </w:rPr>
            </w:pPr>
            <w:r>
              <w:rPr>
                <w:color w:val="auto"/>
                <w:spacing w:val="-8"/>
                <w:szCs w:val="21"/>
              </w:rPr>
              <w:t>管理要求</w:t>
            </w:r>
          </w:p>
        </w:tc>
        <w:tc>
          <w:tcPr>
            <w:tcW w:w="7952" w:type="dxa"/>
            <w:gridSpan w:val="5"/>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360" w:lineRule="auto"/>
              <w:ind w:firstLine="420" w:firstLineChars="200"/>
              <w:rPr>
                <w:color w:val="auto"/>
                <w:spacing w:val="-2"/>
                <w:szCs w:val="21"/>
              </w:rPr>
            </w:pPr>
            <w:r>
              <w:rPr>
                <w:color w:val="auto"/>
                <w:szCs w:val="21"/>
              </w:rPr>
              <w:t>1、根据《国民经济行业分类》（GB/T4754-2017），本项目属于“</w:t>
            </w:r>
            <w:r>
              <w:rPr>
                <w:rFonts w:hint="eastAsia"/>
                <w:color w:val="auto"/>
                <w:szCs w:val="21"/>
              </w:rPr>
              <w:t>【C2913】橡胶零件制造、【C2929】塑料零件及其他塑料制品制造</w:t>
            </w:r>
            <w:r>
              <w:rPr>
                <w:color w:val="auto"/>
                <w:szCs w:val="21"/>
              </w:rPr>
              <w:t>”，对照《固定污染源排污许可分类管理名录》（2019年版）中“</w:t>
            </w:r>
            <w:r>
              <w:rPr>
                <w:rFonts w:hint="eastAsia"/>
                <w:color w:val="auto"/>
                <w:szCs w:val="21"/>
              </w:rPr>
              <w:t>二十四、橡胶和塑料制品业29</w:t>
            </w:r>
            <w:r>
              <w:rPr>
                <w:color w:val="auto"/>
                <w:szCs w:val="21"/>
              </w:rPr>
              <w:t>”中“</w:t>
            </w:r>
            <w:r>
              <w:rPr>
                <w:rFonts w:hint="eastAsia"/>
                <w:color w:val="auto"/>
                <w:szCs w:val="21"/>
              </w:rPr>
              <w:t>61、橡胶制品业291</w:t>
            </w:r>
            <w:r>
              <w:rPr>
                <w:color w:val="auto"/>
                <w:szCs w:val="21"/>
              </w:rPr>
              <w:t>”</w:t>
            </w:r>
            <w:r>
              <w:rPr>
                <w:rFonts w:hint="eastAsia"/>
                <w:color w:val="auto"/>
                <w:szCs w:val="21"/>
              </w:rPr>
              <w:t>中“其他”以及/62、塑料制品业292”</w:t>
            </w:r>
            <w:r>
              <w:rPr>
                <w:color w:val="auto"/>
                <w:szCs w:val="21"/>
              </w:rPr>
              <w:t>，实施“</w:t>
            </w:r>
            <w:r>
              <w:rPr>
                <w:rFonts w:hint="eastAsia"/>
                <w:color w:val="auto"/>
                <w:szCs w:val="21"/>
              </w:rPr>
              <w:t>登记</w:t>
            </w:r>
            <w:r>
              <w:rPr>
                <w:color w:val="auto"/>
                <w:szCs w:val="21"/>
              </w:rPr>
              <w:t>管理”。</w:t>
            </w:r>
            <w:r>
              <w:rPr>
                <w:color w:val="auto"/>
                <w:spacing w:val="-2"/>
                <w:szCs w:val="21"/>
              </w:rPr>
              <w:t xml:space="preserve"> </w:t>
            </w:r>
          </w:p>
          <w:p>
            <w:pPr>
              <w:pStyle w:val="28"/>
              <w:adjustRightInd w:val="0"/>
              <w:snapToGrid w:val="0"/>
              <w:spacing w:line="360" w:lineRule="auto"/>
              <w:ind w:firstLine="420" w:firstLineChars="200"/>
              <w:rPr>
                <w:color w:val="auto"/>
                <w:kern w:val="2"/>
                <w:sz w:val="21"/>
                <w:szCs w:val="21"/>
              </w:rPr>
            </w:pPr>
            <w:r>
              <w:rPr>
                <w:color w:val="auto"/>
                <w:kern w:val="2"/>
                <w:sz w:val="21"/>
                <w:szCs w:val="21"/>
              </w:rPr>
              <w:t>2、本项目配套建设的环境保护设施必须与主体工程同时设计、施工和投产使用，并按规定程序实施竣工环境保护验收，验收合格方可投入生产。</w:t>
            </w:r>
          </w:p>
          <w:p>
            <w:pPr>
              <w:spacing w:line="360" w:lineRule="auto"/>
              <w:ind w:firstLine="388" w:firstLineChars="200"/>
              <w:rPr>
                <w:color w:val="auto"/>
                <w:szCs w:val="21"/>
              </w:rPr>
            </w:pPr>
            <w:r>
              <w:rPr>
                <w:color w:val="auto"/>
                <w:spacing w:val="-8"/>
                <w:szCs w:val="21"/>
              </w:rPr>
              <w:t>3、</w:t>
            </w:r>
            <w:r>
              <w:rPr>
                <w:color w:val="auto"/>
                <w:szCs w:val="21"/>
              </w:rPr>
              <w:t>项目的性质、规模、地点、采用的生产工艺或者防治污染、防止生态破坏的措施发生重大变动的应当重新报批环境影响报告表。自环评批复之日起超过5年，方决定项目开工建设的，其环境影响报告表应重新报批审核。</w:t>
            </w:r>
          </w:p>
          <w:p>
            <w:pPr>
              <w:pStyle w:val="28"/>
              <w:spacing w:line="360" w:lineRule="auto"/>
              <w:ind w:firstLine="420" w:firstLineChars="200"/>
              <w:rPr>
                <w:color w:val="auto"/>
                <w:sz w:val="21"/>
                <w:szCs w:val="21"/>
              </w:rPr>
            </w:pPr>
            <w:r>
              <w:rPr>
                <w:color w:val="auto"/>
                <w:sz w:val="21"/>
                <w:szCs w:val="21"/>
              </w:rPr>
              <w:t>4、建设单位应根据《关于做好生态环境和应急管理部门联动工作的意见》（苏环办[2020]101号），开展环保设施安全风险辨识，健全内部污染防治设施稳定运行和管理责任制度，严格依据标准规范建设环境治理设施，确保环境治理设施安全、稳定、有效运行。</w:t>
            </w:r>
          </w:p>
          <w:p>
            <w:pPr>
              <w:pStyle w:val="28"/>
              <w:spacing w:line="360" w:lineRule="auto"/>
              <w:ind w:firstLine="420" w:firstLineChars="200"/>
              <w:rPr>
                <w:color w:val="auto"/>
                <w:sz w:val="21"/>
                <w:szCs w:val="21"/>
              </w:rPr>
            </w:pPr>
          </w:p>
          <w:p>
            <w:pPr>
              <w:pStyle w:val="28"/>
              <w:spacing w:line="360" w:lineRule="auto"/>
              <w:ind w:firstLine="420" w:firstLineChars="200"/>
              <w:rPr>
                <w:color w:val="auto"/>
                <w:sz w:val="21"/>
                <w:szCs w:val="21"/>
              </w:rPr>
            </w:pPr>
          </w:p>
          <w:p>
            <w:pPr>
              <w:pStyle w:val="28"/>
              <w:spacing w:line="360" w:lineRule="auto"/>
              <w:ind w:firstLine="420" w:firstLineChars="200"/>
              <w:rPr>
                <w:color w:val="auto"/>
                <w:sz w:val="21"/>
                <w:szCs w:val="21"/>
              </w:rPr>
            </w:pPr>
          </w:p>
          <w:p>
            <w:pPr>
              <w:pStyle w:val="28"/>
              <w:spacing w:line="360" w:lineRule="auto"/>
              <w:ind w:firstLine="420" w:firstLineChars="200"/>
              <w:rPr>
                <w:color w:val="auto"/>
                <w:sz w:val="21"/>
                <w:szCs w:val="21"/>
              </w:rPr>
            </w:pPr>
          </w:p>
          <w:p>
            <w:pPr>
              <w:pStyle w:val="28"/>
              <w:spacing w:line="360" w:lineRule="auto"/>
              <w:ind w:firstLine="420" w:firstLineChars="200"/>
              <w:rPr>
                <w:color w:val="auto"/>
                <w:sz w:val="21"/>
                <w:szCs w:val="21"/>
              </w:rPr>
            </w:pPr>
          </w:p>
          <w:p>
            <w:pPr>
              <w:pStyle w:val="28"/>
              <w:spacing w:line="360" w:lineRule="auto"/>
              <w:ind w:firstLine="420" w:firstLineChars="200"/>
              <w:rPr>
                <w:color w:val="auto"/>
                <w:sz w:val="21"/>
                <w:szCs w:val="21"/>
              </w:rPr>
            </w:pPr>
          </w:p>
          <w:p>
            <w:pPr>
              <w:pStyle w:val="28"/>
              <w:spacing w:line="360" w:lineRule="auto"/>
              <w:rPr>
                <w:color w:val="auto"/>
                <w:kern w:val="2"/>
                <w:sz w:val="21"/>
                <w:szCs w:val="21"/>
              </w:rPr>
            </w:pPr>
          </w:p>
          <w:p>
            <w:pPr>
              <w:pStyle w:val="28"/>
              <w:spacing w:line="360" w:lineRule="auto"/>
              <w:rPr>
                <w:color w:val="auto"/>
                <w:kern w:val="2"/>
                <w:sz w:val="21"/>
                <w:szCs w:val="21"/>
              </w:rPr>
            </w:pPr>
          </w:p>
        </w:tc>
      </w:tr>
    </w:tbl>
    <w:p>
      <w:pPr>
        <w:adjustRightInd w:val="0"/>
        <w:snapToGrid w:val="0"/>
        <w:spacing w:line="360" w:lineRule="auto"/>
        <w:jc w:val="center"/>
        <w:outlineLvl w:val="0"/>
        <w:rPr>
          <w:rFonts w:eastAsia="黑体"/>
          <w:snapToGrid w:val="0"/>
          <w:color w:val="auto"/>
          <w:sz w:val="30"/>
          <w:szCs w:val="30"/>
        </w:rPr>
        <w:sectPr>
          <w:pgSz w:w="11906" w:h="16838"/>
          <w:pgMar w:top="1440" w:right="1080" w:bottom="1440" w:left="1080" w:header="851" w:footer="851" w:gutter="0"/>
          <w:cols w:space="720" w:num="1"/>
          <w:docGrid w:linePitch="312" w:charSpace="0"/>
        </w:sectPr>
      </w:pPr>
    </w:p>
    <w:p>
      <w:pPr>
        <w:adjustRightInd w:val="0"/>
        <w:snapToGrid w:val="0"/>
        <w:spacing w:line="360" w:lineRule="auto"/>
        <w:jc w:val="center"/>
        <w:outlineLvl w:val="0"/>
        <w:rPr>
          <w:rFonts w:eastAsia="黑体"/>
          <w:snapToGrid w:val="0"/>
          <w:color w:val="auto"/>
          <w:sz w:val="30"/>
          <w:szCs w:val="30"/>
        </w:rPr>
      </w:pPr>
      <w:r>
        <w:rPr>
          <w:rFonts w:eastAsia="黑体"/>
          <w:snapToGrid w:val="0"/>
          <w:color w:val="auto"/>
          <w:sz w:val="30"/>
          <w:szCs w:val="30"/>
        </w:rPr>
        <w:t>六、结论</w:t>
      </w:r>
    </w:p>
    <w:tbl>
      <w:tblPr>
        <w:tblStyle w:val="37"/>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96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295" w:hRule="atLeast"/>
          <w:jc w:val="center"/>
        </w:trPr>
        <w:tc>
          <w:tcPr>
            <w:tcW w:w="8834" w:type="dxa"/>
          </w:tcPr>
          <w:p>
            <w:pPr>
              <w:adjustRightInd w:val="0"/>
              <w:snapToGrid w:val="0"/>
              <w:spacing w:line="360" w:lineRule="auto"/>
              <w:ind w:firstLine="420" w:firstLineChars="200"/>
              <w:rPr>
                <w:color w:val="auto"/>
              </w:rPr>
            </w:pPr>
            <w:r>
              <w:rPr>
                <w:color w:val="auto"/>
              </w:rPr>
              <w:t>本项目符合国家及地方产业政策，地址选择符合用地规划要求；项目生产过程中产生的污染在采取有效的治理措施之后，对周围环境影响较小，不会改变当地环境质量现状；同时本项目对周边环境产生的影响较小，事故风险水平可被接受。因此，从环保的角度出发，本项目在坚持“三同时”原则并按照本报告中提出的各项环保措施治理后环境影响是可行的。</w:t>
            </w: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p>
            <w:pPr>
              <w:adjustRightInd w:val="0"/>
              <w:snapToGrid w:val="0"/>
              <w:rPr>
                <w:color w:val="auto"/>
              </w:rPr>
            </w:pPr>
          </w:p>
        </w:tc>
      </w:tr>
    </w:tbl>
    <w:p>
      <w:pPr>
        <w:adjustRightInd w:val="0"/>
        <w:snapToGrid w:val="0"/>
        <w:spacing w:line="360" w:lineRule="auto"/>
        <w:outlineLvl w:val="0"/>
        <w:rPr>
          <w:rFonts w:eastAsia="黑体"/>
          <w:snapToGrid w:val="0"/>
          <w:color w:val="auto"/>
          <w:sz w:val="32"/>
          <w:szCs w:val="32"/>
        </w:rPr>
        <w:sectPr>
          <w:pgSz w:w="11906" w:h="16838"/>
          <w:pgMar w:top="1440" w:right="1080" w:bottom="1440" w:left="1080" w:header="851" w:footer="851" w:gutter="0"/>
          <w:cols w:space="720" w:num="1"/>
          <w:docGrid w:linePitch="312" w:charSpace="0"/>
        </w:sectPr>
      </w:pPr>
    </w:p>
    <w:p>
      <w:pPr>
        <w:adjustRightInd w:val="0"/>
        <w:snapToGrid w:val="0"/>
        <w:spacing w:line="360" w:lineRule="auto"/>
        <w:outlineLvl w:val="0"/>
        <w:rPr>
          <w:rFonts w:eastAsia="黑体"/>
          <w:snapToGrid w:val="0"/>
          <w:color w:val="auto"/>
          <w:sz w:val="32"/>
          <w:szCs w:val="32"/>
        </w:rPr>
      </w:pPr>
      <w:r>
        <w:rPr>
          <w:rFonts w:eastAsia="黑体"/>
          <w:snapToGrid w:val="0"/>
          <w:color w:val="auto"/>
          <w:sz w:val="32"/>
          <w:szCs w:val="32"/>
        </w:rPr>
        <w:t>附表</w:t>
      </w:r>
    </w:p>
    <w:p>
      <w:pPr>
        <w:adjustRightInd w:val="0"/>
        <w:snapToGrid w:val="0"/>
        <w:spacing w:line="360" w:lineRule="auto"/>
        <w:jc w:val="center"/>
        <w:rPr>
          <w:rFonts w:eastAsia="方正小标宋_GBK"/>
          <w:snapToGrid w:val="0"/>
          <w:color w:val="auto"/>
          <w:sz w:val="18"/>
          <w:szCs w:val="18"/>
        </w:rPr>
      </w:pPr>
      <w:r>
        <w:rPr>
          <w:rFonts w:eastAsia="方正小标宋_GBK"/>
          <w:snapToGrid w:val="0"/>
          <w:color w:val="auto"/>
          <w:sz w:val="38"/>
          <w:szCs w:val="38"/>
        </w:rPr>
        <w:t xml:space="preserve">                        建设项目污</w:t>
      </w:r>
      <w:r>
        <w:rPr>
          <w:rFonts w:eastAsia="方正小标宋_GBK"/>
          <w:snapToGrid w:val="0"/>
          <w:color w:val="auto"/>
          <w:sz w:val="38"/>
          <w:szCs w:val="38"/>
        </w:rPr>
        <w:t>染物排放量汇总表</w:t>
      </w:r>
      <w:r>
        <w:rPr>
          <w:rFonts w:eastAsia="方正小标宋_GBK"/>
          <w:snapToGrid w:val="0"/>
          <w:color w:val="auto"/>
          <w:sz w:val="18"/>
          <w:szCs w:val="18"/>
        </w:rPr>
        <w:t xml:space="preserve">                             </w:t>
      </w:r>
      <w:r>
        <w:rPr>
          <w:rFonts w:eastAsia="方正小标宋_GBK"/>
          <w:snapToGrid w:val="0"/>
          <w:color w:val="auto"/>
          <w:szCs w:val="21"/>
        </w:rPr>
        <w:t>（单位：t/a）</w:t>
      </w:r>
    </w:p>
    <w:tbl>
      <w:tblPr>
        <w:tblStyle w:val="37"/>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9"/>
        <w:gridCol w:w="1249"/>
        <w:gridCol w:w="1525"/>
        <w:gridCol w:w="1115"/>
        <w:gridCol w:w="1568"/>
        <w:gridCol w:w="1568"/>
        <w:gridCol w:w="1426"/>
        <w:gridCol w:w="1711"/>
        <w:gridCol w:w="166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94" w:hRule="atLeast"/>
          <w:jc w:val="center"/>
        </w:trPr>
        <w:tc>
          <w:tcPr>
            <w:tcW w:w="1664" w:type="dxa"/>
            <w:gridSpan w:val="2"/>
            <w:tcBorders>
              <w:tl2br w:val="single" w:color="auto" w:sz="4" w:space="0"/>
            </w:tcBorders>
            <w:tcMar>
              <w:left w:w="28" w:type="dxa"/>
              <w:right w:w="28" w:type="dxa"/>
            </w:tcMar>
            <w:vAlign w:val="center"/>
          </w:tcPr>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t xml:space="preserve">       项目</w:t>
            </w:r>
          </w:p>
          <w:p>
            <w:pPr>
              <w:adjustRightInd w:val="0"/>
              <w:snapToGrid w:val="0"/>
              <w:ind w:firstLine="198" w:firstLineChars="100"/>
              <w:rPr>
                <w:rFonts w:eastAsia="黑体"/>
                <w:snapToGrid w:val="0"/>
                <w:color w:val="auto"/>
                <w:spacing w:val="-6"/>
                <w:kern w:val="21"/>
                <w:szCs w:val="21"/>
              </w:rPr>
            </w:pPr>
            <w:r>
              <w:rPr>
                <w:rFonts w:eastAsia="黑体"/>
                <w:snapToGrid w:val="0"/>
                <w:color w:val="auto"/>
                <w:spacing w:val="-6"/>
                <w:kern w:val="21"/>
                <w:szCs w:val="21"/>
              </w:rPr>
              <w:t>分类</w:t>
            </w:r>
          </w:p>
        </w:tc>
        <w:tc>
          <w:tcPr>
            <w:tcW w:w="1249" w:type="dxa"/>
            <w:tcMar>
              <w:left w:w="28" w:type="dxa"/>
              <w:right w:w="28" w:type="dxa"/>
            </w:tcMar>
            <w:vAlign w:val="center"/>
          </w:tcPr>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t>污染物名称</w:t>
            </w:r>
          </w:p>
        </w:tc>
        <w:tc>
          <w:tcPr>
            <w:tcW w:w="1525" w:type="dxa"/>
            <w:tcMar>
              <w:left w:w="28" w:type="dxa"/>
              <w:right w:w="28" w:type="dxa"/>
            </w:tcMar>
            <w:vAlign w:val="center"/>
          </w:tcPr>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t>现有工程</w:t>
            </w:r>
          </w:p>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t>排放量（固体废物产生量）</w:t>
            </w:r>
            <w:r>
              <w:rPr>
                <w:rFonts w:eastAsia="黑体"/>
                <w:snapToGrid w:val="0"/>
                <w:color w:val="auto"/>
                <w:spacing w:val="-6"/>
                <w:kern w:val="21"/>
                <w:szCs w:val="21"/>
              </w:rPr>
              <w:fldChar w:fldCharType="begin"/>
            </w:r>
            <w:r>
              <w:rPr>
                <w:rFonts w:eastAsia="黑体"/>
                <w:snapToGrid w:val="0"/>
                <w:color w:val="auto"/>
                <w:spacing w:val="-6"/>
                <w:kern w:val="21"/>
                <w:szCs w:val="21"/>
              </w:rPr>
              <w:instrText xml:space="preserve"> = 1 \* GB3 \* MERGEFORMAT </w:instrText>
            </w:r>
            <w:r>
              <w:rPr>
                <w:rFonts w:eastAsia="黑体"/>
                <w:snapToGrid w:val="0"/>
                <w:color w:val="auto"/>
                <w:spacing w:val="-6"/>
                <w:kern w:val="21"/>
                <w:szCs w:val="21"/>
              </w:rPr>
              <w:fldChar w:fldCharType="separate"/>
            </w:r>
            <w:r>
              <w:rPr>
                <w:rFonts w:hint="eastAsia" w:ascii="宋体" w:hAnsi="宋体" w:cs="宋体"/>
                <w:color w:val="auto"/>
                <w:szCs w:val="21"/>
              </w:rPr>
              <w:t>①</w:t>
            </w:r>
            <w:r>
              <w:rPr>
                <w:rFonts w:eastAsia="黑体"/>
                <w:snapToGrid w:val="0"/>
                <w:color w:val="auto"/>
                <w:spacing w:val="-6"/>
                <w:kern w:val="21"/>
                <w:szCs w:val="21"/>
              </w:rPr>
              <w:fldChar w:fldCharType="end"/>
            </w:r>
          </w:p>
        </w:tc>
        <w:tc>
          <w:tcPr>
            <w:tcW w:w="1115" w:type="dxa"/>
            <w:tcMar>
              <w:left w:w="28" w:type="dxa"/>
              <w:right w:w="28" w:type="dxa"/>
            </w:tcMar>
            <w:vAlign w:val="center"/>
          </w:tcPr>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t>现有工程</w:t>
            </w:r>
          </w:p>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t>许可排放量</w:t>
            </w:r>
          </w:p>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fldChar w:fldCharType="begin"/>
            </w:r>
            <w:r>
              <w:rPr>
                <w:rFonts w:eastAsia="黑体"/>
                <w:snapToGrid w:val="0"/>
                <w:color w:val="auto"/>
                <w:spacing w:val="-6"/>
                <w:kern w:val="21"/>
                <w:szCs w:val="21"/>
              </w:rPr>
              <w:instrText xml:space="preserve"> = 2 \* GB3 \* MERGEFORMAT </w:instrText>
            </w:r>
            <w:r>
              <w:rPr>
                <w:rFonts w:eastAsia="黑体"/>
                <w:snapToGrid w:val="0"/>
                <w:color w:val="auto"/>
                <w:spacing w:val="-6"/>
                <w:kern w:val="21"/>
                <w:szCs w:val="21"/>
              </w:rPr>
              <w:fldChar w:fldCharType="separate"/>
            </w:r>
            <w:r>
              <w:rPr>
                <w:rFonts w:hint="eastAsia" w:ascii="宋体" w:hAnsi="宋体" w:cs="宋体"/>
                <w:snapToGrid w:val="0"/>
                <w:color w:val="auto"/>
                <w:spacing w:val="-6"/>
                <w:kern w:val="21"/>
                <w:szCs w:val="21"/>
              </w:rPr>
              <w:t>②</w:t>
            </w:r>
            <w:r>
              <w:rPr>
                <w:rFonts w:eastAsia="黑体"/>
                <w:snapToGrid w:val="0"/>
                <w:color w:val="auto"/>
                <w:spacing w:val="-6"/>
                <w:kern w:val="21"/>
                <w:szCs w:val="21"/>
              </w:rPr>
              <w:fldChar w:fldCharType="end"/>
            </w:r>
          </w:p>
        </w:tc>
        <w:tc>
          <w:tcPr>
            <w:tcW w:w="1568" w:type="dxa"/>
            <w:tcMar>
              <w:left w:w="28" w:type="dxa"/>
              <w:right w:w="28" w:type="dxa"/>
            </w:tcMar>
            <w:vAlign w:val="center"/>
          </w:tcPr>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t>在建工程</w:t>
            </w:r>
          </w:p>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t>排放量（固体废物产生量）</w:t>
            </w:r>
            <w:r>
              <w:rPr>
                <w:rFonts w:eastAsia="黑体"/>
                <w:snapToGrid w:val="0"/>
                <w:color w:val="auto"/>
                <w:spacing w:val="-6"/>
                <w:kern w:val="21"/>
                <w:szCs w:val="21"/>
              </w:rPr>
              <w:fldChar w:fldCharType="begin"/>
            </w:r>
            <w:r>
              <w:rPr>
                <w:rFonts w:eastAsia="黑体"/>
                <w:snapToGrid w:val="0"/>
                <w:color w:val="auto"/>
                <w:spacing w:val="-6"/>
                <w:kern w:val="21"/>
                <w:szCs w:val="21"/>
              </w:rPr>
              <w:instrText xml:space="preserve"> = 3 \* GB3 \* MERGEFORMAT </w:instrText>
            </w:r>
            <w:r>
              <w:rPr>
                <w:rFonts w:eastAsia="黑体"/>
                <w:snapToGrid w:val="0"/>
                <w:color w:val="auto"/>
                <w:spacing w:val="-6"/>
                <w:kern w:val="21"/>
                <w:szCs w:val="21"/>
              </w:rPr>
              <w:fldChar w:fldCharType="separate"/>
            </w:r>
            <w:r>
              <w:rPr>
                <w:rFonts w:hint="eastAsia" w:ascii="宋体" w:hAnsi="宋体" w:cs="宋体"/>
                <w:color w:val="auto"/>
                <w:szCs w:val="21"/>
              </w:rPr>
              <w:t>③</w:t>
            </w:r>
            <w:r>
              <w:rPr>
                <w:rFonts w:eastAsia="黑体"/>
                <w:snapToGrid w:val="0"/>
                <w:color w:val="auto"/>
                <w:spacing w:val="-6"/>
                <w:kern w:val="21"/>
                <w:szCs w:val="21"/>
              </w:rPr>
              <w:fldChar w:fldCharType="end"/>
            </w:r>
          </w:p>
        </w:tc>
        <w:tc>
          <w:tcPr>
            <w:tcW w:w="1568" w:type="dxa"/>
            <w:tcMar>
              <w:left w:w="28" w:type="dxa"/>
              <w:right w:w="28" w:type="dxa"/>
            </w:tcMar>
            <w:vAlign w:val="center"/>
          </w:tcPr>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t>本项目</w:t>
            </w:r>
          </w:p>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t>排放量（固体废物产生量）</w:t>
            </w:r>
            <w:r>
              <w:rPr>
                <w:rFonts w:eastAsia="黑体"/>
                <w:snapToGrid w:val="0"/>
                <w:color w:val="auto"/>
                <w:spacing w:val="-6"/>
                <w:kern w:val="21"/>
                <w:szCs w:val="21"/>
              </w:rPr>
              <w:fldChar w:fldCharType="begin"/>
            </w:r>
            <w:r>
              <w:rPr>
                <w:rFonts w:eastAsia="黑体"/>
                <w:snapToGrid w:val="0"/>
                <w:color w:val="auto"/>
                <w:spacing w:val="-6"/>
                <w:kern w:val="21"/>
                <w:szCs w:val="21"/>
              </w:rPr>
              <w:instrText xml:space="preserve"> = 4 \* GB3 \* MERGEFORMAT </w:instrText>
            </w:r>
            <w:r>
              <w:rPr>
                <w:rFonts w:eastAsia="黑体"/>
                <w:snapToGrid w:val="0"/>
                <w:color w:val="auto"/>
                <w:spacing w:val="-6"/>
                <w:kern w:val="21"/>
                <w:szCs w:val="21"/>
              </w:rPr>
              <w:fldChar w:fldCharType="separate"/>
            </w:r>
            <w:r>
              <w:rPr>
                <w:rFonts w:hint="eastAsia" w:ascii="宋体" w:hAnsi="宋体" w:cs="宋体"/>
                <w:color w:val="auto"/>
                <w:szCs w:val="21"/>
              </w:rPr>
              <w:t>④</w:t>
            </w:r>
            <w:r>
              <w:rPr>
                <w:rFonts w:eastAsia="黑体"/>
                <w:snapToGrid w:val="0"/>
                <w:color w:val="auto"/>
                <w:spacing w:val="-6"/>
                <w:kern w:val="21"/>
                <w:szCs w:val="21"/>
              </w:rPr>
              <w:fldChar w:fldCharType="end"/>
            </w:r>
          </w:p>
        </w:tc>
        <w:tc>
          <w:tcPr>
            <w:tcW w:w="1426" w:type="dxa"/>
            <w:tcMar>
              <w:left w:w="28" w:type="dxa"/>
              <w:right w:w="28" w:type="dxa"/>
            </w:tcMar>
            <w:vAlign w:val="center"/>
          </w:tcPr>
          <w:p>
            <w:pPr>
              <w:adjustRightInd w:val="0"/>
              <w:snapToGrid w:val="0"/>
              <w:jc w:val="center"/>
              <w:rPr>
                <w:rFonts w:eastAsia="黑体"/>
                <w:snapToGrid w:val="0"/>
                <w:color w:val="auto"/>
                <w:spacing w:val="-16"/>
                <w:kern w:val="21"/>
                <w:szCs w:val="21"/>
              </w:rPr>
            </w:pPr>
            <w:r>
              <w:rPr>
                <w:rFonts w:eastAsia="黑体"/>
                <w:snapToGrid w:val="0"/>
                <w:color w:val="auto"/>
                <w:spacing w:val="-16"/>
                <w:kern w:val="21"/>
                <w:szCs w:val="21"/>
              </w:rPr>
              <w:t>以新带老削减量</w:t>
            </w:r>
          </w:p>
          <w:p>
            <w:pPr>
              <w:adjustRightInd w:val="0"/>
              <w:snapToGrid w:val="0"/>
              <w:jc w:val="center"/>
              <w:rPr>
                <w:rFonts w:eastAsia="黑体"/>
                <w:snapToGrid w:val="0"/>
                <w:color w:val="auto"/>
                <w:spacing w:val="-16"/>
                <w:kern w:val="21"/>
                <w:szCs w:val="21"/>
              </w:rPr>
            </w:pPr>
            <w:r>
              <w:rPr>
                <w:rFonts w:eastAsia="黑体"/>
                <w:snapToGrid w:val="0"/>
                <w:color w:val="auto"/>
                <w:spacing w:val="-16"/>
                <w:kern w:val="21"/>
                <w:szCs w:val="21"/>
              </w:rPr>
              <w:t>（新建项目不填）</w:t>
            </w:r>
            <w:r>
              <w:rPr>
                <w:rFonts w:eastAsia="黑体"/>
                <w:snapToGrid w:val="0"/>
                <w:color w:val="auto"/>
                <w:spacing w:val="-16"/>
                <w:kern w:val="21"/>
                <w:szCs w:val="21"/>
              </w:rPr>
              <w:fldChar w:fldCharType="begin"/>
            </w:r>
            <w:r>
              <w:rPr>
                <w:rFonts w:eastAsia="黑体"/>
                <w:snapToGrid w:val="0"/>
                <w:color w:val="auto"/>
                <w:spacing w:val="-16"/>
                <w:kern w:val="21"/>
                <w:szCs w:val="21"/>
              </w:rPr>
              <w:instrText xml:space="preserve"> = 5 \* GB3 \* MERGEFORMAT </w:instrText>
            </w:r>
            <w:r>
              <w:rPr>
                <w:rFonts w:eastAsia="黑体"/>
                <w:snapToGrid w:val="0"/>
                <w:color w:val="auto"/>
                <w:spacing w:val="-16"/>
                <w:kern w:val="21"/>
                <w:szCs w:val="21"/>
              </w:rPr>
              <w:fldChar w:fldCharType="separate"/>
            </w:r>
            <w:r>
              <w:rPr>
                <w:rFonts w:hint="eastAsia" w:ascii="宋体" w:hAnsi="宋体" w:cs="宋体"/>
                <w:color w:val="auto"/>
                <w:szCs w:val="21"/>
              </w:rPr>
              <w:t>⑤</w:t>
            </w:r>
            <w:r>
              <w:rPr>
                <w:rFonts w:eastAsia="黑体"/>
                <w:snapToGrid w:val="0"/>
                <w:color w:val="auto"/>
                <w:spacing w:val="-16"/>
                <w:kern w:val="21"/>
                <w:szCs w:val="21"/>
              </w:rPr>
              <w:fldChar w:fldCharType="end"/>
            </w:r>
          </w:p>
        </w:tc>
        <w:tc>
          <w:tcPr>
            <w:tcW w:w="1711" w:type="dxa"/>
            <w:tcMar>
              <w:left w:w="28" w:type="dxa"/>
              <w:right w:w="28" w:type="dxa"/>
            </w:tcMar>
            <w:vAlign w:val="center"/>
          </w:tcPr>
          <w:p>
            <w:pPr>
              <w:adjustRightInd w:val="0"/>
              <w:snapToGrid w:val="0"/>
              <w:jc w:val="center"/>
              <w:rPr>
                <w:rFonts w:eastAsia="黑体"/>
                <w:snapToGrid w:val="0"/>
                <w:color w:val="auto"/>
                <w:spacing w:val="-16"/>
                <w:kern w:val="21"/>
                <w:szCs w:val="21"/>
              </w:rPr>
            </w:pPr>
            <w:r>
              <w:rPr>
                <w:rFonts w:eastAsia="黑体"/>
                <w:snapToGrid w:val="0"/>
                <w:color w:val="auto"/>
                <w:spacing w:val="-16"/>
                <w:kern w:val="21"/>
                <w:szCs w:val="21"/>
              </w:rPr>
              <w:t>本项目建成后</w:t>
            </w:r>
          </w:p>
          <w:p>
            <w:pPr>
              <w:adjustRightInd w:val="0"/>
              <w:snapToGrid w:val="0"/>
              <w:jc w:val="center"/>
              <w:rPr>
                <w:rFonts w:eastAsia="黑体"/>
                <w:snapToGrid w:val="0"/>
                <w:color w:val="auto"/>
                <w:spacing w:val="-16"/>
                <w:kern w:val="21"/>
                <w:szCs w:val="21"/>
              </w:rPr>
            </w:pPr>
            <w:r>
              <w:rPr>
                <w:rFonts w:eastAsia="黑体"/>
                <w:snapToGrid w:val="0"/>
                <w:color w:val="auto"/>
                <w:spacing w:val="-16"/>
                <w:kern w:val="21"/>
                <w:szCs w:val="21"/>
              </w:rPr>
              <w:t>全厂排放量（固体废物产生量）</w:t>
            </w:r>
            <w:r>
              <w:rPr>
                <w:rFonts w:eastAsia="黑体"/>
                <w:snapToGrid w:val="0"/>
                <w:color w:val="auto"/>
                <w:spacing w:val="-16"/>
                <w:kern w:val="21"/>
                <w:szCs w:val="21"/>
              </w:rPr>
              <w:fldChar w:fldCharType="begin"/>
            </w:r>
            <w:r>
              <w:rPr>
                <w:rFonts w:eastAsia="黑体"/>
                <w:snapToGrid w:val="0"/>
                <w:color w:val="auto"/>
                <w:spacing w:val="-16"/>
                <w:kern w:val="21"/>
                <w:szCs w:val="21"/>
              </w:rPr>
              <w:instrText xml:space="preserve"> = 6 \* GB3 \* MERGEFORMAT </w:instrText>
            </w:r>
            <w:r>
              <w:rPr>
                <w:rFonts w:eastAsia="黑体"/>
                <w:snapToGrid w:val="0"/>
                <w:color w:val="auto"/>
                <w:spacing w:val="-16"/>
                <w:kern w:val="21"/>
                <w:szCs w:val="21"/>
              </w:rPr>
              <w:fldChar w:fldCharType="separate"/>
            </w:r>
            <w:r>
              <w:rPr>
                <w:rFonts w:hint="eastAsia" w:ascii="宋体" w:hAnsi="宋体" w:cs="宋体"/>
                <w:color w:val="auto"/>
                <w:szCs w:val="21"/>
              </w:rPr>
              <w:t>⑥</w:t>
            </w:r>
            <w:r>
              <w:rPr>
                <w:rFonts w:eastAsia="黑体"/>
                <w:snapToGrid w:val="0"/>
                <w:color w:val="auto"/>
                <w:spacing w:val="-16"/>
                <w:kern w:val="21"/>
                <w:szCs w:val="21"/>
              </w:rPr>
              <w:fldChar w:fldCharType="end"/>
            </w:r>
          </w:p>
        </w:tc>
        <w:tc>
          <w:tcPr>
            <w:tcW w:w="1667" w:type="dxa"/>
            <w:tcMar>
              <w:left w:w="28" w:type="dxa"/>
              <w:right w:w="28" w:type="dxa"/>
            </w:tcMar>
            <w:vAlign w:val="center"/>
          </w:tcPr>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t>变化量</w:t>
            </w:r>
          </w:p>
          <w:p>
            <w:pPr>
              <w:adjustRightInd w:val="0"/>
              <w:snapToGrid w:val="0"/>
              <w:jc w:val="center"/>
              <w:rPr>
                <w:rFonts w:eastAsia="黑体"/>
                <w:snapToGrid w:val="0"/>
                <w:color w:val="auto"/>
                <w:spacing w:val="-6"/>
                <w:kern w:val="21"/>
                <w:szCs w:val="21"/>
              </w:rPr>
            </w:pPr>
            <w:r>
              <w:rPr>
                <w:rFonts w:eastAsia="黑体"/>
                <w:snapToGrid w:val="0"/>
                <w:color w:val="auto"/>
                <w:spacing w:val="-6"/>
                <w:kern w:val="21"/>
                <w:szCs w:val="21"/>
              </w:rPr>
              <w:fldChar w:fldCharType="begin"/>
            </w:r>
            <w:r>
              <w:rPr>
                <w:rFonts w:eastAsia="黑体"/>
                <w:snapToGrid w:val="0"/>
                <w:color w:val="auto"/>
                <w:spacing w:val="-6"/>
                <w:kern w:val="21"/>
                <w:szCs w:val="21"/>
              </w:rPr>
              <w:instrText xml:space="preserve"> = 7 \* GB3 \* MERGEFORMAT </w:instrText>
            </w:r>
            <w:r>
              <w:rPr>
                <w:rFonts w:eastAsia="黑体"/>
                <w:snapToGrid w:val="0"/>
                <w:color w:val="auto"/>
                <w:spacing w:val="-6"/>
                <w:kern w:val="21"/>
                <w:szCs w:val="21"/>
              </w:rPr>
              <w:fldChar w:fldCharType="separate"/>
            </w:r>
            <w:r>
              <w:rPr>
                <w:rFonts w:hint="eastAsia" w:ascii="宋体" w:hAnsi="宋体" w:cs="宋体"/>
                <w:color w:val="auto"/>
                <w:szCs w:val="21"/>
              </w:rPr>
              <w:t>⑦</w:t>
            </w:r>
            <w:r>
              <w:rPr>
                <w:rFonts w:eastAsia="黑体"/>
                <w:snapToGrid w:val="0"/>
                <w:color w:val="auto"/>
                <w:spacing w:val="-6"/>
                <w:kern w:val="21"/>
                <w:szCs w:val="21"/>
              </w:rPr>
              <w:fldChar w:fldCharType="end"/>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restart"/>
            <w:vAlign w:val="center"/>
          </w:tcPr>
          <w:p>
            <w:pPr>
              <w:adjustRightInd w:val="0"/>
              <w:snapToGrid w:val="0"/>
              <w:jc w:val="center"/>
              <w:rPr>
                <w:snapToGrid w:val="0"/>
                <w:color w:val="auto"/>
                <w:kern w:val="21"/>
                <w:szCs w:val="21"/>
              </w:rPr>
            </w:pPr>
            <w:r>
              <w:rPr>
                <w:snapToGrid w:val="0"/>
                <w:color w:val="auto"/>
                <w:kern w:val="21"/>
                <w:szCs w:val="21"/>
              </w:rPr>
              <w:t>废气</w:t>
            </w:r>
          </w:p>
        </w:tc>
        <w:tc>
          <w:tcPr>
            <w:tcW w:w="1249" w:type="dxa"/>
            <w:vAlign w:val="center"/>
          </w:tcPr>
          <w:p>
            <w:pPr>
              <w:widowControl/>
              <w:jc w:val="center"/>
              <w:rPr>
                <w:snapToGrid w:val="0"/>
                <w:color w:val="auto"/>
                <w:kern w:val="21"/>
                <w:szCs w:val="21"/>
              </w:rPr>
            </w:pPr>
            <w:r>
              <w:rPr>
                <w:rFonts w:hint="eastAsia"/>
                <w:color w:val="auto"/>
                <w:szCs w:val="21"/>
              </w:rPr>
              <w:t>非甲烷总烃</w:t>
            </w:r>
          </w:p>
        </w:tc>
        <w:tc>
          <w:tcPr>
            <w:tcW w:w="1525" w:type="dxa"/>
            <w:vAlign w:val="center"/>
          </w:tcPr>
          <w:p>
            <w:pPr>
              <w:widowControl/>
              <w:jc w:val="center"/>
              <w:textAlignment w:val="center"/>
              <w:rPr>
                <w:snapToGrid w:val="0"/>
                <w:color w:val="auto"/>
                <w:kern w:val="21"/>
                <w:szCs w:val="21"/>
              </w:rPr>
            </w:pPr>
            <w:r>
              <w:rPr>
                <w:color w:val="auto"/>
                <w:kern w:val="0"/>
                <w:szCs w:val="21"/>
                <w:lang w:bidi="ar"/>
              </w:rPr>
              <w:t>0.0016</w:t>
            </w:r>
          </w:p>
        </w:tc>
        <w:tc>
          <w:tcPr>
            <w:tcW w:w="1115" w:type="dxa"/>
            <w:vAlign w:val="center"/>
          </w:tcPr>
          <w:p>
            <w:pPr>
              <w:widowControl/>
              <w:jc w:val="center"/>
              <w:textAlignment w:val="center"/>
              <w:rPr>
                <w:snapToGrid w:val="0"/>
                <w:color w:val="auto"/>
                <w:kern w:val="21"/>
                <w:szCs w:val="21"/>
              </w:rPr>
            </w:pPr>
            <w:r>
              <w:rPr>
                <w:color w:val="auto"/>
                <w:kern w:val="0"/>
                <w:szCs w:val="21"/>
                <w:lang w:bidi="ar"/>
              </w:rPr>
              <w:t>0.0016</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widowControl/>
              <w:jc w:val="center"/>
              <w:textAlignment w:val="center"/>
              <w:rPr>
                <w:snapToGrid w:val="0"/>
                <w:color w:val="auto"/>
                <w:kern w:val="21"/>
                <w:szCs w:val="21"/>
              </w:rPr>
            </w:pPr>
            <w:r>
              <w:rPr>
                <w:color w:val="auto"/>
                <w:kern w:val="0"/>
                <w:szCs w:val="21"/>
                <w:lang w:bidi="ar"/>
              </w:rPr>
              <w:t>0.0075</w:t>
            </w:r>
          </w:p>
        </w:tc>
        <w:tc>
          <w:tcPr>
            <w:tcW w:w="1426" w:type="dxa"/>
            <w:vAlign w:val="center"/>
          </w:tcPr>
          <w:p>
            <w:pPr>
              <w:widowControl/>
              <w:jc w:val="center"/>
              <w:textAlignment w:val="center"/>
              <w:rPr>
                <w:snapToGrid w:val="0"/>
                <w:color w:val="auto"/>
                <w:kern w:val="21"/>
                <w:szCs w:val="21"/>
              </w:rPr>
            </w:pPr>
            <w:r>
              <w:rPr>
                <w:color w:val="auto"/>
                <w:kern w:val="0"/>
                <w:szCs w:val="21"/>
                <w:lang w:bidi="ar"/>
              </w:rPr>
              <w:t>0.0016</w:t>
            </w:r>
          </w:p>
        </w:tc>
        <w:tc>
          <w:tcPr>
            <w:tcW w:w="1711" w:type="dxa"/>
            <w:vAlign w:val="center"/>
          </w:tcPr>
          <w:p>
            <w:pPr>
              <w:widowControl/>
              <w:jc w:val="center"/>
              <w:textAlignment w:val="center"/>
              <w:rPr>
                <w:snapToGrid w:val="0"/>
                <w:color w:val="auto"/>
                <w:kern w:val="21"/>
                <w:szCs w:val="21"/>
              </w:rPr>
            </w:pPr>
            <w:r>
              <w:rPr>
                <w:color w:val="auto"/>
                <w:kern w:val="0"/>
                <w:szCs w:val="21"/>
                <w:lang w:bidi="ar"/>
              </w:rPr>
              <w:t>0.0075</w:t>
            </w:r>
          </w:p>
        </w:tc>
        <w:tc>
          <w:tcPr>
            <w:tcW w:w="1667" w:type="dxa"/>
            <w:vAlign w:val="center"/>
          </w:tcPr>
          <w:p>
            <w:pPr>
              <w:jc w:val="center"/>
              <w:rPr>
                <w:snapToGrid w:val="0"/>
                <w:color w:val="auto"/>
                <w:kern w:val="21"/>
                <w:szCs w:val="21"/>
              </w:rPr>
            </w:pPr>
            <w:r>
              <w:rPr>
                <w:rFonts w:hint="eastAsia"/>
                <w:color w:val="auto"/>
                <w:szCs w:val="21"/>
              </w:rPr>
              <w:t>+0.0059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continue"/>
            <w:vAlign w:val="center"/>
          </w:tcPr>
          <w:p>
            <w:pPr>
              <w:adjustRightInd w:val="0"/>
              <w:snapToGrid w:val="0"/>
              <w:jc w:val="center"/>
              <w:rPr>
                <w:snapToGrid w:val="0"/>
                <w:color w:val="auto"/>
                <w:kern w:val="21"/>
                <w:szCs w:val="21"/>
              </w:rPr>
            </w:pPr>
          </w:p>
        </w:tc>
        <w:tc>
          <w:tcPr>
            <w:tcW w:w="1249" w:type="dxa"/>
            <w:vAlign w:val="center"/>
          </w:tcPr>
          <w:p>
            <w:pPr>
              <w:widowControl/>
              <w:jc w:val="center"/>
              <w:rPr>
                <w:snapToGrid w:val="0"/>
                <w:color w:val="auto"/>
                <w:kern w:val="21"/>
                <w:szCs w:val="21"/>
              </w:rPr>
            </w:pPr>
            <w:r>
              <w:rPr>
                <w:rFonts w:hint="eastAsia"/>
                <w:color w:val="auto"/>
                <w:szCs w:val="21"/>
              </w:rPr>
              <w:t>颗粒物</w:t>
            </w:r>
          </w:p>
        </w:tc>
        <w:tc>
          <w:tcPr>
            <w:tcW w:w="1525" w:type="dxa"/>
            <w:vAlign w:val="center"/>
          </w:tcPr>
          <w:p>
            <w:pPr>
              <w:widowControl/>
              <w:jc w:val="center"/>
              <w:textAlignment w:val="center"/>
              <w:rPr>
                <w:color w:val="auto"/>
                <w:kern w:val="0"/>
                <w:szCs w:val="21"/>
                <w:lang w:bidi="ar"/>
              </w:rPr>
            </w:pPr>
            <w:r>
              <w:rPr>
                <w:rFonts w:hint="eastAsia"/>
                <w:color w:val="auto"/>
                <w:kern w:val="0"/>
                <w:szCs w:val="21"/>
                <w:lang w:bidi="ar"/>
              </w:rPr>
              <w:t>0</w:t>
            </w:r>
          </w:p>
        </w:tc>
        <w:tc>
          <w:tcPr>
            <w:tcW w:w="1115" w:type="dxa"/>
            <w:vAlign w:val="center"/>
          </w:tcPr>
          <w:p>
            <w:pPr>
              <w:widowControl/>
              <w:jc w:val="center"/>
              <w:textAlignment w:val="center"/>
              <w:rPr>
                <w:color w:val="auto"/>
                <w:kern w:val="0"/>
                <w:szCs w:val="21"/>
                <w:lang w:bidi="ar"/>
              </w:rPr>
            </w:pPr>
            <w:r>
              <w:rPr>
                <w:rFonts w:hint="eastAsia"/>
                <w:color w:val="auto"/>
                <w:kern w:val="0"/>
                <w:szCs w:val="21"/>
                <w:lang w:bidi="ar"/>
              </w:rPr>
              <w:t>0</w:t>
            </w:r>
          </w:p>
        </w:tc>
        <w:tc>
          <w:tcPr>
            <w:tcW w:w="1568" w:type="dxa"/>
            <w:vAlign w:val="center"/>
          </w:tcPr>
          <w:p>
            <w:pPr>
              <w:adjustRightInd w:val="0"/>
              <w:snapToGrid w:val="0"/>
              <w:jc w:val="center"/>
              <w:rPr>
                <w:snapToGrid w:val="0"/>
                <w:color w:val="auto"/>
                <w:kern w:val="21"/>
                <w:szCs w:val="21"/>
              </w:rPr>
            </w:pPr>
            <w:r>
              <w:rPr>
                <w:rFonts w:hint="eastAsia"/>
                <w:snapToGrid w:val="0"/>
                <w:color w:val="auto"/>
                <w:kern w:val="21"/>
                <w:szCs w:val="21"/>
              </w:rPr>
              <w:t>0</w:t>
            </w:r>
          </w:p>
        </w:tc>
        <w:tc>
          <w:tcPr>
            <w:tcW w:w="1568" w:type="dxa"/>
            <w:vAlign w:val="center"/>
          </w:tcPr>
          <w:p>
            <w:pPr>
              <w:widowControl/>
              <w:jc w:val="center"/>
              <w:textAlignment w:val="center"/>
              <w:rPr>
                <w:color w:val="auto"/>
                <w:kern w:val="0"/>
                <w:szCs w:val="21"/>
                <w:lang w:bidi="ar"/>
              </w:rPr>
            </w:pPr>
            <w:r>
              <w:rPr>
                <w:color w:val="auto"/>
                <w:kern w:val="0"/>
                <w:szCs w:val="21"/>
                <w:lang w:bidi="ar"/>
              </w:rPr>
              <w:t>0.0007</w:t>
            </w:r>
          </w:p>
        </w:tc>
        <w:tc>
          <w:tcPr>
            <w:tcW w:w="1426" w:type="dxa"/>
            <w:vAlign w:val="center"/>
          </w:tcPr>
          <w:p>
            <w:pPr>
              <w:widowControl/>
              <w:jc w:val="center"/>
              <w:textAlignment w:val="center"/>
              <w:rPr>
                <w:color w:val="auto"/>
                <w:kern w:val="0"/>
                <w:szCs w:val="21"/>
                <w:lang w:bidi="ar"/>
              </w:rPr>
            </w:pPr>
            <w:r>
              <w:rPr>
                <w:rFonts w:hint="eastAsia"/>
                <w:color w:val="auto"/>
                <w:kern w:val="0"/>
                <w:szCs w:val="21"/>
                <w:lang w:bidi="ar"/>
              </w:rPr>
              <w:t>0</w:t>
            </w:r>
          </w:p>
        </w:tc>
        <w:tc>
          <w:tcPr>
            <w:tcW w:w="1711" w:type="dxa"/>
            <w:vAlign w:val="center"/>
          </w:tcPr>
          <w:p>
            <w:pPr>
              <w:widowControl/>
              <w:jc w:val="center"/>
              <w:textAlignment w:val="center"/>
              <w:rPr>
                <w:color w:val="auto"/>
                <w:kern w:val="0"/>
                <w:szCs w:val="21"/>
                <w:lang w:bidi="ar"/>
              </w:rPr>
            </w:pPr>
            <w:r>
              <w:rPr>
                <w:color w:val="auto"/>
                <w:kern w:val="0"/>
                <w:szCs w:val="21"/>
                <w:lang w:bidi="ar"/>
              </w:rPr>
              <w:t>0.0007</w:t>
            </w:r>
          </w:p>
        </w:tc>
        <w:tc>
          <w:tcPr>
            <w:tcW w:w="1667" w:type="dxa"/>
            <w:vAlign w:val="center"/>
          </w:tcPr>
          <w:p>
            <w:pPr>
              <w:jc w:val="center"/>
              <w:rPr>
                <w:color w:val="auto"/>
                <w:kern w:val="0"/>
                <w:szCs w:val="21"/>
                <w:lang w:bidi="ar"/>
              </w:rPr>
            </w:pPr>
            <w:r>
              <w:rPr>
                <w:rFonts w:hint="eastAsia"/>
                <w:color w:val="auto"/>
                <w:szCs w:val="21"/>
              </w:rPr>
              <w:t>+0.0007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continue"/>
            <w:vAlign w:val="center"/>
          </w:tcPr>
          <w:p>
            <w:pPr>
              <w:adjustRightInd w:val="0"/>
              <w:snapToGrid w:val="0"/>
              <w:jc w:val="center"/>
              <w:rPr>
                <w:snapToGrid w:val="0"/>
                <w:color w:val="auto"/>
                <w:kern w:val="21"/>
                <w:szCs w:val="21"/>
              </w:rPr>
            </w:pPr>
          </w:p>
        </w:tc>
        <w:tc>
          <w:tcPr>
            <w:tcW w:w="1249" w:type="dxa"/>
            <w:vAlign w:val="center"/>
          </w:tcPr>
          <w:p>
            <w:pPr>
              <w:widowControl/>
              <w:jc w:val="center"/>
              <w:rPr>
                <w:snapToGrid w:val="0"/>
                <w:color w:val="auto"/>
                <w:kern w:val="21"/>
                <w:szCs w:val="21"/>
              </w:rPr>
            </w:pPr>
            <w:r>
              <w:rPr>
                <w:rFonts w:hint="eastAsia"/>
                <w:color w:val="auto"/>
                <w:szCs w:val="21"/>
              </w:rPr>
              <w:t>CS</w:t>
            </w:r>
            <w:r>
              <w:rPr>
                <w:rFonts w:hint="eastAsia"/>
                <w:color w:val="auto"/>
                <w:szCs w:val="21"/>
                <w:vertAlign w:val="subscript"/>
              </w:rPr>
              <w:t>2</w:t>
            </w:r>
          </w:p>
        </w:tc>
        <w:tc>
          <w:tcPr>
            <w:tcW w:w="1525" w:type="dxa"/>
            <w:vAlign w:val="center"/>
          </w:tcPr>
          <w:p>
            <w:pPr>
              <w:widowControl/>
              <w:jc w:val="center"/>
              <w:textAlignment w:val="center"/>
              <w:rPr>
                <w:color w:val="auto"/>
                <w:kern w:val="0"/>
                <w:szCs w:val="21"/>
                <w:lang w:bidi="ar"/>
              </w:rPr>
            </w:pPr>
            <w:r>
              <w:rPr>
                <w:rFonts w:hint="eastAsia"/>
                <w:color w:val="auto"/>
                <w:kern w:val="0"/>
                <w:szCs w:val="21"/>
                <w:lang w:bidi="ar"/>
              </w:rPr>
              <w:t>0</w:t>
            </w:r>
          </w:p>
        </w:tc>
        <w:tc>
          <w:tcPr>
            <w:tcW w:w="1115" w:type="dxa"/>
            <w:vAlign w:val="center"/>
          </w:tcPr>
          <w:p>
            <w:pPr>
              <w:widowControl/>
              <w:jc w:val="center"/>
              <w:textAlignment w:val="center"/>
              <w:rPr>
                <w:color w:val="auto"/>
                <w:kern w:val="0"/>
                <w:szCs w:val="21"/>
                <w:lang w:bidi="ar"/>
              </w:rPr>
            </w:pPr>
            <w:r>
              <w:rPr>
                <w:rFonts w:hint="eastAsia"/>
                <w:color w:val="auto"/>
                <w:kern w:val="0"/>
                <w:szCs w:val="21"/>
                <w:lang w:bidi="ar"/>
              </w:rPr>
              <w:t>0</w:t>
            </w:r>
          </w:p>
        </w:tc>
        <w:tc>
          <w:tcPr>
            <w:tcW w:w="1568" w:type="dxa"/>
            <w:vAlign w:val="center"/>
          </w:tcPr>
          <w:p>
            <w:pPr>
              <w:adjustRightInd w:val="0"/>
              <w:snapToGrid w:val="0"/>
              <w:jc w:val="center"/>
              <w:rPr>
                <w:snapToGrid w:val="0"/>
                <w:color w:val="auto"/>
                <w:kern w:val="21"/>
                <w:szCs w:val="21"/>
              </w:rPr>
            </w:pPr>
            <w:r>
              <w:rPr>
                <w:rFonts w:hint="eastAsia"/>
                <w:snapToGrid w:val="0"/>
                <w:color w:val="auto"/>
                <w:kern w:val="21"/>
                <w:szCs w:val="21"/>
              </w:rPr>
              <w:t>0</w:t>
            </w:r>
          </w:p>
        </w:tc>
        <w:tc>
          <w:tcPr>
            <w:tcW w:w="1568" w:type="dxa"/>
            <w:vAlign w:val="center"/>
          </w:tcPr>
          <w:p>
            <w:pPr>
              <w:jc w:val="center"/>
              <w:rPr>
                <w:color w:val="auto"/>
                <w:kern w:val="0"/>
                <w:szCs w:val="21"/>
                <w:lang w:bidi="ar"/>
              </w:rPr>
            </w:pPr>
            <w:r>
              <w:rPr>
                <w:rFonts w:hint="eastAsia"/>
                <w:color w:val="auto"/>
                <w:szCs w:val="21"/>
              </w:rPr>
              <w:t>0.00003</w:t>
            </w:r>
          </w:p>
        </w:tc>
        <w:tc>
          <w:tcPr>
            <w:tcW w:w="1426" w:type="dxa"/>
            <w:vAlign w:val="center"/>
          </w:tcPr>
          <w:p>
            <w:pPr>
              <w:widowControl/>
              <w:jc w:val="center"/>
              <w:textAlignment w:val="center"/>
              <w:rPr>
                <w:color w:val="auto"/>
                <w:kern w:val="0"/>
                <w:szCs w:val="21"/>
                <w:lang w:bidi="ar"/>
              </w:rPr>
            </w:pPr>
            <w:r>
              <w:rPr>
                <w:rFonts w:hint="eastAsia"/>
                <w:color w:val="auto"/>
                <w:kern w:val="0"/>
                <w:szCs w:val="21"/>
                <w:lang w:bidi="ar"/>
              </w:rPr>
              <w:t>0</w:t>
            </w:r>
          </w:p>
        </w:tc>
        <w:tc>
          <w:tcPr>
            <w:tcW w:w="1711" w:type="dxa"/>
            <w:vAlign w:val="center"/>
          </w:tcPr>
          <w:p>
            <w:pPr>
              <w:jc w:val="center"/>
              <w:rPr>
                <w:color w:val="auto"/>
                <w:kern w:val="0"/>
                <w:szCs w:val="21"/>
                <w:lang w:bidi="ar"/>
              </w:rPr>
            </w:pPr>
            <w:r>
              <w:rPr>
                <w:rFonts w:hint="eastAsia"/>
                <w:color w:val="auto"/>
                <w:szCs w:val="21"/>
              </w:rPr>
              <w:t>0.00003</w:t>
            </w:r>
          </w:p>
        </w:tc>
        <w:tc>
          <w:tcPr>
            <w:tcW w:w="1667" w:type="dxa"/>
            <w:vAlign w:val="center"/>
          </w:tcPr>
          <w:p>
            <w:pPr>
              <w:jc w:val="center"/>
              <w:rPr>
                <w:color w:val="auto"/>
                <w:kern w:val="0"/>
                <w:szCs w:val="21"/>
                <w:lang w:bidi="ar"/>
              </w:rPr>
            </w:pPr>
            <w:r>
              <w:rPr>
                <w:rFonts w:hint="eastAsia"/>
                <w:color w:val="auto"/>
                <w:szCs w:val="21"/>
              </w:rPr>
              <w:t>+0.00003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continue"/>
            <w:vAlign w:val="center"/>
          </w:tcPr>
          <w:p>
            <w:pPr>
              <w:adjustRightInd w:val="0"/>
              <w:snapToGrid w:val="0"/>
              <w:jc w:val="center"/>
              <w:rPr>
                <w:snapToGrid w:val="0"/>
                <w:color w:val="auto"/>
                <w:kern w:val="21"/>
                <w:szCs w:val="21"/>
              </w:rPr>
            </w:pPr>
          </w:p>
        </w:tc>
        <w:tc>
          <w:tcPr>
            <w:tcW w:w="1249" w:type="dxa"/>
            <w:vAlign w:val="center"/>
          </w:tcPr>
          <w:p>
            <w:pPr>
              <w:jc w:val="center"/>
              <w:rPr>
                <w:snapToGrid w:val="0"/>
                <w:color w:val="auto"/>
                <w:kern w:val="21"/>
                <w:szCs w:val="21"/>
              </w:rPr>
            </w:pPr>
            <w:r>
              <w:rPr>
                <w:rFonts w:hint="eastAsia"/>
                <w:color w:val="auto"/>
                <w:szCs w:val="21"/>
              </w:rPr>
              <w:t>硫化氢</w:t>
            </w:r>
          </w:p>
        </w:tc>
        <w:tc>
          <w:tcPr>
            <w:tcW w:w="1525" w:type="dxa"/>
            <w:vAlign w:val="center"/>
          </w:tcPr>
          <w:p>
            <w:pPr>
              <w:widowControl/>
              <w:jc w:val="center"/>
              <w:textAlignment w:val="center"/>
              <w:rPr>
                <w:snapToGrid w:val="0"/>
                <w:color w:val="auto"/>
                <w:kern w:val="21"/>
                <w:szCs w:val="21"/>
              </w:rPr>
            </w:pPr>
            <w:r>
              <w:rPr>
                <w:color w:val="auto"/>
                <w:kern w:val="0"/>
                <w:szCs w:val="21"/>
                <w:lang w:bidi="ar"/>
              </w:rPr>
              <w:t>0.0002</w:t>
            </w:r>
          </w:p>
        </w:tc>
        <w:tc>
          <w:tcPr>
            <w:tcW w:w="1115" w:type="dxa"/>
            <w:vAlign w:val="center"/>
          </w:tcPr>
          <w:p>
            <w:pPr>
              <w:widowControl/>
              <w:jc w:val="center"/>
              <w:textAlignment w:val="center"/>
              <w:rPr>
                <w:snapToGrid w:val="0"/>
                <w:color w:val="auto"/>
                <w:kern w:val="21"/>
                <w:szCs w:val="21"/>
              </w:rPr>
            </w:pPr>
            <w:r>
              <w:rPr>
                <w:color w:val="auto"/>
                <w:kern w:val="0"/>
                <w:szCs w:val="21"/>
                <w:lang w:bidi="ar"/>
              </w:rPr>
              <w:t>0.0002</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jc w:val="center"/>
              <w:rPr>
                <w:snapToGrid w:val="0"/>
                <w:color w:val="auto"/>
                <w:kern w:val="21"/>
                <w:szCs w:val="21"/>
              </w:rPr>
            </w:pPr>
            <w:r>
              <w:rPr>
                <w:rFonts w:hint="eastAsia"/>
                <w:color w:val="auto"/>
                <w:szCs w:val="21"/>
              </w:rPr>
              <w:t>0.0003</w:t>
            </w:r>
          </w:p>
        </w:tc>
        <w:tc>
          <w:tcPr>
            <w:tcW w:w="1426" w:type="dxa"/>
            <w:vAlign w:val="center"/>
          </w:tcPr>
          <w:p>
            <w:pPr>
              <w:widowControl/>
              <w:jc w:val="center"/>
              <w:textAlignment w:val="center"/>
              <w:rPr>
                <w:snapToGrid w:val="0"/>
                <w:color w:val="auto"/>
                <w:kern w:val="21"/>
                <w:szCs w:val="21"/>
              </w:rPr>
            </w:pPr>
            <w:r>
              <w:rPr>
                <w:color w:val="auto"/>
                <w:kern w:val="0"/>
                <w:szCs w:val="21"/>
                <w:lang w:bidi="ar"/>
              </w:rPr>
              <w:t>0.0002</w:t>
            </w:r>
          </w:p>
        </w:tc>
        <w:tc>
          <w:tcPr>
            <w:tcW w:w="1711" w:type="dxa"/>
            <w:vAlign w:val="center"/>
          </w:tcPr>
          <w:p>
            <w:pPr>
              <w:jc w:val="center"/>
              <w:rPr>
                <w:snapToGrid w:val="0"/>
                <w:color w:val="auto"/>
                <w:kern w:val="21"/>
                <w:szCs w:val="21"/>
              </w:rPr>
            </w:pPr>
            <w:r>
              <w:rPr>
                <w:rFonts w:hint="eastAsia"/>
                <w:color w:val="auto"/>
                <w:szCs w:val="21"/>
              </w:rPr>
              <w:t>0.0003</w:t>
            </w:r>
          </w:p>
        </w:tc>
        <w:tc>
          <w:tcPr>
            <w:tcW w:w="1667" w:type="dxa"/>
            <w:vAlign w:val="center"/>
          </w:tcPr>
          <w:p>
            <w:pPr>
              <w:widowControl/>
              <w:jc w:val="center"/>
              <w:textAlignment w:val="center"/>
              <w:rPr>
                <w:snapToGrid w:val="0"/>
                <w:color w:val="auto"/>
                <w:kern w:val="21"/>
                <w:szCs w:val="21"/>
              </w:rPr>
            </w:pPr>
            <w:r>
              <w:rPr>
                <w:color w:val="auto"/>
                <w:kern w:val="0"/>
                <w:szCs w:val="21"/>
                <w:lang w:bidi="ar"/>
              </w:rPr>
              <w:t>+0.0001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31" w:type="dxa"/>
            <w:vMerge w:val="restart"/>
            <w:vAlign w:val="center"/>
          </w:tcPr>
          <w:p>
            <w:pPr>
              <w:adjustRightInd w:val="0"/>
              <w:snapToGrid w:val="0"/>
              <w:jc w:val="center"/>
              <w:rPr>
                <w:snapToGrid w:val="0"/>
                <w:color w:val="auto"/>
                <w:kern w:val="21"/>
                <w:szCs w:val="21"/>
              </w:rPr>
            </w:pPr>
            <w:r>
              <w:rPr>
                <w:snapToGrid w:val="0"/>
                <w:color w:val="auto"/>
                <w:kern w:val="21"/>
                <w:szCs w:val="21"/>
              </w:rPr>
              <w:t>废水</w:t>
            </w:r>
          </w:p>
        </w:tc>
        <w:tc>
          <w:tcPr>
            <w:tcW w:w="833" w:type="dxa"/>
            <w:vMerge w:val="restart"/>
            <w:vAlign w:val="center"/>
          </w:tcPr>
          <w:p>
            <w:pPr>
              <w:adjustRightInd w:val="0"/>
              <w:snapToGrid w:val="0"/>
              <w:jc w:val="center"/>
              <w:rPr>
                <w:snapToGrid w:val="0"/>
                <w:color w:val="auto"/>
                <w:kern w:val="21"/>
                <w:szCs w:val="21"/>
              </w:rPr>
            </w:pPr>
            <w:r>
              <w:rPr>
                <w:snapToGrid w:val="0"/>
                <w:color w:val="auto"/>
                <w:kern w:val="21"/>
                <w:szCs w:val="21"/>
              </w:rPr>
              <w:t>DW001</w:t>
            </w:r>
          </w:p>
        </w:tc>
        <w:tc>
          <w:tcPr>
            <w:tcW w:w="1249" w:type="dxa"/>
            <w:vAlign w:val="center"/>
          </w:tcPr>
          <w:p>
            <w:pPr>
              <w:adjustRightInd w:val="0"/>
              <w:snapToGrid w:val="0"/>
              <w:jc w:val="center"/>
              <w:rPr>
                <w:snapToGrid w:val="0"/>
                <w:color w:val="auto"/>
                <w:kern w:val="21"/>
                <w:szCs w:val="21"/>
              </w:rPr>
            </w:pPr>
            <w:r>
              <w:rPr>
                <w:snapToGrid w:val="0"/>
                <w:color w:val="auto"/>
                <w:kern w:val="21"/>
                <w:szCs w:val="21"/>
              </w:rPr>
              <w:t>废水量</w:t>
            </w:r>
          </w:p>
        </w:tc>
        <w:tc>
          <w:tcPr>
            <w:tcW w:w="1525" w:type="dxa"/>
            <w:vAlign w:val="center"/>
          </w:tcPr>
          <w:p>
            <w:pPr>
              <w:widowControl/>
              <w:jc w:val="center"/>
              <w:textAlignment w:val="center"/>
              <w:rPr>
                <w:snapToGrid w:val="0"/>
                <w:color w:val="auto"/>
                <w:kern w:val="21"/>
                <w:sz w:val="21"/>
                <w:szCs w:val="21"/>
              </w:rPr>
            </w:pPr>
            <w:r>
              <w:rPr>
                <w:color w:val="auto"/>
                <w:kern w:val="0"/>
                <w:sz w:val="21"/>
                <w:szCs w:val="21"/>
                <w:lang w:bidi="ar"/>
              </w:rPr>
              <w:t>191</w:t>
            </w:r>
          </w:p>
        </w:tc>
        <w:tc>
          <w:tcPr>
            <w:tcW w:w="1115" w:type="dxa"/>
            <w:vAlign w:val="center"/>
          </w:tcPr>
          <w:p>
            <w:pPr>
              <w:widowControl/>
              <w:jc w:val="center"/>
              <w:textAlignment w:val="center"/>
              <w:rPr>
                <w:snapToGrid w:val="0"/>
                <w:color w:val="auto"/>
                <w:kern w:val="21"/>
                <w:sz w:val="21"/>
                <w:szCs w:val="21"/>
              </w:rPr>
            </w:pPr>
            <w:r>
              <w:rPr>
                <w:color w:val="auto"/>
                <w:kern w:val="0"/>
                <w:sz w:val="21"/>
                <w:szCs w:val="21"/>
                <w:lang w:bidi="ar"/>
              </w:rPr>
              <w:t>191</w:t>
            </w:r>
          </w:p>
        </w:tc>
        <w:tc>
          <w:tcPr>
            <w:tcW w:w="1568" w:type="dxa"/>
            <w:vAlign w:val="center"/>
          </w:tcPr>
          <w:p>
            <w:pPr>
              <w:adjustRightInd w:val="0"/>
              <w:snapToGrid w:val="0"/>
              <w:jc w:val="center"/>
              <w:rPr>
                <w:snapToGrid w:val="0"/>
                <w:color w:val="auto"/>
                <w:kern w:val="21"/>
                <w:sz w:val="21"/>
                <w:szCs w:val="21"/>
              </w:rPr>
            </w:pPr>
            <w:r>
              <w:rPr>
                <w:snapToGrid w:val="0"/>
                <w:color w:val="auto"/>
                <w:kern w:val="21"/>
                <w:sz w:val="21"/>
                <w:szCs w:val="21"/>
              </w:rPr>
              <w:t>0</w:t>
            </w:r>
          </w:p>
        </w:tc>
        <w:tc>
          <w:tcPr>
            <w:tcW w:w="1568" w:type="dxa"/>
            <w:vAlign w:val="center"/>
          </w:tcPr>
          <w:p>
            <w:pPr>
              <w:widowControl/>
              <w:jc w:val="center"/>
              <w:textAlignment w:val="center"/>
              <w:rPr>
                <w:color w:val="auto"/>
                <w:sz w:val="21"/>
                <w:szCs w:val="21"/>
              </w:rPr>
            </w:pPr>
            <w:r>
              <w:rPr>
                <w:rFonts w:hint="eastAsia"/>
                <w:color w:val="auto"/>
                <w:kern w:val="0"/>
                <w:sz w:val="21"/>
                <w:szCs w:val="21"/>
                <w:lang w:bidi="ar"/>
              </w:rPr>
              <w:t>42</w:t>
            </w:r>
            <w:r>
              <w:rPr>
                <w:rFonts w:hint="eastAsia"/>
                <w:color w:val="auto"/>
                <w:kern w:val="0"/>
                <w:sz w:val="21"/>
                <w:szCs w:val="21"/>
                <w:lang w:val="en-US" w:eastAsia="zh-CN" w:bidi="ar"/>
              </w:rPr>
              <w:t>0</w:t>
            </w:r>
          </w:p>
        </w:tc>
        <w:tc>
          <w:tcPr>
            <w:tcW w:w="1426" w:type="dxa"/>
            <w:vAlign w:val="center"/>
          </w:tcPr>
          <w:p>
            <w:pPr>
              <w:widowControl/>
              <w:jc w:val="center"/>
              <w:textAlignment w:val="center"/>
              <w:rPr>
                <w:snapToGrid w:val="0"/>
                <w:color w:val="auto"/>
                <w:kern w:val="21"/>
                <w:sz w:val="21"/>
                <w:szCs w:val="21"/>
              </w:rPr>
            </w:pPr>
            <w:r>
              <w:rPr>
                <w:color w:val="auto"/>
                <w:kern w:val="0"/>
                <w:sz w:val="21"/>
                <w:szCs w:val="21"/>
                <w:lang w:bidi="ar"/>
              </w:rPr>
              <w:t>191</w:t>
            </w:r>
          </w:p>
        </w:tc>
        <w:tc>
          <w:tcPr>
            <w:tcW w:w="1711" w:type="dxa"/>
            <w:vAlign w:val="center"/>
          </w:tcPr>
          <w:p>
            <w:pPr>
              <w:widowControl/>
              <w:jc w:val="center"/>
              <w:textAlignment w:val="center"/>
              <w:rPr>
                <w:snapToGrid w:val="0"/>
                <w:color w:val="auto"/>
                <w:kern w:val="21"/>
                <w:sz w:val="21"/>
                <w:szCs w:val="21"/>
              </w:rPr>
            </w:pPr>
            <w:r>
              <w:rPr>
                <w:rFonts w:hint="eastAsia"/>
                <w:color w:val="auto"/>
                <w:kern w:val="0"/>
                <w:sz w:val="21"/>
                <w:szCs w:val="21"/>
                <w:lang w:bidi="ar"/>
              </w:rPr>
              <w:t>42</w:t>
            </w:r>
            <w:r>
              <w:rPr>
                <w:rFonts w:hint="eastAsia"/>
                <w:color w:val="auto"/>
                <w:kern w:val="0"/>
                <w:sz w:val="21"/>
                <w:szCs w:val="21"/>
                <w:lang w:val="en-US" w:eastAsia="zh-CN" w:bidi="ar"/>
              </w:rPr>
              <w:t>0</w:t>
            </w:r>
          </w:p>
        </w:tc>
        <w:tc>
          <w:tcPr>
            <w:tcW w:w="1667" w:type="dxa"/>
            <w:vAlign w:val="center"/>
          </w:tcPr>
          <w:p>
            <w:pPr>
              <w:keepNext w:val="0"/>
              <w:keepLines w:val="0"/>
              <w:widowControl/>
              <w:suppressLineNumbers w:val="0"/>
              <w:jc w:val="center"/>
              <w:textAlignment w:val="center"/>
              <w:rPr>
                <w:b/>
                <w:bCs/>
                <w:snapToGrid w:val="0"/>
                <w:color w:val="auto"/>
                <w:kern w:val="21"/>
                <w:sz w:val="21"/>
                <w:szCs w:val="21"/>
              </w:rPr>
            </w:pPr>
            <w:r>
              <w:rPr>
                <w:rFonts w:hint="eastAsia" w:ascii="Times New Roman" w:hAnsi="Times New Roman" w:eastAsia="宋体" w:cs="Times New Roman"/>
                <w:i w:val="0"/>
                <w:iCs w:val="0"/>
                <w:color w:val="auto"/>
                <w:kern w:val="0"/>
                <w:sz w:val="21"/>
                <w:szCs w:val="21"/>
                <w:u w:val="none"/>
                <w:lang w:val="en-US" w:eastAsia="zh-CN" w:bidi="ar"/>
              </w:rPr>
              <w:t>+</w:t>
            </w:r>
            <w:r>
              <w:rPr>
                <w:rFonts w:hint="default" w:ascii="Times New Roman" w:hAnsi="Times New Roman" w:eastAsia="宋体" w:cs="Times New Roman"/>
                <w:i w:val="0"/>
                <w:iCs w:val="0"/>
                <w:color w:val="auto"/>
                <w:kern w:val="0"/>
                <w:sz w:val="21"/>
                <w:szCs w:val="21"/>
                <w:u w:val="none"/>
                <w:lang w:val="en-US" w:eastAsia="zh-CN" w:bidi="ar"/>
              </w:rPr>
              <w:t>229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31" w:type="dxa"/>
            <w:vMerge w:val="continue"/>
            <w:vAlign w:val="center"/>
          </w:tcPr>
          <w:p>
            <w:pPr>
              <w:adjustRightInd w:val="0"/>
              <w:snapToGrid w:val="0"/>
              <w:jc w:val="center"/>
              <w:rPr>
                <w:snapToGrid w:val="0"/>
                <w:color w:val="auto"/>
                <w:kern w:val="21"/>
                <w:szCs w:val="21"/>
              </w:rPr>
            </w:pPr>
          </w:p>
        </w:tc>
        <w:tc>
          <w:tcPr>
            <w:tcW w:w="833" w:type="dxa"/>
            <w:vMerge w:val="continue"/>
            <w:vAlign w:val="center"/>
          </w:tcPr>
          <w:p>
            <w:pPr>
              <w:adjustRightInd w:val="0"/>
              <w:snapToGrid w:val="0"/>
              <w:jc w:val="center"/>
              <w:rPr>
                <w:snapToGrid w:val="0"/>
                <w:color w:val="auto"/>
                <w:kern w:val="21"/>
                <w:szCs w:val="21"/>
              </w:rPr>
            </w:pPr>
          </w:p>
        </w:tc>
        <w:tc>
          <w:tcPr>
            <w:tcW w:w="1249" w:type="dxa"/>
            <w:vAlign w:val="center"/>
          </w:tcPr>
          <w:p>
            <w:pPr>
              <w:adjustRightInd w:val="0"/>
              <w:snapToGrid w:val="0"/>
              <w:jc w:val="center"/>
              <w:rPr>
                <w:snapToGrid w:val="0"/>
                <w:color w:val="auto"/>
                <w:kern w:val="21"/>
                <w:szCs w:val="21"/>
              </w:rPr>
            </w:pPr>
            <w:r>
              <w:rPr>
                <w:snapToGrid w:val="0"/>
                <w:color w:val="auto"/>
                <w:kern w:val="21"/>
                <w:szCs w:val="21"/>
              </w:rPr>
              <w:t>COD</w:t>
            </w:r>
          </w:p>
        </w:tc>
        <w:tc>
          <w:tcPr>
            <w:tcW w:w="1525" w:type="dxa"/>
            <w:vAlign w:val="center"/>
          </w:tcPr>
          <w:p>
            <w:pPr>
              <w:widowControl/>
              <w:jc w:val="center"/>
              <w:textAlignment w:val="center"/>
              <w:rPr>
                <w:snapToGrid w:val="0"/>
                <w:color w:val="auto"/>
                <w:kern w:val="21"/>
                <w:sz w:val="21"/>
                <w:szCs w:val="21"/>
              </w:rPr>
            </w:pPr>
            <w:r>
              <w:rPr>
                <w:color w:val="auto"/>
                <w:kern w:val="0"/>
                <w:sz w:val="21"/>
                <w:szCs w:val="21"/>
                <w:lang w:bidi="ar"/>
              </w:rPr>
              <w:t>0.076</w:t>
            </w:r>
          </w:p>
        </w:tc>
        <w:tc>
          <w:tcPr>
            <w:tcW w:w="1115" w:type="dxa"/>
            <w:vAlign w:val="center"/>
          </w:tcPr>
          <w:p>
            <w:pPr>
              <w:widowControl/>
              <w:jc w:val="center"/>
              <w:textAlignment w:val="center"/>
              <w:rPr>
                <w:snapToGrid w:val="0"/>
                <w:color w:val="auto"/>
                <w:kern w:val="21"/>
                <w:sz w:val="21"/>
                <w:szCs w:val="21"/>
              </w:rPr>
            </w:pPr>
            <w:r>
              <w:rPr>
                <w:color w:val="auto"/>
                <w:kern w:val="0"/>
                <w:sz w:val="21"/>
                <w:szCs w:val="21"/>
                <w:lang w:bidi="ar"/>
              </w:rPr>
              <w:t>0.076</w:t>
            </w:r>
          </w:p>
        </w:tc>
        <w:tc>
          <w:tcPr>
            <w:tcW w:w="1568" w:type="dxa"/>
            <w:vAlign w:val="center"/>
          </w:tcPr>
          <w:p>
            <w:pPr>
              <w:adjustRightInd w:val="0"/>
              <w:snapToGrid w:val="0"/>
              <w:jc w:val="center"/>
              <w:rPr>
                <w:snapToGrid w:val="0"/>
                <w:color w:val="auto"/>
                <w:kern w:val="21"/>
                <w:sz w:val="21"/>
                <w:szCs w:val="21"/>
              </w:rPr>
            </w:pPr>
            <w:r>
              <w:rPr>
                <w:snapToGrid w:val="0"/>
                <w:color w:val="auto"/>
                <w:kern w:val="21"/>
                <w:sz w:val="21"/>
                <w:szCs w:val="21"/>
              </w:rPr>
              <w:t>0</w:t>
            </w:r>
          </w:p>
        </w:tc>
        <w:tc>
          <w:tcPr>
            <w:tcW w:w="1568" w:type="dxa"/>
            <w:vAlign w:val="center"/>
          </w:tcPr>
          <w:p>
            <w:pPr>
              <w:keepNext w:val="0"/>
              <w:keepLines w:val="0"/>
              <w:widowControl/>
              <w:suppressLineNumbers w:val="0"/>
              <w:jc w:val="center"/>
              <w:textAlignment w:val="center"/>
              <w:rPr>
                <w:color w:val="auto"/>
                <w:sz w:val="21"/>
                <w:szCs w:val="21"/>
              </w:rPr>
            </w:pPr>
            <w:r>
              <w:rPr>
                <w:rFonts w:hint="eastAsia" w:ascii="Times New Roman" w:hAnsi="Times New Roman" w:eastAsia="宋体" w:cs="Times New Roman"/>
                <w:snapToGrid w:val="0"/>
                <w:color w:val="auto"/>
                <w:kern w:val="0"/>
                <w:sz w:val="21"/>
                <w:szCs w:val="21"/>
                <w:lang w:val="en-US" w:eastAsia="zh-CN" w:bidi="ar-SA"/>
              </w:rPr>
              <w:t>0.147</w:t>
            </w:r>
          </w:p>
        </w:tc>
        <w:tc>
          <w:tcPr>
            <w:tcW w:w="1426" w:type="dxa"/>
            <w:vAlign w:val="center"/>
          </w:tcPr>
          <w:p>
            <w:pPr>
              <w:widowControl/>
              <w:jc w:val="center"/>
              <w:textAlignment w:val="center"/>
              <w:rPr>
                <w:snapToGrid w:val="0"/>
                <w:color w:val="auto"/>
                <w:kern w:val="21"/>
                <w:sz w:val="21"/>
                <w:szCs w:val="21"/>
              </w:rPr>
            </w:pPr>
            <w:r>
              <w:rPr>
                <w:color w:val="auto"/>
                <w:kern w:val="0"/>
                <w:sz w:val="21"/>
                <w:szCs w:val="21"/>
                <w:lang w:bidi="ar"/>
              </w:rPr>
              <w:t>0.076</w:t>
            </w:r>
          </w:p>
        </w:tc>
        <w:tc>
          <w:tcPr>
            <w:tcW w:w="1711" w:type="dxa"/>
            <w:vAlign w:val="center"/>
          </w:tcPr>
          <w:p>
            <w:pPr>
              <w:keepNext w:val="0"/>
              <w:keepLines w:val="0"/>
              <w:widowControl/>
              <w:suppressLineNumbers w:val="0"/>
              <w:jc w:val="center"/>
              <w:textAlignment w:val="center"/>
              <w:rPr>
                <w:snapToGrid w:val="0"/>
                <w:color w:val="auto"/>
                <w:kern w:val="21"/>
                <w:sz w:val="21"/>
                <w:szCs w:val="21"/>
              </w:rPr>
            </w:pPr>
            <w:r>
              <w:rPr>
                <w:rFonts w:hint="eastAsia" w:ascii="Times New Roman" w:hAnsi="Times New Roman" w:eastAsia="宋体" w:cs="Times New Roman"/>
                <w:snapToGrid w:val="0"/>
                <w:color w:val="auto"/>
                <w:kern w:val="0"/>
                <w:sz w:val="21"/>
                <w:szCs w:val="21"/>
                <w:lang w:val="en-US" w:eastAsia="zh-CN" w:bidi="ar-SA"/>
              </w:rPr>
              <w:t>0.147</w:t>
            </w:r>
          </w:p>
        </w:tc>
        <w:tc>
          <w:tcPr>
            <w:tcW w:w="1667" w:type="dxa"/>
            <w:vAlign w:val="center"/>
          </w:tcPr>
          <w:p>
            <w:pPr>
              <w:keepNext w:val="0"/>
              <w:keepLines w:val="0"/>
              <w:widowControl/>
              <w:suppressLineNumbers w:val="0"/>
              <w:jc w:val="center"/>
              <w:textAlignment w:val="center"/>
              <w:rPr>
                <w:color w:val="auto"/>
                <w:sz w:val="21"/>
                <w:szCs w:val="21"/>
              </w:rPr>
            </w:pPr>
            <w:r>
              <w:rPr>
                <w:rFonts w:hint="eastAsia" w:ascii="Times New Roman" w:hAnsi="Times New Roman" w:eastAsia="宋体" w:cs="Times New Roman"/>
                <w:i w:val="0"/>
                <w:iCs w:val="0"/>
                <w:color w:val="auto"/>
                <w:kern w:val="0"/>
                <w:sz w:val="21"/>
                <w:szCs w:val="21"/>
                <w:u w:val="none"/>
                <w:lang w:val="en-US" w:eastAsia="zh-CN" w:bidi="ar"/>
              </w:rPr>
              <w:t>+</w:t>
            </w:r>
            <w:r>
              <w:rPr>
                <w:rFonts w:hint="default" w:ascii="Times New Roman" w:hAnsi="Times New Roman" w:eastAsia="宋体" w:cs="Times New Roman"/>
                <w:i w:val="0"/>
                <w:iCs w:val="0"/>
                <w:color w:val="auto"/>
                <w:kern w:val="0"/>
                <w:sz w:val="21"/>
                <w:szCs w:val="21"/>
                <w:u w:val="none"/>
                <w:lang w:val="en-US" w:eastAsia="zh-CN" w:bidi="ar"/>
              </w:rPr>
              <w:t>0.071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31" w:type="dxa"/>
            <w:vMerge w:val="continue"/>
            <w:vAlign w:val="center"/>
          </w:tcPr>
          <w:p>
            <w:pPr>
              <w:adjustRightInd w:val="0"/>
              <w:snapToGrid w:val="0"/>
              <w:jc w:val="center"/>
              <w:rPr>
                <w:snapToGrid w:val="0"/>
                <w:color w:val="auto"/>
                <w:kern w:val="21"/>
                <w:szCs w:val="21"/>
              </w:rPr>
            </w:pPr>
          </w:p>
        </w:tc>
        <w:tc>
          <w:tcPr>
            <w:tcW w:w="833" w:type="dxa"/>
            <w:vMerge w:val="continue"/>
            <w:vAlign w:val="center"/>
          </w:tcPr>
          <w:p>
            <w:pPr>
              <w:adjustRightInd w:val="0"/>
              <w:snapToGrid w:val="0"/>
              <w:jc w:val="center"/>
              <w:rPr>
                <w:snapToGrid w:val="0"/>
                <w:color w:val="auto"/>
                <w:kern w:val="21"/>
                <w:szCs w:val="21"/>
              </w:rPr>
            </w:pPr>
          </w:p>
        </w:tc>
        <w:tc>
          <w:tcPr>
            <w:tcW w:w="1249" w:type="dxa"/>
            <w:vAlign w:val="center"/>
          </w:tcPr>
          <w:p>
            <w:pPr>
              <w:adjustRightInd w:val="0"/>
              <w:snapToGrid w:val="0"/>
              <w:jc w:val="center"/>
              <w:rPr>
                <w:snapToGrid w:val="0"/>
                <w:color w:val="auto"/>
                <w:kern w:val="21"/>
                <w:szCs w:val="21"/>
              </w:rPr>
            </w:pPr>
            <w:r>
              <w:rPr>
                <w:snapToGrid w:val="0"/>
                <w:color w:val="auto"/>
                <w:kern w:val="21"/>
                <w:szCs w:val="21"/>
              </w:rPr>
              <w:t>SS</w:t>
            </w:r>
          </w:p>
        </w:tc>
        <w:tc>
          <w:tcPr>
            <w:tcW w:w="1525" w:type="dxa"/>
            <w:vAlign w:val="center"/>
          </w:tcPr>
          <w:p>
            <w:pPr>
              <w:widowControl/>
              <w:jc w:val="center"/>
              <w:textAlignment w:val="center"/>
              <w:rPr>
                <w:snapToGrid w:val="0"/>
                <w:color w:val="auto"/>
                <w:kern w:val="21"/>
                <w:sz w:val="21"/>
                <w:szCs w:val="21"/>
              </w:rPr>
            </w:pPr>
            <w:r>
              <w:rPr>
                <w:color w:val="auto"/>
                <w:kern w:val="0"/>
                <w:sz w:val="21"/>
                <w:szCs w:val="21"/>
                <w:lang w:bidi="ar"/>
              </w:rPr>
              <w:t>0.038</w:t>
            </w:r>
          </w:p>
        </w:tc>
        <w:tc>
          <w:tcPr>
            <w:tcW w:w="1115" w:type="dxa"/>
            <w:vAlign w:val="center"/>
          </w:tcPr>
          <w:p>
            <w:pPr>
              <w:widowControl/>
              <w:jc w:val="center"/>
              <w:textAlignment w:val="center"/>
              <w:rPr>
                <w:snapToGrid w:val="0"/>
                <w:color w:val="auto"/>
                <w:kern w:val="21"/>
                <w:sz w:val="21"/>
                <w:szCs w:val="21"/>
              </w:rPr>
            </w:pPr>
            <w:r>
              <w:rPr>
                <w:color w:val="auto"/>
                <w:kern w:val="0"/>
                <w:sz w:val="21"/>
                <w:szCs w:val="21"/>
                <w:lang w:bidi="ar"/>
              </w:rPr>
              <w:t>0.038</w:t>
            </w:r>
          </w:p>
        </w:tc>
        <w:tc>
          <w:tcPr>
            <w:tcW w:w="1568" w:type="dxa"/>
            <w:vAlign w:val="center"/>
          </w:tcPr>
          <w:p>
            <w:pPr>
              <w:adjustRightInd w:val="0"/>
              <w:snapToGrid w:val="0"/>
              <w:jc w:val="center"/>
              <w:rPr>
                <w:snapToGrid w:val="0"/>
                <w:color w:val="auto"/>
                <w:kern w:val="21"/>
                <w:sz w:val="21"/>
                <w:szCs w:val="21"/>
              </w:rPr>
            </w:pPr>
            <w:r>
              <w:rPr>
                <w:snapToGrid w:val="0"/>
                <w:color w:val="auto"/>
                <w:kern w:val="21"/>
                <w:sz w:val="21"/>
                <w:szCs w:val="21"/>
              </w:rPr>
              <w:t>0</w:t>
            </w:r>
          </w:p>
        </w:tc>
        <w:tc>
          <w:tcPr>
            <w:tcW w:w="1568" w:type="dxa"/>
            <w:vAlign w:val="center"/>
          </w:tcPr>
          <w:p>
            <w:pPr>
              <w:keepNext w:val="0"/>
              <w:keepLines w:val="0"/>
              <w:widowControl/>
              <w:suppressLineNumbers w:val="0"/>
              <w:jc w:val="center"/>
              <w:textAlignment w:val="center"/>
              <w:rPr>
                <w:color w:val="auto"/>
                <w:sz w:val="21"/>
                <w:szCs w:val="21"/>
              </w:rPr>
            </w:pPr>
            <w:r>
              <w:rPr>
                <w:rFonts w:hint="eastAsia" w:ascii="Times New Roman" w:hAnsi="Times New Roman" w:eastAsia="宋体" w:cs="Times New Roman"/>
                <w:snapToGrid w:val="0"/>
                <w:color w:val="auto"/>
                <w:kern w:val="0"/>
                <w:sz w:val="21"/>
                <w:szCs w:val="21"/>
                <w:lang w:val="en-US" w:eastAsia="zh-CN" w:bidi="ar-SA"/>
              </w:rPr>
              <w:t>0.084</w:t>
            </w:r>
          </w:p>
        </w:tc>
        <w:tc>
          <w:tcPr>
            <w:tcW w:w="1426" w:type="dxa"/>
            <w:vAlign w:val="center"/>
          </w:tcPr>
          <w:p>
            <w:pPr>
              <w:widowControl/>
              <w:jc w:val="center"/>
              <w:textAlignment w:val="center"/>
              <w:rPr>
                <w:snapToGrid w:val="0"/>
                <w:color w:val="auto"/>
                <w:kern w:val="21"/>
                <w:sz w:val="21"/>
                <w:szCs w:val="21"/>
              </w:rPr>
            </w:pPr>
            <w:r>
              <w:rPr>
                <w:color w:val="auto"/>
                <w:kern w:val="0"/>
                <w:sz w:val="21"/>
                <w:szCs w:val="21"/>
                <w:lang w:bidi="ar"/>
              </w:rPr>
              <w:t>0.038</w:t>
            </w:r>
          </w:p>
        </w:tc>
        <w:tc>
          <w:tcPr>
            <w:tcW w:w="1711" w:type="dxa"/>
            <w:vAlign w:val="center"/>
          </w:tcPr>
          <w:p>
            <w:pPr>
              <w:keepNext w:val="0"/>
              <w:keepLines w:val="0"/>
              <w:widowControl/>
              <w:suppressLineNumbers w:val="0"/>
              <w:jc w:val="center"/>
              <w:textAlignment w:val="center"/>
              <w:rPr>
                <w:snapToGrid w:val="0"/>
                <w:color w:val="auto"/>
                <w:kern w:val="21"/>
                <w:sz w:val="21"/>
                <w:szCs w:val="21"/>
              </w:rPr>
            </w:pPr>
            <w:r>
              <w:rPr>
                <w:rFonts w:hint="eastAsia" w:ascii="Times New Roman" w:hAnsi="Times New Roman" w:eastAsia="宋体" w:cs="Times New Roman"/>
                <w:snapToGrid w:val="0"/>
                <w:color w:val="auto"/>
                <w:kern w:val="0"/>
                <w:sz w:val="21"/>
                <w:szCs w:val="21"/>
                <w:lang w:val="en-US" w:eastAsia="zh-CN" w:bidi="ar-SA"/>
              </w:rPr>
              <w:t>0.084</w:t>
            </w:r>
          </w:p>
        </w:tc>
        <w:tc>
          <w:tcPr>
            <w:tcW w:w="1667" w:type="dxa"/>
            <w:vAlign w:val="center"/>
          </w:tcPr>
          <w:p>
            <w:pPr>
              <w:keepNext w:val="0"/>
              <w:keepLines w:val="0"/>
              <w:widowControl/>
              <w:suppressLineNumbers w:val="0"/>
              <w:jc w:val="center"/>
              <w:textAlignment w:val="center"/>
              <w:rPr>
                <w:color w:val="auto"/>
                <w:sz w:val="21"/>
                <w:szCs w:val="21"/>
              </w:rPr>
            </w:pPr>
            <w:r>
              <w:rPr>
                <w:rFonts w:hint="eastAsia" w:ascii="Times New Roman" w:hAnsi="Times New Roman" w:eastAsia="宋体" w:cs="Times New Roman"/>
                <w:i w:val="0"/>
                <w:iCs w:val="0"/>
                <w:color w:val="auto"/>
                <w:kern w:val="0"/>
                <w:sz w:val="21"/>
                <w:szCs w:val="21"/>
                <w:u w:val="none"/>
                <w:lang w:val="en-US" w:eastAsia="zh-CN" w:bidi="ar"/>
              </w:rPr>
              <w:t>+</w:t>
            </w:r>
            <w:r>
              <w:rPr>
                <w:rFonts w:hint="default" w:ascii="Times New Roman" w:hAnsi="Times New Roman" w:eastAsia="宋体" w:cs="Times New Roman"/>
                <w:i w:val="0"/>
                <w:iCs w:val="0"/>
                <w:color w:val="auto"/>
                <w:kern w:val="0"/>
                <w:sz w:val="21"/>
                <w:szCs w:val="21"/>
                <w:u w:val="none"/>
                <w:lang w:val="en-US" w:eastAsia="zh-CN" w:bidi="ar"/>
              </w:rPr>
              <w:t>0.046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31" w:type="dxa"/>
            <w:vMerge w:val="continue"/>
            <w:vAlign w:val="center"/>
          </w:tcPr>
          <w:p>
            <w:pPr>
              <w:adjustRightInd w:val="0"/>
              <w:snapToGrid w:val="0"/>
              <w:jc w:val="center"/>
              <w:rPr>
                <w:snapToGrid w:val="0"/>
                <w:color w:val="auto"/>
                <w:kern w:val="21"/>
                <w:szCs w:val="21"/>
              </w:rPr>
            </w:pPr>
          </w:p>
        </w:tc>
        <w:tc>
          <w:tcPr>
            <w:tcW w:w="833" w:type="dxa"/>
            <w:vMerge w:val="continue"/>
            <w:vAlign w:val="center"/>
          </w:tcPr>
          <w:p>
            <w:pPr>
              <w:adjustRightInd w:val="0"/>
              <w:snapToGrid w:val="0"/>
              <w:jc w:val="center"/>
              <w:rPr>
                <w:snapToGrid w:val="0"/>
                <w:color w:val="auto"/>
                <w:kern w:val="21"/>
                <w:szCs w:val="21"/>
              </w:rPr>
            </w:pPr>
          </w:p>
        </w:tc>
        <w:tc>
          <w:tcPr>
            <w:tcW w:w="1249" w:type="dxa"/>
            <w:vAlign w:val="center"/>
          </w:tcPr>
          <w:p>
            <w:pPr>
              <w:adjustRightInd w:val="0"/>
              <w:snapToGrid w:val="0"/>
              <w:jc w:val="center"/>
              <w:rPr>
                <w:snapToGrid w:val="0"/>
                <w:color w:val="auto"/>
                <w:kern w:val="21"/>
                <w:szCs w:val="21"/>
              </w:rPr>
            </w:pPr>
            <w:r>
              <w:rPr>
                <w:snapToGrid w:val="0"/>
                <w:color w:val="auto"/>
                <w:kern w:val="21"/>
                <w:szCs w:val="21"/>
              </w:rPr>
              <w:t>氨氮</w:t>
            </w:r>
          </w:p>
        </w:tc>
        <w:tc>
          <w:tcPr>
            <w:tcW w:w="1525" w:type="dxa"/>
            <w:vAlign w:val="center"/>
          </w:tcPr>
          <w:p>
            <w:pPr>
              <w:widowControl/>
              <w:jc w:val="center"/>
              <w:textAlignment w:val="center"/>
              <w:rPr>
                <w:snapToGrid w:val="0"/>
                <w:color w:val="auto"/>
                <w:kern w:val="21"/>
                <w:sz w:val="21"/>
                <w:szCs w:val="21"/>
              </w:rPr>
            </w:pPr>
            <w:r>
              <w:rPr>
                <w:color w:val="auto"/>
                <w:kern w:val="0"/>
                <w:sz w:val="21"/>
                <w:szCs w:val="21"/>
                <w:lang w:bidi="ar"/>
              </w:rPr>
              <w:t>0.0048</w:t>
            </w:r>
          </w:p>
        </w:tc>
        <w:tc>
          <w:tcPr>
            <w:tcW w:w="1115" w:type="dxa"/>
            <w:vAlign w:val="center"/>
          </w:tcPr>
          <w:p>
            <w:pPr>
              <w:widowControl/>
              <w:jc w:val="center"/>
              <w:textAlignment w:val="center"/>
              <w:rPr>
                <w:snapToGrid w:val="0"/>
                <w:color w:val="auto"/>
                <w:kern w:val="21"/>
                <w:sz w:val="21"/>
                <w:szCs w:val="21"/>
              </w:rPr>
            </w:pPr>
            <w:r>
              <w:rPr>
                <w:color w:val="auto"/>
                <w:kern w:val="0"/>
                <w:sz w:val="21"/>
                <w:szCs w:val="21"/>
                <w:lang w:bidi="ar"/>
              </w:rPr>
              <w:t>0.0048</w:t>
            </w:r>
          </w:p>
        </w:tc>
        <w:tc>
          <w:tcPr>
            <w:tcW w:w="1568" w:type="dxa"/>
            <w:vAlign w:val="center"/>
          </w:tcPr>
          <w:p>
            <w:pPr>
              <w:adjustRightInd w:val="0"/>
              <w:snapToGrid w:val="0"/>
              <w:jc w:val="center"/>
              <w:rPr>
                <w:snapToGrid w:val="0"/>
                <w:color w:val="auto"/>
                <w:kern w:val="21"/>
                <w:sz w:val="21"/>
                <w:szCs w:val="21"/>
              </w:rPr>
            </w:pPr>
            <w:r>
              <w:rPr>
                <w:snapToGrid w:val="0"/>
                <w:color w:val="auto"/>
                <w:kern w:val="21"/>
                <w:sz w:val="21"/>
                <w:szCs w:val="21"/>
              </w:rPr>
              <w:t>0</w:t>
            </w:r>
          </w:p>
        </w:tc>
        <w:tc>
          <w:tcPr>
            <w:tcW w:w="1568" w:type="dxa"/>
            <w:vAlign w:val="center"/>
          </w:tcPr>
          <w:p>
            <w:pPr>
              <w:keepNext w:val="0"/>
              <w:keepLines w:val="0"/>
              <w:widowControl/>
              <w:suppressLineNumbers w:val="0"/>
              <w:jc w:val="center"/>
              <w:textAlignment w:val="center"/>
              <w:rPr>
                <w:color w:val="auto"/>
                <w:sz w:val="21"/>
                <w:szCs w:val="21"/>
              </w:rPr>
            </w:pPr>
            <w:r>
              <w:rPr>
                <w:rFonts w:hint="eastAsia" w:ascii="Times New Roman" w:hAnsi="Times New Roman" w:eastAsia="宋体" w:cs="Times New Roman"/>
                <w:snapToGrid w:val="0"/>
                <w:color w:val="auto"/>
                <w:kern w:val="0"/>
                <w:sz w:val="21"/>
                <w:szCs w:val="21"/>
                <w:lang w:val="en-US" w:eastAsia="zh-CN" w:bidi="ar-SA"/>
              </w:rPr>
              <w:t>0.0105</w:t>
            </w:r>
          </w:p>
        </w:tc>
        <w:tc>
          <w:tcPr>
            <w:tcW w:w="1426" w:type="dxa"/>
            <w:vAlign w:val="center"/>
          </w:tcPr>
          <w:p>
            <w:pPr>
              <w:widowControl/>
              <w:jc w:val="center"/>
              <w:textAlignment w:val="center"/>
              <w:rPr>
                <w:snapToGrid w:val="0"/>
                <w:color w:val="auto"/>
                <w:kern w:val="21"/>
                <w:sz w:val="21"/>
                <w:szCs w:val="21"/>
              </w:rPr>
            </w:pPr>
            <w:r>
              <w:rPr>
                <w:color w:val="auto"/>
                <w:kern w:val="0"/>
                <w:sz w:val="21"/>
                <w:szCs w:val="21"/>
                <w:lang w:bidi="ar"/>
              </w:rPr>
              <w:t>0.0048</w:t>
            </w:r>
          </w:p>
        </w:tc>
        <w:tc>
          <w:tcPr>
            <w:tcW w:w="1711" w:type="dxa"/>
            <w:vAlign w:val="center"/>
          </w:tcPr>
          <w:p>
            <w:pPr>
              <w:keepNext w:val="0"/>
              <w:keepLines w:val="0"/>
              <w:widowControl/>
              <w:suppressLineNumbers w:val="0"/>
              <w:jc w:val="center"/>
              <w:textAlignment w:val="center"/>
              <w:rPr>
                <w:snapToGrid w:val="0"/>
                <w:color w:val="auto"/>
                <w:kern w:val="21"/>
                <w:sz w:val="21"/>
                <w:szCs w:val="21"/>
              </w:rPr>
            </w:pPr>
            <w:r>
              <w:rPr>
                <w:rFonts w:hint="eastAsia" w:ascii="Times New Roman" w:hAnsi="Times New Roman" w:eastAsia="宋体" w:cs="Times New Roman"/>
                <w:snapToGrid w:val="0"/>
                <w:color w:val="auto"/>
                <w:kern w:val="0"/>
                <w:sz w:val="21"/>
                <w:szCs w:val="21"/>
                <w:lang w:val="en-US" w:eastAsia="zh-CN" w:bidi="ar-SA"/>
              </w:rPr>
              <w:t>0.0105</w:t>
            </w:r>
          </w:p>
        </w:tc>
        <w:tc>
          <w:tcPr>
            <w:tcW w:w="1667" w:type="dxa"/>
            <w:vAlign w:val="center"/>
          </w:tcPr>
          <w:p>
            <w:pPr>
              <w:keepNext w:val="0"/>
              <w:keepLines w:val="0"/>
              <w:widowControl/>
              <w:suppressLineNumbers w:val="0"/>
              <w:jc w:val="center"/>
              <w:textAlignment w:val="center"/>
              <w:rPr>
                <w:color w:val="auto"/>
                <w:sz w:val="21"/>
                <w:szCs w:val="21"/>
              </w:rPr>
            </w:pPr>
            <w:r>
              <w:rPr>
                <w:rFonts w:hint="eastAsia" w:ascii="Times New Roman" w:hAnsi="Times New Roman" w:eastAsia="宋体" w:cs="Times New Roman"/>
                <w:i w:val="0"/>
                <w:iCs w:val="0"/>
                <w:color w:val="auto"/>
                <w:kern w:val="0"/>
                <w:sz w:val="21"/>
                <w:szCs w:val="21"/>
                <w:u w:val="none"/>
                <w:lang w:val="en-US" w:eastAsia="zh-CN" w:bidi="ar"/>
              </w:rPr>
              <w:t>+</w:t>
            </w:r>
            <w:r>
              <w:rPr>
                <w:rFonts w:hint="default" w:ascii="Times New Roman" w:hAnsi="Times New Roman" w:eastAsia="宋体" w:cs="Times New Roman"/>
                <w:i w:val="0"/>
                <w:iCs w:val="0"/>
                <w:color w:val="auto"/>
                <w:kern w:val="0"/>
                <w:sz w:val="21"/>
                <w:szCs w:val="21"/>
                <w:u w:val="none"/>
                <w:lang w:val="en-US" w:eastAsia="zh-CN" w:bidi="ar"/>
              </w:rPr>
              <w:t>0.0057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31" w:type="dxa"/>
            <w:vMerge w:val="continue"/>
            <w:vAlign w:val="center"/>
          </w:tcPr>
          <w:p>
            <w:pPr>
              <w:adjustRightInd w:val="0"/>
              <w:snapToGrid w:val="0"/>
              <w:jc w:val="center"/>
              <w:rPr>
                <w:snapToGrid w:val="0"/>
                <w:color w:val="auto"/>
                <w:kern w:val="21"/>
                <w:szCs w:val="21"/>
              </w:rPr>
            </w:pPr>
          </w:p>
        </w:tc>
        <w:tc>
          <w:tcPr>
            <w:tcW w:w="833" w:type="dxa"/>
            <w:vMerge w:val="continue"/>
            <w:vAlign w:val="center"/>
          </w:tcPr>
          <w:p>
            <w:pPr>
              <w:adjustRightInd w:val="0"/>
              <w:snapToGrid w:val="0"/>
              <w:jc w:val="center"/>
              <w:rPr>
                <w:snapToGrid w:val="0"/>
                <w:color w:val="auto"/>
                <w:kern w:val="21"/>
                <w:szCs w:val="21"/>
              </w:rPr>
            </w:pPr>
          </w:p>
        </w:tc>
        <w:tc>
          <w:tcPr>
            <w:tcW w:w="1249" w:type="dxa"/>
            <w:vAlign w:val="center"/>
          </w:tcPr>
          <w:p>
            <w:pPr>
              <w:adjustRightInd w:val="0"/>
              <w:snapToGrid w:val="0"/>
              <w:jc w:val="center"/>
              <w:rPr>
                <w:snapToGrid w:val="0"/>
                <w:color w:val="auto"/>
                <w:kern w:val="21"/>
                <w:szCs w:val="21"/>
              </w:rPr>
            </w:pPr>
            <w:r>
              <w:rPr>
                <w:snapToGrid w:val="0"/>
                <w:color w:val="auto"/>
                <w:kern w:val="21"/>
                <w:szCs w:val="21"/>
              </w:rPr>
              <w:t>总氮</w:t>
            </w:r>
          </w:p>
        </w:tc>
        <w:tc>
          <w:tcPr>
            <w:tcW w:w="1525" w:type="dxa"/>
            <w:vAlign w:val="center"/>
          </w:tcPr>
          <w:p>
            <w:pPr>
              <w:widowControl/>
              <w:jc w:val="center"/>
              <w:textAlignment w:val="center"/>
              <w:rPr>
                <w:snapToGrid w:val="0"/>
                <w:color w:val="auto"/>
                <w:kern w:val="21"/>
                <w:sz w:val="21"/>
                <w:szCs w:val="21"/>
              </w:rPr>
            </w:pPr>
            <w:r>
              <w:rPr>
                <w:color w:val="auto"/>
                <w:kern w:val="0"/>
                <w:sz w:val="21"/>
                <w:szCs w:val="21"/>
                <w:lang w:bidi="ar"/>
              </w:rPr>
              <w:t>0.0067</w:t>
            </w:r>
          </w:p>
        </w:tc>
        <w:tc>
          <w:tcPr>
            <w:tcW w:w="1115" w:type="dxa"/>
            <w:vAlign w:val="center"/>
          </w:tcPr>
          <w:p>
            <w:pPr>
              <w:widowControl/>
              <w:jc w:val="center"/>
              <w:textAlignment w:val="center"/>
              <w:rPr>
                <w:snapToGrid w:val="0"/>
                <w:color w:val="auto"/>
                <w:kern w:val="21"/>
                <w:sz w:val="21"/>
                <w:szCs w:val="21"/>
              </w:rPr>
            </w:pPr>
            <w:r>
              <w:rPr>
                <w:color w:val="auto"/>
                <w:kern w:val="0"/>
                <w:sz w:val="21"/>
                <w:szCs w:val="21"/>
                <w:lang w:bidi="ar"/>
              </w:rPr>
              <w:t>0.0067</w:t>
            </w:r>
          </w:p>
        </w:tc>
        <w:tc>
          <w:tcPr>
            <w:tcW w:w="1568" w:type="dxa"/>
            <w:vAlign w:val="center"/>
          </w:tcPr>
          <w:p>
            <w:pPr>
              <w:adjustRightInd w:val="0"/>
              <w:snapToGrid w:val="0"/>
              <w:jc w:val="center"/>
              <w:rPr>
                <w:snapToGrid w:val="0"/>
                <w:color w:val="auto"/>
                <w:kern w:val="21"/>
                <w:sz w:val="21"/>
                <w:szCs w:val="21"/>
              </w:rPr>
            </w:pPr>
            <w:r>
              <w:rPr>
                <w:snapToGrid w:val="0"/>
                <w:color w:val="auto"/>
                <w:kern w:val="21"/>
                <w:sz w:val="21"/>
                <w:szCs w:val="21"/>
              </w:rPr>
              <w:t>0</w:t>
            </w:r>
          </w:p>
        </w:tc>
        <w:tc>
          <w:tcPr>
            <w:tcW w:w="1568" w:type="dxa"/>
            <w:vAlign w:val="center"/>
          </w:tcPr>
          <w:p>
            <w:pPr>
              <w:keepNext w:val="0"/>
              <w:keepLines w:val="0"/>
              <w:widowControl/>
              <w:suppressLineNumbers w:val="0"/>
              <w:jc w:val="center"/>
              <w:textAlignment w:val="center"/>
              <w:rPr>
                <w:color w:val="auto"/>
                <w:sz w:val="21"/>
                <w:szCs w:val="21"/>
              </w:rPr>
            </w:pPr>
            <w:r>
              <w:rPr>
                <w:rFonts w:hint="eastAsia" w:ascii="Times New Roman" w:hAnsi="Times New Roman" w:eastAsia="宋体" w:cs="Times New Roman"/>
                <w:snapToGrid w:val="0"/>
                <w:color w:val="auto"/>
                <w:kern w:val="0"/>
                <w:sz w:val="21"/>
                <w:szCs w:val="21"/>
                <w:lang w:val="en-US" w:eastAsia="zh-CN" w:bidi="ar-SA"/>
              </w:rPr>
              <w:t>0.0126</w:t>
            </w:r>
          </w:p>
        </w:tc>
        <w:tc>
          <w:tcPr>
            <w:tcW w:w="1426" w:type="dxa"/>
            <w:vAlign w:val="center"/>
          </w:tcPr>
          <w:p>
            <w:pPr>
              <w:widowControl/>
              <w:jc w:val="center"/>
              <w:textAlignment w:val="center"/>
              <w:rPr>
                <w:snapToGrid w:val="0"/>
                <w:color w:val="auto"/>
                <w:kern w:val="21"/>
                <w:sz w:val="21"/>
                <w:szCs w:val="21"/>
              </w:rPr>
            </w:pPr>
            <w:r>
              <w:rPr>
                <w:color w:val="auto"/>
                <w:kern w:val="0"/>
                <w:sz w:val="21"/>
                <w:szCs w:val="21"/>
                <w:lang w:bidi="ar"/>
              </w:rPr>
              <w:t>0.0067</w:t>
            </w:r>
          </w:p>
        </w:tc>
        <w:tc>
          <w:tcPr>
            <w:tcW w:w="1711" w:type="dxa"/>
            <w:vAlign w:val="center"/>
          </w:tcPr>
          <w:p>
            <w:pPr>
              <w:keepNext w:val="0"/>
              <w:keepLines w:val="0"/>
              <w:widowControl/>
              <w:suppressLineNumbers w:val="0"/>
              <w:jc w:val="center"/>
              <w:textAlignment w:val="center"/>
              <w:rPr>
                <w:snapToGrid w:val="0"/>
                <w:color w:val="auto"/>
                <w:kern w:val="21"/>
                <w:sz w:val="21"/>
                <w:szCs w:val="21"/>
              </w:rPr>
            </w:pPr>
            <w:r>
              <w:rPr>
                <w:rFonts w:hint="eastAsia" w:ascii="Times New Roman" w:hAnsi="Times New Roman" w:eastAsia="宋体" w:cs="Times New Roman"/>
                <w:snapToGrid w:val="0"/>
                <w:color w:val="auto"/>
                <w:kern w:val="0"/>
                <w:sz w:val="21"/>
                <w:szCs w:val="21"/>
                <w:lang w:val="en-US" w:eastAsia="zh-CN" w:bidi="ar-SA"/>
              </w:rPr>
              <w:t>0.0126</w:t>
            </w:r>
          </w:p>
        </w:tc>
        <w:tc>
          <w:tcPr>
            <w:tcW w:w="1667" w:type="dxa"/>
            <w:vAlign w:val="center"/>
          </w:tcPr>
          <w:p>
            <w:pPr>
              <w:keepNext w:val="0"/>
              <w:keepLines w:val="0"/>
              <w:widowControl/>
              <w:suppressLineNumbers w:val="0"/>
              <w:jc w:val="center"/>
              <w:textAlignment w:val="center"/>
              <w:rPr>
                <w:color w:val="auto"/>
                <w:sz w:val="21"/>
                <w:szCs w:val="21"/>
              </w:rPr>
            </w:pPr>
            <w:r>
              <w:rPr>
                <w:rFonts w:hint="eastAsia" w:ascii="Times New Roman" w:hAnsi="Times New Roman" w:eastAsia="宋体" w:cs="Times New Roman"/>
                <w:i w:val="0"/>
                <w:iCs w:val="0"/>
                <w:color w:val="auto"/>
                <w:kern w:val="0"/>
                <w:sz w:val="21"/>
                <w:szCs w:val="21"/>
                <w:u w:val="none"/>
                <w:lang w:val="en-US" w:eastAsia="zh-CN" w:bidi="ar"/>
              </w:rPr>
              <w:t>+</w:t>
            </w:r>
            <w:r>
              <w:rPr>
                <w:rFonts w:hint="default" w:ascii="Times New Roman" w:hAnsi="Times New Roman" w:eastAsia="宋体" w:cs="Times New Roman"/>
                <w:i w:val="0"/>
                <w:iCs w:val="0"/>
                <w:color w:val="auto"/>
                <w:kern w:val="0"/>
                <w:sz w:val="21"/>
                <w:szCs w:val="21"/>
                <w:u w:val="none"/>
                <w:lang w:val="en-US" w:eastAsia="zh-CN" w:bidi="ar"/>
              </w:rPr>
              <w:t>0.0059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831" w:type="dxa"/>
            <w:vMerge w:val="continue"/>
            <w:vAlign w:val="center"/>
          </w:tcPr>
          <w:p>
            <w:pPr>
              <w:adjustRightInd w:val="0"/>
              <w:snapToGrid w:val="0"/>
              <w:jc w:val="center"/>
              <w:rPr>
                <w:snapToGrid w:val="0"/>
                <w:color w:val="auto"/>
                <w:kern w:val="21"/>
                <w:szCs w:val="21"/>
              </w:rPr>
            </w:pPr>
          </w:p>
        </w:tc>
        <w:tc>
          <w:tcPr>
            <w:tcW w:w="833" w:type="dxa"/>
            <w:vMerge w:val="continue"/>
            <w:vAlign w:val="center"/>
          </w:tcPr>
          <w:p>
            <w:pPr>
              <w:adjustRightInd w:val="0"/>
              <w:snapToGrid w:val="0"/>
              <w:jc w:val="center"/>
              <w:rPr>
                <w:snapToGrid w:val="0"/>
                <w:color w:val="auto"/>
                <w:kern w:val="21"/>
                <w:szCs w:val="21"/>
              </w:rPr>
            </w:pPr>
          </w:p>
        </w:tc>
        <w:tc>
          <w:tcPr>
            <w:tcW w:w="1249" w:type="dxa"/>
            <w:vAlign w:val="center"/>
          </w:tcPr>
          <w:p>
            <w:pPr>
              <w:adjustRightInd w:val="0"/>
              <w:snapToGrid w:val="0"/>
              <w:jc w:val="center"/>
              <w:rPr>
                <w:snapToGrid w:val="0"/>
                <w:color w:val="auto"/>
                <w:kern w:val="21"/>
                <w:szCs w:val="21"/>
              </w:rPr>
            </w:pPr>
            <w:r>
              <w:rPr>
                <w:snapToGrid w:val="0"/>
                <w:color w:val="auto"/>
                <w:kern w:val="21"/>
                <w:szCs w:val="21"/>
              </w:rPr>
              <w:t>总磷</w:t>
            </w:r>
          </w:p>
        </w:tc>
        <w:tc>
          <w:tcPr>
            <w:tcW w:w="1525" w:type="dxa"/>
            <w:vAlign w:val="center"/>
          </w:tcPr>
          <w:p>
            <w:pPr>
              <w:widowControl/>
              <w:jc w:val="center"/>
              <w:textAlignment w:val="center"/>
              <w:rPr>
                <w:snapToGrid w:val="0"/>
                <w:color w:val="auto"/>
                <w:kern w:val="21"/>
                <w:sz w:val="21"/>
                <w:szCs w:val="21"/>
              </w:rPr>
            </w:pPr>
            <w:r>
              <w:rPr>
                <w:color w:val="auto"/>
                <w:kern w:val="0"/>
                <w:sz w:val="21"/>
                <w:szCs w:val="21"/>
                <w:lang w:bidi="ar"/>
              </w:rPr>
              <w:t>0.0008</w:t>
            </w:r>
          </w:p>
        </w:tc>
        <w:tc>
          <w:tcPr>
            <w:tcW w:w="1115" w:type="dxa"/>
            <w:vAlign w:val="center"/>
          </w:tcPr>
          <w:p>
            <w:pPr>
              <w:widowControl/>
              <w:jc w:val="center"/>
              <w:textAlignment w:val="center"/>
              <w:rPr>
                <w:snapToGrid w:val="0"/>
                <w:color w:val="auto"/>
                <w:kern w:val="21"/>
                <w:sz w:val="21"/>
                <w:szCs w:val="21"/>
              </w:rPr>
            </w:pPr>
            <w:r>
              <w:rPr>
                <w:color w:val="auto"/>
                <w:kern w:val="0"/>
                <w:sz w:val="21"/>
                <w:szCs w:val="21"/>
                <w:lang w:bidi="ar"/>
              </w:rPr>
              <w:t>0.0008</w:t>
            </w:r>
          </w:p>
        </w:tc>
        <w:tc>
          <w:tcPr>
            <w:tcW w:w="1568" w:type="dxa"/>
            <w:vAlign w:val="center"/>
          </w:tcPr>
          <w:p>
            <w:pPr>
              <w:adjustRightInd w:val="0"/>
              <w:snapToGrid w:val="0"/>
              <w:jc w:val="center"/>
              <w:rPr>
                <w:snapToGrid w:val="0"/>
                <w:color w:val="auto"/>
                <w:kern w:val="21"/>
                <w:sz w:val="21"/>
                <w:szCs w:val="21"/>
              </w:rPr>
            </w:pPr>
            <w:r>
              <w:rPr>
                <w:snapToGrid w:val="0"/>
                <w:color w:val="auto"/>
                <w:kern w:val="21"/>
                <w:sz w:val="21"/>
                <w:szCs w:val="21"/>
              </w:rPr>
              <w:t>0</w:t>
            </w:r>
          </w:p>
        </w:tc>
        <w:tc>
          <w:tcPr>
            <w:tcW w:w="1568" w:type="dxa"/>
            <w:vAlign w:val="center"/>
          </w:tcPr>
          <w:p>
            <w:pPr>
              <w:keepNext w:val="0"/>
              <w:keepLines w:val="0"/>
              <w:widowControl/>
              <w:suppressLineNumbers w:val="0"/>
              <w:jc w:val="center"/>
              <w:textAlignment w:val="center"/>
              <w:rPr>
                <w:color w:val="auto"/>
                <w:sz w:val="21"/>
                <w:szCs w:val="21"/>
              </w:rPr>
            </w:pPr>
            <w:r>
              <w:rPr>
                <w:rFonts w:hint="eastAsia" w:ascii="Times New Roman" w:hAnsi="Times New Roman" w:eastAsia="宋体" w:cs="Times New Roman"/>
                <w:snapToGrid w:val="0"/>
                <w:color w:val="auto"/>
                <w:kern w:val="0"/>
                <w:sz w:val="21"/>
                <w:szCs w:val="21"/>
                <w:lang w:val="en-US" w:eastAsia="zh-CN" w:bidi="ar-SA"/>
              </w:rPr>
              <w:t>0.0013</w:t>
            </w:r>
          </w:p>
        </w:tc>
        <w:tc>
          <w:tcPr>
            <w:tcW w:w="1426" w:type="dxa"/>
            <w:vAlign w:val="center"/>
          </w:tcPr>
          <w:p>
            <w:pPr>
              <w:widowControl/>
              <w:jc w:val="center"/>
              <w:textAlignment w:val="center"/>
              <w:rPr>
                <w:snapToGrid w:val="0"/>
                <w:color w:val="auto"/>
                <w:kern w:val="21"/>
                <w:sz w:val="21"/>
                <w:szCs w:val="21"/>
              </w:rPr>
            </w:pPr>
            <w:r>
              <w:rPr>
                <w:color w:val="auto"/>
                <w:kern w:val="0"/>
                <w:sz w:val="21"/>
                <w:szCs w:val="21"/>
                <w:lang w:bidi="ar"/>
              </w:rPr>
              <w:t>0.0008</w:t>
            </w:r>
          </w:p>
        </w:tc>
        <w:tc>
          <w:tcPr>
            <w:tcW w:w="1711" w:type="dxa"/>
            <w:vAlign w:val="center"/>
          </w:tcPr>
          <w:p>
            <w:pPr>
              <w:keepNext w:val="0"/>
              <w:keepLines w:val="0"/>
              <w:widowControl/>
              <w:suppressLineNumbers w:val="0"/>
              <w:jc w:val="center"/>
              <w:textAlignment w:val="center"/>
              <w:rPr>
                <w:snapToGrid w:val="0"/>
                <w:color w:val="auto"/>
                <w:kern w:val="21"/>
                <w:sz w:val="21"/>
                <w:szCs w:val="21"/>
              </w:rPr>
            </w:pPr>
            <w:r>
              <w:rPr>
                <w:rFonts w:hint="eastAsia" w:ascii="Times New Roman" w:hAnsi="Times New Roman" w:eastAsia="宋体" w:cs="Times New Roman"/>
                <w:snapToGrid w:val="0"/>
                <w:color w:val="auto"/>
                <w:kern w:val="0"/>
                <w:sz w:val="21"/>
                <w:szCs w:val="21"/>
                <w:lang w:val="en-US" w:eastAsia="zh-CN" w:bidi="ar-SA"/>
              </w:rPr>
              <w:t>0.0013</w:t>
            </w:r>
          </w:p>
        </w:tc>
        <w:tc>
          <w:tcPr>
            <w:tcW w:w="1667" w:type="dxa"/>
            <w:vAlign w:val="center"/>
          </w:tcPr>
          <w:p>
            <w:pPr>
              <w:keepNext w:val="0"/>
              <w:keepLines w:val="0"/>
              <w:widowControl/>
              <w:suppressLineNumbers w:val="0"/>
              <w:jc w:val="center"/>
              <w:textAlignment w:val="center"/>
              <w:rPr>
                <w:color w:val="auto"/>
                <w:sz w:val="21"/>
                <w:szCs w:val="21"/>
              </w:rPr>
            </w:pPr>
            <w:r>
              <w:rPr>
                <w:rFonts w:hint="eastAsia" w:ascii="Times New Roman" w:hAnsi="Times New Roman" w:eastAsia="宋体" w:cs="Times New Roman"/>
                <w:i w:val="0"/>
                <w:iCs w:val="0"/>
                <w:color w:val="auto"/>
                <w:kern w:val="0"/>
                <w:sz w:val="21"/>
                <w:szCs w:val="21"/>
                <w:u w:val="none"/>
                <w:lang w:val="en-US" w:eastAsia="zh-CN" w:bidi="ar"/>
              </w:rPr>
              <w:t>+</w:t>
            </w:r>
            <w:r>
              <w:rPr>
                <w:rFonts w:hint="default" w:ascii="Times New Roman" w:hAnsi="Times New Roman" w:eastAsia="宋体" w:cs="Times New Roman"/>
                <w:i w:val="0"/>
                <w:iCs w:val="0"/>
                <w:color w:val="auto"/>
                <w:kern w:val="0"/>
                <w:sz w:val="21"/>
                <w:szCs w:val="21"/>
                <w:u w:val="none"/>
                <w:lang w:val="en-US" w:eastAsia="zh-CN" w:bidi="ar"/>
              </w:rPr>
              <w:t>0.0005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restart"/>
            <w:vAlign w:val="center"/>
          </w:tcPr>
          <w:p>
            <w:pPr>
              <w:adjustRightInd w:val="0"/>
              <w:snapToGrid w:val="0"/>
              <w:jc w:val="center"/>
              <w:rPr>
                <w:snapToGrid w:val="0"/>
                <w:color w:val="auto"/>
                <w:kern w:val="21"/>
                <w:szCs w:val="21"/>
              </w:rPr>
            </w:pPr>
            <w:r>
              <w:rPr>
                <w:snapToGrid w:val="0"/>
                <w:color w:val="auto"/>
                <w:kern w:val="21"/>
                <w:szCs w:val="21"/>
              </w:rPr>
              <w:t>一般工业</w:t>
            </w:r>
          </w:p>
          <w:p>
            <w:pPr>
              <w:adjustRightInd w:val="0"/>
              <w:snapToGrid w:val="0"/>
              <w:jc w:val="center"/>
              <w:rPr>
                <w:snapToGrid w:val="0"/>
                <w:color w:val="auto"/>
                <w:kern w:val="21"/>
                <w:szCs w:val="21"/>
              </w:rPr>
            </w:pPr>
            <w:r>
              <w:rPr>
                <w:snapToGrid w:val="0"/>
                <w:color w:val="auto"/>
                <w:kern w:val="21"/>
                <w:szCs w:val="21"/>
              </w:rPr>
              <w:t>固体废物</w:t>
            </w:r>
          </w:p>
        </w:tc>
        <w:tc>
          <w:tcPr>
            <w:tcW w:w="1249" w:type="dxa"/>
            <w:vAlign w:val="center"/>
          </w:tcPr>
          <w:p>
            <w:pPr>
              <w:pStyle w:val="87"/>
              <w:adjustRightInd w:val="0"/>
              <w:snapToGrid w:val="0"/>
              <w:spacing w:line="240" w:lineRule="auto"/>
              <w:rPr>
                <w:snapToGrid w:val="0"/>
                <w:color w:val="auto"/>
                <w:kern w:val="21"/>
              </w:rPr>
            </w:pPr>
            <w:r>
              <w:rPr>
                <w:rFonts w:hint="eastAsia"/>
                <w:color w:val="auto"/>
                <w:sz w:val="18"/>
                <w:szCs w:val="18"/>
              </w:rPr>
              <w:t>废边角料</w:t>
            </w:r>
          </w:p>
        </w:tc>
        <w:tc>
          <w:tcPr>
            <w:tcW w:w="1525" w:type="dxa"/>
            <w:vAlign w:val="center"/>
          </w:tcPr>
          <w:p>
            <w:pPr>
              <w:adjustRightInd w:val="0"/>
              <w:snapToGrid w:val="0"/>
              <w:jc w:val="center"/>
              <w:rPr>
                <w:snapToGrid w:val="0"/>
                <w:color w:val="auto"/>
                <w:kern w:val="21"/>
                <w:szCs w:val="21"/>
              </w:rPr>
            </w:pPr>
            <w:r>
              <w:rPr>
                <w:snapToGrid w:val="0"/>
                <w:color w:val="auto"/>
                <w:kern w:val="21"/>
                <w:szCs w:val="21"/>
              </w:rPr>
              <w:t>9</w:t>
            </w:r>
          </w:p>
        </w:tc>
        <w:tc>
          <w:tcPr>
            <w:tcW w:w="1115"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8.3</w:t>
            </w:r>
          </w:p>
        </w:tc>
        <w:tc>
          <w:tcPr>
            <w:tcW w:w="1426" w:type="dxa"/>
            <w:vAlign w:val="center"/>
          </w:tcPr>
          <w:p>
            <w:pPr>
              <w:adjustRightInd w:val="0"/>
              <w:snapToGrid w:val="0"/>
              <w:jc w:val="center"/>
              <w:rPr>
                <w:snapToGrid w:val="0"/>
                <w:color w:val="auto"/>
                <w:kern w:val="21"/>
                <w:szCs w:val="21"/>
              </w:rPr>
            </w:pPr>
            <w:r>
              <w:rPr>
                <w:snapToGrid w:val="0"/>
                <w:color w:val="auto"/>
                <w:kern w:val="21"/>
                <w:szCs w:val="21"/>
              </w:rPr>
              <w:t>9</w:t>
            </w:r>
          </w:p>
        </w:tc>
        <w:tc>
          <w:tcPr>
            <w:tcW w:w="1711" w:type="dxa"/>
            <w:vAlign w:val="center"/>
          </w:tcPr>
          <w:p>
            <w:pPr>
              <w:adjustRightInd w:val="0"/>
              <w:snapToGrid w:val="0"/>
              <w:jc w:val="center"/>
              <w:rPr>
                <w:snapToGrid w:val="0"/>
                <w:color w:val="auto"/>
                <w:kern w:val="21"/>
                <w:szCs w:val="21"/>
              </w:rPr>
            </w:pPr>
            <w:r>
              <w:rPr>
                <w:snapToGrid w:val="0"/>
                <w:color w:val="auto"/>
                <w:kern w:val="21"/>
                <w:szCs w:val="21"/>
              </w:rPr>
              <w:t>8.3</w:t>
            </w:r>
          </w:p>
        </w:tc>
        <w:tc>
          <w:tcPr>
            <w:tcW w:w="1667" w:type="dxa"/>
            <w:vAlign w:val="center"/>
          </w:tcPr>
          <w:p>
            <w:pPr>
              <w:widowControl/>
              <w:jc w:val="center"/>
              <w:textAlignment w:val="center"/>
              <w:rPr>
                <w:snapToGrid w:val="0"/>
                <w:color w:val="auto"/>
                <w:kern w:val="21"/>
                <w:szCs w:val="21"/>
              </w:rPr>
            </w:pPr>
            <w:r>
              <w:rPr>
                <w:color w:val="auto"/>
                <w:kern w:val="0"/>
                <w:szCs w:val="21"/>
                <w:lang w:bidi="ar"/>
              </w:rPr>
              <w:t>-0.7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continue"/>
            <w:vAlign w:val="center"/>
          </w:tcPr>
          <w:p>
            <w:pPr>
              <w:adjustRightInd w:val="0"/>
              <w:snapToGrid w:val="0"/>
              <w:jc w:val="center"/>
              <w:rPr>
                <w:snapToGrid w:val="0"/>
                <w:color w:val="auto"/>
                <w:kern w:val="21"/>
                <w:szCs w:val="21"/>
              </w:rPr>
            </w:pPr>
          </w:p>
        </w:tc>
        <w:tc>
          <w:tcPr>
            <w:tcW w:w="1249" w:type="dxa"/>
            <w:vAlign w:val="center"/>
          </w:tcPr>
          <w:p>
            <w:pPr>
              <w:pStyle w:val="87"/>
              <w:adjustRightInd w:val="0"/>
              <w:snapToGrid w:val="0"/>
              <w:spacing w:line="240" w:lineRule="auto"/>
              <w:rPr>
                <w:snapToGrid w:val="0"/>
                <w:color w:val="auto"/>
                <w:kern w:val="21"/>
              </w:rPr>
            </w:pPr>
            <w:r>
              <w:rPr>
                <w:rFonts w:hint="eastAsia"/>
                <w:color w:val="auto"/>
                <w:sz w:val="18"/>
                <w:szCs w:val="18"/>
              </w:rPr>
              <w:t>不合格品</w:t>
            </w:r>
          </w:p>
        </w:tc>
        <w:tc>
          <w:tcPr>
            <w:tcW w:w="1525" w:type="dxa"/>
            <w:vAlign w:val="center"/>
          </w:tcPr>
          <w:p>
            <w:pPr>
              <w:adjustRightInd w:val="0"/>
              <w:snapToGrid w:val="0"/>
              <w:jc w:val="center"/>
              <w:rPr>
                <w:snapToGrid w:val="0"/>
                <w:color w:val="auto"/>
                <w:kern w:val="21"/>
                <w:szCs w:val="21"/>
              </w:rPr>
            </w:pPr>
            <w:r>
              <w:rPr>
                <w:snapToGrid w:val="0"/>
                <w:color w:val="auto"/>
                <w:kern w:val="21"/>
                <w:szCs w:val="21"/>
              </w:rPr>
              <w:t>10</w:t>
            </w:r>
          </w:p>
        </w:tc>
        <w:tc>
          <w:tcPr>
            <w:tcW w:w="1115"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2.2</w:t>
            </w:r>
          </w:p>
        </w:tc>
        <w:tc>
          <w:tcPr>
            <w:tcW w:w="1426" w:type="dxa"/>
            <w:vAlign w:val="center"/>
          </w:tcPr>
          <w:p>
            <w:pPr>
              <w:adjustRightInd w:val="0"/>
              <w:snapToGrid w:val="0"/>
              <w:jc w:val="center"/>
              <w:rPr>
                <w:snapToGrid w:val="0"/>
                <w:color w:val="auto"/>
                <w:kern w:val="21"/>
                <w:szCs w:val="21"/>
              </w:rPr>
            </w:pPr>
            <w:r>
              <w:rPr>
                <w:snapToGrid w:val="0"/>
                <w:color w:val="auto"/>
                <w:kern w:val="21"/>
                <w:szCs w:val="21"/>
              </w:rPr>
              <w:t>10</w:t>
            </w:r>
          </w:p>
        </w:tc>
        <w:tc>
          <w:tcPr>
            <w:tcW w:w="1711" w:type="dxa"/>
            <w:vAlign w:val="center"/>
          </w:tcPr>
          <w:p>
            <w:pPr>
              <w:adjustRightInd w:val="0"/>
              <w:snapToGrid w:val="0"/>
              <w:jc w:val="center"/>
              <w:rPr>
                <w:snapToGrid w:val="0"/>
                <w:color w:val="auto"/>
                <w:kern w:val="21"/>
                <w:szCs w:val="21"/>
              </w:rPr>
            </w:pPr>
            <w:r>
              <w:rPr>
                <w:snapToGrid w:val="0"/>
                <w:color w:val="auto"/>
                <w:kern w:val="21"/>
                <w:szCs w:val="21"/>
              </w:rPr>
              <w:t>2.2</w:t>
            </w:r>
          </w:p>
        </w:tc>
        <w:tc>
          <w:tcPr>
            <w:tcW w:w="1667" w:type="dxa"/>
            <w:vAlign w:val="center"/>
          </w:tcPr>
          <w:p>
            <w:pPr>
              <w:widowControl/>
              <w:jc w:val="center"/>
              <w:textAlignment w:val="center"/>
              <w:rPr>
                <w:snapToGrid w:val="0"/>
                <w:color w:val="auto"/>
                <w:kern w:val="21"/>
                <w:szCs w:val="21"/>
              </w:rPr>
            </w:pPr>
            <w:r>
              <w:rPr>
                <w:color w:val="auto"/>
                <w:kern w:val="0"/>
                <w:szCs w:val="21"/>
                <w:lang w:bidi="ar"/>
              </w:rPr>
              <w:t>-7.8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continue"/>
            <w:vAlign w:val="center"/>
          </w:tcPr>
          <w:p>
            <w:pPr>
              <w:adjustRightInd w:val="0"/>
              <w:snapToGrid w:val="0"/>
              <w:jc w:val="center"/>
              <w:rPr>
                <w:snapToGrid w:val="0"/>
                <w:color w:val="auto"/>
                <w:kern w:val="21"/>
                <w:szCs w:val="21"/>
              </w:rPr>
            </w:pPr>
          </w:p>
        </w:tc>
        <w:tc>
          <w:tcPr>
            <w:tcW w:w="1249" w:type="dxa"/>
            <w:vAlign w:val="center"/>
          </w:tcPr>
          <w:p>
            <w:pPr>
              <w:adjustRightInd w:val="0"/>
              <w:snapToGrid w:val="0"/>
              <w:jc w:val="center"/>
              <w:rPr>
                <w:snapToGrid w:val="0"/>
                <w:color w:val="auto"/>
                <w:kern w:val="21"/>
                <w:szCs w:val="21"/>
              </w:rPr>
            </w:pPr>
            <w:r>
              <w:rPr>
                <w:color w:val="auto"/>
                <w:szCs w:val="21"/>
              </w:rPr>
              <w:t>废</w:t>
            </w:r>
            <w:r>
              <w:rPr>
                <w:rFonts w:hint="eastAsia"/>
                <w:color w:val="auto"/>
                <w:szCs w:val="21"/>
              </w:rPr>
              <w:t>包装材料</w:t>
            </w:r>
          </w:p>
        </w:tc>
        <w:tc>
          <w:tcPr>
            <w:tcW w:w="1525"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115"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3</w:t>
            </w:r>
          </w:p>
        </w:tc>
        <w:tc>
          <w:tcPr>
            <w:tcW w:w="1426"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711" w:type="dxa"/>
            <w:vAlign w:val="center"/>
          </w:tcPr>
          <w:p>
            <w:pPr>
              <w:adjustRightInd w:val="0"/>
              <w:snapToGrid w:val="0"/>
              <w:jc w:val="center"/>
              <w:rPr>
                <w:snapToGrid w:val="0"/>
                <w:color w:val="auto"/>
                <w:kern w:val="21"/>
                <w:szCs w:val="21"/>
              </w:rPr>
            </w:pPr>
            <w:r>
              <w:rPr>
                <w:snapToGrid w:val="0"/>
                <w:color w:val="auto"/>
                <w:kern w:val="21"/>
                <w:szCs w:val="21"/>
              </w:rPr>
              <w:t>3</w:t>
            </w:r>
          </w:p>
        </w:tc>
        <w:tc>
          <w:tcPr>
            <w:tcW w:w="1667" w:type="dxa"/>
            <w:vAlign w:val="center"/>
          </w:tcPr>
          <w:p>
            <w:pPr>
              <w:widowControl/>
              <w:jc w:val="center"/>
              <w:textAlignment w:val="center"/>
              <w:rPr>
                <w:snapToGrid w:val="0"/>
                <w:color w:val="auto"/>
                <w:kern w:val="21"/>
                <w:szCs w:val="21"/>
              </w:rPr>
            </w:pPr>
            <w:r>
              <w:rPr>
                <w:color w:val="auto"/>
                <w:kern w:val="0"/>
                <w:szCs w:val="21"/>
                <w:lang w:bidi="ar"/>
              </w:rPr>
              <w:t>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continue"/>
            <w:vAlign w:val="center"/>
          </w:tcPr>
          <w:p>
            <w:pPr>
              <w:adjustRightInd w:val="0"/>
              <w:snapToGrid w:val="0"/>
              <w:jc w:val="center"/>
              <w:rPr>
                <w:snapToGrid w:val="0"/>
                <w:color w:val="auto"/>
                <w:kern w:val="21"/>
                <w:szCs w:val="21"/>
              </w:rPr>
            </w:pPr>
          </w:p>
        </w:tc>
        <w:tc>
          <w:tcPr>
            <w:tcW w:w="1249" w:type="dxa"/>
            <w:vAlign w:val="center"/>
          </w:tcPr>
          <w:p>
            <w:pPr>
              <w:widowControl/>
              <w:adjustRightInd w:val="0"/>
              <w:snapToGrid w:val="0"/>
              <w:jc w:val="center"/>
              <w:rPr>
                <w:color w:val="auto"/>
                <w:kern w:val="0"/>
                <w:szCs w:val="21"/>
              </w:rPr>
            </w:pPr>
            <w:r>
              <w:rPr>
                <w:color w:val="auto"/>
                <w:szCs w:val="21"/>
              </w:rPr>
              <w:t>生活垃圾</w:t>
            </w:r>
          </w:p>
        </w:tc>
        <w:tc>
          <w:tcPr>
            <w:tcW w:w="1525" w:type="dxa"/>
            <w:vAlign w:val="center"/>
          </w:tcPr>
          <w:p>
            <w:pPr>
              <w:adjustRightInd w:val="0"/>
              <w:snapToGrid w:val="0"/>
              <w:jc w:val="center"/>
              <w:rPr>
                <w:snapToGrid w:val="0"/>
                <w:color w:val="auto"/>
                <w:kern w:val="21"/>
                <w:szCs w:val="21"/>
              </w:rPr>
            </w:pPr>
            <w:r>
              <w:rPr>
                <w:snapToGrid w:val="0"/>
                <w:color w:val="auto"/>
                <w:kern w:val="21"/>
                <w:szCs w:val="21"/>
              </w:rPr>
              <w:t>2.25</w:t>
            </w:r>
          </w:p>
        </w:tc>
        <w:tc>
          <w:tcPr>
            <w:tcW w:w="1115"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widowControl/>
              <w:adjustRightInd w:val="0"/>
              <w:snapToGrid w:val="0"/>
              <w:jc w:val="center"/>
              <w:rPr>
                <w:color w:val="auto"/>
                <w:kern w:val="0"/>
                <w:szCs w:val="21"/>
              </w:rPr>
            </w:pPr>
            <w:r>
              <w:rPr>
                <w:color w:val="auto"/>
                <w:kern w:val="0"/>
                <w:szCs w:val="21"/>
              </w:rPr>
              <w:t>3</w:t>
            </w:r>
          </w:p>
        </w:tc>
        <w:tc>
          <w:tcPr>
            <w:tcW w:w="1426"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711" w:type="dxa"/>
            <w:vAlign w:val="center"/>
          </w:tcPr>
          <w:p>
            <w:pPr>
              <w:adjustRightInd w:val="0"/>
              <w:snapToGrid w:val="0"/>
              <w:jc w:val="center"/>
              <w:rPr>
                <w:snapToGrid w:val="0"/>
                <w:color w:val="auto"/>
                <w:kern w:val="21"/>
                <w:szCs w:val="21"/>
              </w:rPr>
            </w:pPr>
            <w:r>
              <w:rPr>
                <w:snapToGrid w:val="0"/>
                <w:color w:val="auto"/>
                <w:kern w:val="21"/>
                <w:szCs w:val="21"/>
              </w:rPr>
              <w:t>5.25</w:t>
            </w:r>
          </w:p>
        </w:tc>
        <w:tc>
          <w:tcPr>
            <w:tcW w:w="1667" w:type="dxa"/>
            <w:vAlign w:val="center"/>
          </w:tcPr>
          <w:p>
            <w:pPr>
              <w:widowControl/>
              <w:jc w:val="center"/>
              <w:textAlignment w:val="center"/>
              <w:rPr>
                <w:snapToGrid w:val="0"/>
                <w:color w:val="auto"/>
                <w:kern w:val="21"/>
                <w:szCs w:val="21"/>
              </w:rPr>
            </w:pPr>
            <w:r>
              <w:rPr>
                <w:color w:val="auto"/>
                <w:kern w:val="0"/>
                <w:szCs w:val="21"/>
                <w:lang w:bidi="ar"/>
              </w:rPr>
              <w:t>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continue"/>
            <w:vAlign w:val="center"/>
          </w:tcPr>
          <w:p>
            <w:pPr>
              <w:adjustRightInd w:val="0"/>
              <w:snapToGrid w:val="0"/>
              <w:jc w:val="center"/>
              <w:rPr>
                <w:snapToGrid w:val="0"/>
                <w:color w:val="auto"/>
                <w:kern w:val="21"/>
                <w:szCs w:val="21"/>
              </w:rPr>
            </w:pPr>
          </w:p>
        </w:tc>
        <w:tc>
          <w:tcPr>
            <w:tcW w:w="1249" w:type="dxa"/>
            <w:vAlign w:val="center"/>
          </w:tcPr>
          <w:p>
            <w:pPr>
              <w:widowControl/>
              <w:adjustRightInd w:val="0"/>
              <w:snapToGrid w:val="0"/>
              <w:jc w:val="center"/>
              <w:rPr>
                <w:color w:val="auto"/>
                <w:szCs w:val="21"/>
              </w:rPr>
            </w:pPr>
            <w:r>
              <w:rPr>
                <w:rFonts w:hint="eastAsia"/>
                <w:color w:val="auto"/>
                <w:szCs w:val="21"/>
              </w:rPr>
              <w:t>除尘灰</w:t>
            </w:r>
          </w:p>
        </w:tc>
        <w:tc>
          <w:tcPr>
            <w:tcW w:w="1525" w:type="dxa"/>
            <w:vAlign w:val="center"/>
          </w:tcPr>
          <w:p>
            <w:pPr>
              <w:adjustRightInd w:val="0"/>
              <w:snapToGrid w:val="0"/>
              <w:jc w:val="center"/>
              <w:rPr>
                <w:snapToGrid w:val="0"/>
                <w:color w:val="auto"/>
                <w:kern w:val="21"/>
                <w:szCs w:val="21"/>
              </w:rPr>
            </w:pPr>
            <w:r>
              <w:rPr>
                <w:rFonts w:hint="eastAsia"/>
                <w:snapToGrid w:val="0"/>
                <w:color w:val="auto"/>
                <w:kern w:val="21"/>
                <w:szCs w:val="21"/>
              </w:rPr>
              <w:t>0</w:t>
            </w:r>
          </w:p>
        </w:tc>
        <w:tc>
          <w:tcPr>
            <w:tcW w:w="1115" w:type="dxa"/>
            <w:vAlign w:val="center"/>
          </w:tcPr>
          <w:p>
            <w:pPr>
              <w:adjustRightInd w:val="0"/>
              <w:snapToGrid w:val="0"/>
              <w:jc w:val="center"/>
              <w:rPr>
                <w:snapToGrid w:val="0"/>
                <w:color w:val="auto"/>
                <w:kern w:val="21"/>
                <w:szCs w:val="21"/>
              </w:rPr>
            </w:pPr>
            <w:r>
              <w:rPr>
                <w:rFonts w:hint="eastAsia"/>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rFonts w:hint="eastAsia"/>
                <w:snapToGrid w:val="0"/>
                <w:color w:val="auto"/>
                <w:kern w:val="21"/>
                <w:szCs w:val="21"/>
              </w:rPr>
              <w:t>0</w:t>
            </w:r>
          </w:p>
        </w:tc>
        <w:tc>
          <w:tcPr>
            <w:tcW w:w="1568" w:type="dxa"/>
            <w:vAlign w:val="center"/>
          </w:tcPr>
          <w:p>
            <w:pPr>
              <w:widowControl/>
              <w:adjustRightInd w:val="0"/>
              <w:snapToGrid w:val="0"/>
              <w:jc w:val="center"/>
              <w:rPr>
                <w:color w:val="auto"/>
                <w:kern w:val="0"/>
                <w:szCs w:val="21"/>
              </w:rPr>
            </w:pPr>
            <w:r>
              <w:rPr>
                <w:rFonts w:hint="eastAsia"/>
                <w:color w:val="auto"/>
                <w:kern w:val="0"/>
                <w:szCs w:val="21"/>
              </w:rPr>
              <w:t>0.0742</w:t>
            </w:r>
          </w:p>
        </w:tc>
        <w:tc>
          <w:tcPr>
            <w:tcW w:w="1426" w:type="dxa"/>
            <w:vAlign w:val="center"/>
          </w:tcPr>
          <w:p>
            <w:pPr>
              <w:adjustRightInd w:val="0"/>
              <w:snapToGrid w:val="0"/>
              <w:jc w:val="center"/>
              <w:rPr>
                <w:snapToGrid w:val="0"/>
                <w:color w:val="auto"/>
                <w:kern w:val="21"/>
                <w:szCs w:val="21"/>
              </w:rPr>
            </w:pPr>
            <w:r>
              <w:rPr>
                <w:rFonts w:hint="eastAsia"/>
                <w:snapToGrid w:val="0"/>
                <w:color w:val="auto"/>
                <w:kern w:val="21"/>
                <w:szCs w:val="21"/>
              </w:rPr>
              <w:t>0</w:t>
            </w:r>
          </w:p>
        </w:tc>
        <w:tc>
          <w:tcPr>
            <w:tcW w:w="1711" w:type="dxa"/>
            <w:vAlign w:val="center"/>
          </w:tcPr>
          <w:p>
            <w:pPr>
              <w:adjustRightInd w:val="0"/>
              <w:snapToGrid w:val="0"/>
              <w:jc w:val="center"/>
              <w:rPr>
                <w:snapToGrid w:val="0"/>
                <w:color w:val="auto"/>
                <w:kern w:val="21"/>
                <w:szCs w:val="21"/>
              </w:rPr>
            </w:pPr>
            <w:r>
              <w:rPr>
                <w:rFonts w:hint="eastAsia"/>
                <w:color w:val="auto"/>
                <w:kern w:val="0"/>
                <w:szCs w:val="21"/>
              </w:rPr>
              <w:t>0.0742</w:t>
            </w:r>
          </w:p>
        </w:tc>
        <w:tc>
          <w:tcPr>
            <w:tcW w:w="1667" w:type="dxa"/>
            <w:vAlign w:val="center"/>
          </w:tcPr>
          <w:p>
            <w:pPr>
              <w:widowControl/>
              <w:jc w:val="center"/>
              <w:textAlignment w:val="center"/>
              <w:rPr>
                <w:color w:val="auto"/>
                <w:kern w:val="0"/>
                <w:szCs w:val="21"/>
                <w:lang w:bidi="ar"/>
              </w:rPr>
            </w:pPr>
            <w:r>
              <w:rPr>
                <w:rFonts w:hint="eastAsia"/>
                <w:color w:val="auto"/>
                <w:kern w:val="0"/>
                <w:szCs w:val="21"/>
              </w:rPr>
              <w:t>+0.0742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continue"/>
            <w:vAlign w:val="center"/>
          </w:tcPr>
          <w:p>
            <w:pPr>
              <w:adjustRightInd w:val="0"/>
              <w:snapToGrid w:val="0"/>
              <w:jc w:val="center"/>
              <w:rPr>
                <w:snapToGrid w:val="0"/>
                <w:color w:val="auto"/>
                <w:kern w:val="21"/>
                <w:szCs w:val="21"/>
              </w:rPr>
            </w:pPr>
          </w:p>
        </w:tc>
        <w:tc>
          <w:tcPr>
            <w:tcW w:w="1249" w:type="dxa"/>
            <w:vAlign w:val="center"/>
          </w:tcPr>
          <w:p>
            <w:pPr>
              <w:widowControl/>
              <w:adjustRightInd w:val="0"/>
              <w:snapToGrid w:val="0"/>
              <w:jc w:val="center"/>
              <w:rPr>
                <w:color w:val="auto"/>
                <w:szCs w:val="21"/>
              </w:rPr>
            </w:pPr>
            <w:r>
              <w:rPr>
                <w:rFonts w:hint="eastAsia"/>
                <w:color w:val="auto"/>
                <w:szCs w:val="21"/>
              </w:rPr>
              <w:t>废旧布袋</w:t>
            </w:r>
          </w:p>
        </w:tc>
        <w:tc>
          <w:tcPr>
            <w:tcW w:w="1525" w:type="dxa"/>
            <w:vAlign w:val="center"/>
          </w:tcPr>
          <w:p>
            <w:pPr>
              <w:adjustRightInd w:val="0"/>
              <w:snapToGrid w:val="0"/>
              <w:jc w:val="center"/>
              <w:rPr>
                <w:snapToGrid w:val="0"/>
                <w:color w:val="auto"/>
                <w:kern w:val="21"/>
                <w:szCs w:val="21"/>
              </w:rPr>
            </w:pPr>
            <w:r>
              <w:rPr>
                <w:rFonts w:hint="eastAsia"/>
                <w:snapToGrid w:val="0"/>
                <w:color w:val="auto"/>
                <w:kern w:val="21"/>
                <w:szCs w:val="21"/>
              </w:rPr>
              <w:t>0</w:t>
            </w:r>
          </w:p>
        </w:tc>
        <w:tc>
          <w:tcPr>
            <w:tcW w:w="1115" w:type="dxa"/>
            <w:vAlign w:val="center"/>
          </w:tcPr>
          <w:p>
            <w:pPr>
              <w:adjustRightInd w:val="0"/>
              <w:snapToGrid w:val="0"/>
              <w:jc w:val="center"/>
              <w:rPr>
                <w:snapToGrid w:val="0"/>
                <w:color w:val="auto"/>
                <w:kern w:val="21"/>
                <w:szCs w:val="21"/>
              </w:rPr>
            </w:pPr>
            <w:r>
              <w:rPr>
                <w:rFonts w:hint="eastAsia"/>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rFonts w:hint="eastAsia"/>
                <w:snapToGrid w:val="0"/>
                <w:color w:val="auto"/>
                <w:kern w:val="21"/>
                <w:szCs w:val="21"/>
              </w:rPr>
              <w:t>0</w:t>
            </w:r>
          </w:p>
        </w:tc>
        <w:tc>
          <w:tcPr>
            <w:tcW w:w="1568" w:type="dxa"/>
            <w:vAlign w:val="center"/>
          </w:tcPr>
          <w:p>
            <w:pPr>
              <w:widowControl/>
              <w:adjustRightInd w:val="0"/>
              <w:snapToGrid w:val="0"/>
              <w:jc w:val="center"/>
              <w:rPr>
                <w:color w:val="auto"/>
                <w:kern w:val="0"/>
                <w:szCs w:val="21"/>
              </w:rPr>
            </w:pPr>
            <w:r>
              <w:rPr>
                <w:rFonts w:hint="eastAsia"/>
                <w:color w:val="auto"/>
                <w:kern w:val="0"/>
                <w:szCs w:val="21"/>
              </w:rPr>
              <w:t>0.02</w:t>
            </w:r>
          </w:p>
        </w:tc>
        <w:tc>
          <w:tcPr>
            <w:tcW w:w="1426" w:type="dxa"/>
            <w:vAlign w:val="center"/>
          </w:tcPr>
          <w:p>
            <w:pPr>
              <w:adjustRightInd w:val="0"/>
              <w:snapToGrid w:val="0"/>
              <w:jc w:val="center"/>
              <w:rPr>
                <w:snapToGrid w:val="0"/>
                <w:color w:val="auto"/>
                <w:kern w:val="21"/>
                <w:szCs w:val="21"/>
              </w:rPr>
            </w:pPr>
            <w:r>
              <w:rPr>
                <w:rFonts w:hint="eastAsia"/>
                <w:snapToGrid w:val="0"/>
                <w:color w:val="auto"/>
                <w:kern w:val="21"/>
                <w:szCs w:val="21"/>
              </w:rPr>
              <w:t>0</w:t>
            </w:r>
          </w:p>
        </w:tc>
        <w:tc>
          <w:tcPr>
            <w:tcW w:w="1711" w:type="dxa"/>
            <w:vAlign w:val="center"/>
          </w:tcPr>
          <w:p>
            <w:pPr>
              <w:adjustRightInd w:val="0"/>
              <w:snapToGrid w:val="0"/>
              <w:jc w:val="center"/>
              <w:rPr>
                <w:color w:val="auto"/>
                <w:kern w:val="0"/>
                <w:szCs w:val="21"/>
              </w:rPr>
            </w:pPr>
            <w:r>
              <w:rPr>
                <w:rFonts w:hint="eastAsia"/>
                <w:color w:val="auto"/>
                <w:kern w:val="0"/>
                <w:szCs w:val="21"/>
              </w:rPr>
              <w:t>0.02</w:t>
            </w:r>
          </w:p>
        </w:tc>
        <w:tc>
          <w:tcPr>
            <w:tcW w:w="1667" w:type="dxa"/>
            <w:vAlign w:val="center"/>
          </w:tcPr>
          <w:p>
            <w:pPr>
              <w:widowControl/>
              <w:jc w:val="center"/>
              <w:textAlignment w:val="center"/>
              <w:rPr>
                <w:color w:val="auto"/>
                <w:kern w:val="0"/>
                <w:szCs w:val="21"/>
              </w:rPr>
            </w:pPr>
            <w:r>
              <w:rPr>
                <w:rFonts w:hint="eastAsia"/>
                <w:color w:val="auto"/>
                <w:kern w:val="0"/>
                <w:szCs w:val="21"/>
              </w:rPr>
              <w:t>+0.02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restart"/>
            <w:vAlign w:val="center"/>
          </w:tcPr>
          <w:p>
            <w:pPr>
              <w:adjustRightInd w:val="0"/>
              <w:snapToGrid w:val="0"/>
              <w:jc w:val="center"/>
              <w:rPr>
                <w:snapToGrid w:val="0"/>
                <w:color w:val="auto"/>
                <w:kern w:val="21"/>
                <w:szCs w:val="21"/>
              </w:rPr>
            </w:pPr>
            <w:r>
              <w:rPr>
                <w:rFonts w:hint="eastAsia"/>
                <w:snapToGrid w:val="0"/>
                <w:color w:val="auto"/>
                <w:kern w:val="21"/>
                <w:szCs w:val="21"/>
              </w:rPr>
              <w:t>危险废物</w:t>
            </w:r>
          </w:p>
        </w:tc>
        <w:tc>
          <w:tcPr>
            <w:tcW w:w="1249" w:type="dxa"/>
            <w:vAlign w:val="center"/>
          </w:tcPr>
          <w:p>
            <w:pPr>
              <w:adjustRightInd w:val="0"/>
              <w:snapToGrid w:val="0"/>
              <w:jc w:val="center"/>
              <w:rPr>
                <w:bCs/>
                <w:snapToGrid w:val="0"/>
                <w:color w:val="auto"/>
                <w:szCs w:val="21"/>
              </w:rPr>
            </w:pPr>
            <w:r>
              <w:rPr>
                <w:color w:val="auto"/>
                <w:szCs w:val="21"/>
              </w:rPr>
              <w:t>废活性炭</w:t>
            </w:r>
          </w:p>
        </w:tc>
        <w:tc>
          <w:tcPr>
            <w:tcW w:w="1525" w:type="dxa"/>
            <w:vAlign w:val="center"/>
          </w:tcPr>
          <w:p>
            <w:pPr>
              <w:adjustRightInd w:val="0"/>
              <w:snapToGrid w:val="0"/>
              <w:jc w:val="center"/>
              <w:rPr>
                <w:snapToGrid w:val="0"/>
                <w:color w:val="auto"/>
                <w:kern w:val="21"/>
                <w:szCs w:val="21"/>
              </w:rPr>
            </w:pPr>
            <w:r>
              <w:rPr>
                <w:color w:val="auto"/>
                <w:szCs w:val="21"/>
              </w:rPr>
              <w:t>0.03</w:t>
            </w:r>
          </w:p>
        </w:tc>
        <w:tc>
          <w:tcPr>
            <w:tcW w:w="1115"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adjustRightInd w:val="0"/>
              <w:snapToGrid w:val="0"/>
              <w:jc w:val="center"/>
              <w:rPr>
                <w:color w:val="auto"/>
                <w:szCs w:val="21"/>
              </w:rPr>
            </w:pPr>
            <w:r>
              <w:rPr>
                <w:rFonts w:hint="eastAsia"/>
                <w:color w:val="auto"/>
                <w:szCs w:val="21"/>
              </w:rPr>
              <w:t>1.6456</w:t>
            </w:r>
          </w:p>
        </w:tc>
        <w:tc>
          <w:tcPr>
            <w:tcW w:w="1426" w:type="dxa"/>
            <w:vAlign w:val="center"/>
          </w:tcPr>
          <w:p>
            <w:pPr>
              <w:adjustRightInd w:val="0"/>
              <w:snapToGrid w:val="0"/>
              <w:jc w:val="center"/>
              <w:rPr>
                <w:snapToGrid w:val="0"/>
                <w:color w:val="auto"/>
                <w:kern w:val="21"/>
                <w:szCs w:val="21"/>
              </w:rPr>
            </w:pPr>
            <w:r>
              <w:rPr>
                <w:snapToGrid w:val="0"/>
                <w:color w:val="auto"/>
                <w:kern w:val="21"/>
                <w:szCs w:val="21"/>
              </w:rPr>
              <w:t>0.03</w:t>
            </w:r>
          </w:p>
        </w:tc>
        <w:tc>
          <w:tcPr>
            <w:tcW w:w="1711" w:type="dxa"/>
            <w:vAlign w:val="center"/>
          </w:tcPr>
          <w:p>
            <w:pPr>
              <w:adjustRightInd w:val="0"/>
              <w:snapToGrid w:val="0"/>
              <w:jc w:val="center"/>
              <w:rPr>
                <w:color w:val="auto"/>
                <w:szCs w:val="21"/>
              </w:rPr>
            </w:pPr>
            <w:r>
              <w:rPr>
                <w:rFonts w:hint="eastAsia"/>
                <w:color w:val="auto"/>
                <w:szCs w:val="21"/>
              </w:rPr>
              <w:t>1.6456</w:t>
            </w:r>
          </w:p>
        </w:tc>
        <w:tc>
          <w:tcPr>
            <w:tcW w:w="1667" w:type="dxa"/>
            <w:vAlign w:val="center"/>
          </w:tcPr>
          <w:p>
            <w:pPr>
              <w:widowControl/>
              <w:jc w:val="center"/>
              <w:textAlignment w:val="center"/>
              <w:rPr>
                <w:color w:val="auto"/>
                <w:szCs w:val="21"/>
              </w:rPr>
            </w:pPr>
            <w:r>
              <w:rPr>
                <w:rFonts w:hint="eastAsia"/>
                <w:color w:val="auto"/>
                <w:szCs w:val="21"/>
              </w:rPr>
              <w:t>+1.5796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664" w:type="dxa"/>
            <w:gridSpan w:val="2"/>
            <w:vMerge w:val="continue"/>
            <w:vAlign w:val="center"/>
          </w:tcPr>
          <w:p>
            <w:pPr>
              <w:adjustRightInd w:val="0"/>
              <w:snapToGrid w:val="0"/>
              <w:jc w:val="center"/>
              <w:rPr>
                <w:snapToGrid w:val="0"/>
                <w:color w:val="auto"/>
                <w:kern w:val="21"/>
                <w:szCs w:val="21"/>
              </w:rPr>
            </w:pPr>
          </w:p>
        </w:tc>
        <w:tc>
          <w:tcPr>
            <w:tcW w:w="1249" w:type="dxa"/>
            <w:vAlign w:val="center"/>
          </w:tcPr>
          <w:p>
            <w:pPr>
              <w:adjustRightInd w:val="0"/>
              <w:snapToGrid w:val="0"/>
              <w:jc w:val="center"/>
              <w:rPr>
                <w:color w:val="auto"/>
                <w:szCs w:val="21"/>
              </w:rPr>
            </w:pPr>
            <w:r>
              <w:rPr>
                <w:rFonts w:hint="eastAsia"/>
                <w:color w:val="auto"/>
                <w:szCs w:val="21"/>
              </w:rPr>
              <w:t>废包装桶</w:t>
            </w:r>
          </w:p>
        </w:tc>
        <w:tc>
          <w:tcPr>
            <w:tcW w:w="1525" w:type="dxa"/>
            <w:vAlign w:val="center"/>
          </w:tcPr>
          <w:p>
            <w:pPr>
              <w:adjustRightInd w:val="0"/>
              <w:snapToGrid w:val="0"/>
              <w:jc w:val="center"/>
              <w:rPr>
                <w:color w:val="auto"/>
                <w:szCs w:val="21"/>
              </w:rPr>
            </w:pPr>
            <w:r>
              <w:rPr>
                <w:color w:val="auto"/>
                <w:szCs w:val="21"/>
              </w:rPr>
              <w:t>0</w:t>
            </w:r>
          </w:p>
        </w:tc>
        <w:tc>
          <w:tcPr>
            <w:tcW w:w="1115"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568" w:type="dxa"/>
            <w:vAlign w:val="center"/>
          </w:tcPr>
          <w:p>
            <w:pPr>
              <w:adjustRightInd w:val="0"/>
              <w:snapToGrid w:val="0"/>
              <w:jc w:val="center"/>
              <w:rPr>
                <w:snapToGrid w:val="0"/>
                <w:color w:val="auto"/>
                <w:kern w:val="21"/>
                <w:szCs w:val="21"/>
              </w:rPr>
            </w:pPr>
            <w:r>
              <w:rPr>
                <w:snapToGrid w:val="0"/>
                <w:color w:val="auto"/>
                <w:kern w:val="21"/>
                <w:szCs w:val="21"/>
              </w:rPr>
              <w:t>0.04</w:t>
            </w:r>
          </w:p>
        </w:tc>
        <w:tc>
          <w:tcPr>
            <w:tcW w:w="1426" w:type="dxa"/>
            <w:vAlign w:val="center"/>
          </w:tcPr>
          <w:p>
            <w:pPr>
              <w:adjustRightInd w:val="0"/>
              <w:snapToGrid w:val="0"/>
              <w:jc w:val="center"/>
              <w:rPr>
                <w:snapToGrid w:val="0"/>
                <w:color w:val="auto"/>
                <w:kern w:val="21"/>
                <w:szCs w:val="21"/>
              </w:rPr>
            </w:pPr>
            <w:r>
              <w:rPr>
                <w:snapToGrid w:val="0"/>
                <w:color w:val="auto"/>
                <w:kern w:val="21"/>
                <w:szCs w:val="21"/>
              </w:rPr>
              <w:t>0</w:t>
            </w:r>
          </w:p>
        </w:tc>
        <w:tc>
          <w:tcPr>
            <w:tcW w:w="1711" w:type="dxa"/>
            <w:vAlign w:val="center"/>
          </w:tcPr>
          <w:p>
            <w:pPr>
              <w:adjustRightInd w:val="0"/>
              <w:snapToGrid w:val="0"/>
              <w:jc w:val="center"/>
              <w:rPr>
                <w:snapToGrid w:val="0"/>
                <w:color w:val="auto"/>
                <w:kern w:val="21"/>
                <w:szCs w:val="21"/>
              </w:rPr>
            </w:pPr>
            <w:r>
              <w:rPr>
                <w:snapToGrid w:val="0"/>
                <w:color w:val="auto"/>
                <w:kern w:val="21"/>
                <w:szCs w:val="21"/>
              </w:rPr>
              <w:t>0.04</w:t>
            </w:r>
          </w:p>
        </w:tc>
        <w:tc>
          <w:tcPr>
            <w:tcW w:w="1667" w:type="dxa"/>
            <w:vAlign w:val="center"/>
          </w:tcPr>
          <w:p>
            <w:pPr>
              <w:widowControl/>
              <w:jc w:val="center"/>
              <w:textAlignment w:val="center"/>
              <w:rPr>
                <w:snapToGrid w:val="0"/>
                <w:color w:val="auto"/>
                <w:kern w:val="21"/>
                <w:szCs w:val="21"/>
              </w:rPr>
            </w:pPr>
            <w:r>
              <w:rPr>
                <w:color w:val="auto"/>
                <w:kern w:val="0"/>
                <w:szCs w:val="21"/>
                <w:lang w:bidi="ar"/>
              </w:rPr>
              <w:t>0.04</w:t>
            </w:r>
          </w:p>
        </w:tc>
      </w:tr>
    </w:tbl>
    <w:p>
      <w:pPr>
        <w:spacing w:before="192" w:beforeLines="80" w:after="24"/>
        <w:jc w:val="left"/>
        <w:rPr>
          <w:snapToGrid w:val="0"/>
          <w:color w:val="auto"/>
          <w:spacing w:val="-6"/>
          <w:kern w:val="21"/>
          <w:szCs w:val="21"/>
        </w:rPr>
      </w:pPr>
      <w:r>
        <w:rPr>
          <w:snapToGrid w:val="0"/>
          <w:color w:val="auto"/>
          <w:kern w:val="21"/>
          <w:szCs w:val="21"/>
        </w:rPr>
        <w:t>注：</w:t>
      </w:r>
      <w:r>
        <w:rPr>
          <w:snapToGrid w:val="0"/>
          <w:color w:val="auto"/>
          <w:spacing w:val="-16"/>
          <w:kern w:val="21"/>
          <w:szCs w:val="21"/>
        </w:rPr>
        <w:fldChar w:fldCharType="begin"/>
      </w:r>
      <w:r>
        <w:rPr>
          <w:snapToGrid w:val="0"/>
          <w:color w:val="auto"/>
          <w:spacing w:val="-16"/>
          <w:kern w:val="21"/>
          <w:szCs w:val="21"/>
        </w:rPr>
        <w:instrText xml:space="preserve"> = 6 \* GB3 \* MERGEFORMAT </w:instrText>
      </w:r>
      <w:r>
        <w:rPr>
          <w:snapToGrid w:val="0"/>
          <w:color w:val="auto"/>
          <w:spacing w:val="-16"/>
          <w:kern w:val="21"/>
          <w:szCs w:val="21"/>
        </w:rPr>
        <w:fldChar w:fldCharType="separate"/>
      </w:r>
      <w:r>
        <w:rPr>
          <w:rFonts w:hint="eastAsia" w:ascii="宋体" w:hAnsi="宋体" w:cs="宋体"/>
          <w:color w:val="auto"/>
          <w:szCs w:val="21"/>
        </w:rPr>
        <w:t>⑥</w:t>
      </w:r>
      <w:r>
        <w:rPr>
          <w:snapToGrid w:val="0"/>
          <w:color w:val="auto"/>
          <w:spacing w:val="-16"/>
          <w:kern w:val="21"/>
          <w:szCs w:val="21"/>
        </w:rPr>
        <w:fldChar w:fldCharType="end"/>
      </w:r>
      <w:r>
        <w:rPr>
          <w:snapToGrid w:val="0"/>
          <w:color w:val="auto"/>
          <w:spacing w:val="-16"/>
          <w:kern w:val="21"/>
          <w:szCs w:val="21"/>
        </w:rPr>
        <w:t>=</w:t>
      </w:r>
      <w:r>
        <w:rPr>
          <w:snapToGrid w:val="0"/>
          <w:color w:val="auto"/>
          <w:spacing w:val="-6"/>
          <w:kern w:val="21"/>
          <w:szCs w:val="21"/>
        </w:rPr>
        <w:fldChar w:fldCharType="begin"/>
      </w:r>
      <w:r>
        <w:rPr>
          <w:snapToGrid w:val="0"/>
          <w:color w:val="auto"/>
          <w:spacing w:val="-6"/>
          <w:kern w:val="21"/>
          <w:szCs w:val="21"/>
        </w:rPr>
        <w:instrText xml:space="preserve"> = 1 \* GB3 \* MERGEFORMAT </w:instrText>
      </w:r>
      <w:r>
        <w:rPr>
          <w:snapToGrid w:val="0"/>
          <w:color w:val="auto"/>
          <w:spacing w:val="-6"/>
          <w:kern w:val="21"/>
          <w:szCs w:val="21"/>
        </w:rPr>
        <w:fldChar w:fldCharType="separate"/>
      </w:r>
      <w:r>
        <w:rPr>
          <w:rFonts w:hint="eastAsia" w:ascii="宋体" w:hAnsi="宋体" w:cs="宋体"/>
          <w:color w:val="auto"/>
          <w:szCs w:val="21"/>
        </w:rPr>
        <w:t>①</w:t>
      </w:r>
      <w:r>
        <w:rPr>
          <w:snapToGrid w:val="0"/>
          <w:color w:val="auto"/>
          <w:spacing w:val="-6"/>
          <w:kern w:val="21"/>
          <w:szCs w:val="21"/>
        </w:rPr>
        <w:fldChar w:fldCharType="end"/>
      </w:r>
      <w:r>
        <w:rPr>
          <w:snapToGrid w:val="0"/>
          <w:color w:val="auto"/>
          <w:spacing w:val="-6"/>
          <w:kern w:val="21"/>
          <w:szCs w:val="21"/>
        </w:rPr>
        <w:t>+</w:t>
      </w:r>
      <w:r>
        <w:rPr>
          <w:snapToGrid w:val="0"/>
          <w:color w:val="auto"/>
          <w:spacing w:val="-6"/>
          <w:kern w:val="21"/>
          <w:szCs w:val="21"/>
        </w:rPr>
        <w:fldChar w:fldCharType="begin"/>
      </w:r>
      <w:r>
        <w:rPr>
          <w:snapToGrid w:val="0"/>
          <w:color w:val="auto"/>
          <w:spacing w:val="-6"/>
          <w:kern w:val="21"/>
          <w:szCs w:val="21"/>
        </w:rPr>
        <w:instrText xml:space="preserve"> = 3 \* GB3 \* MERGEFORMAT </w:instrText>
      </w:r>
      <w:r>
        <w:rPr>
          <w:snapToGrid w:val="0"/>
          <w:color w:val="auto"/>
          <w:spacing w:val="-6"/>
          <w:kern w:val="21"/>
          <w:szCs w:val="21"/>
        </w:rPr>
        <w:fldChar w:fldCharType="separate"/>
      </w:r>
      <w:r>
        <w:rPr>
          <w:rFonts w:hint="eastAsia" w:ascii="宋体" w:hAnsi="宋体" w:cs="宋体"/>
          <w:color w:val="auto"/>
          <w:szCs w:val="21"/>
        </w:rPr>
        <w:t>③</w:t>
      </w:r>
      <w:r>
        <w:rPr>
          <w:snapToGrid w:val="0"/>
          <w:color w:val="auto"/>
          <w:spacing w:val="-6"/>
          <w:kern w:val="21"/>
          <w:szCs w:val="21"/>
        </w:rPr>
        <w:fldChar w:fldCharType="end"/>
      </w:r>
      <w:r>
        <w:rPr>
          <w:snapToGrid w:val="0"/>
          <w:color w:val="auto"/>
          <w:spacing w:val="-6"/>
          <w:kern w:val="21"/>
          <w:szCs w:val="21"/>
        </w:rPr>
        <w:t>+</w:t>
      </w:r>
      <w:r>
        <w:rPr>
          <w:snapToGrid w:val="0"/>
          <w:color w:val="auto"/>
          <w:spacing w:val="-6"/>
          <w:kern w:val="21"/>
          <w:szCs w:val="21"/>
        </w:rPr>
        <w:fldChar w:fldCharType="begin"/>
      </w:r>
      <w:r>
        <w:rPr>
          <w:snapToGrid w:val="0"/>
          <w:color w:val="auto"/>
          <w:spacing w:val="-6"/>
          <w:kern w:val="21"/>
          <w:szCs w:val="21"/>
        </w:rPr>
        <w:instrText xml:space="preserve"> = 4 \* GB3 \* MERGEFORMAT </w:instrText>
      </w:r>
      <w:r>
        <w:rPr>
          <w:snapToGrid w:val="0"/>
          <w:color w:val="auto"/>
          <w:spacing w:val="-6"/>
          <w:kern w:val="21"/>
          <w:szCs w:val="21"/>
        </w:rPr>
        <w:fldChar w:fldCharType="separate"/>
      </w:r>
      <w:r>
        <w:rPr>
          <w:rFonts w:hint="eastAsia" w:ascii="宋体" w:hAnsi="宋体" w:cs="宋体"/>
          <w:color w:val="auto"/>
          <w:szCs w:val="21"/>
        </w:rPr>
        <w:t>④</w:t>
      </w:r>
      <w:r>
        <w:rPr>
          <w:snapToGrid w:val="0"/>
          <w:color w:val="auto"/>
          <w:spacing w:val="-6"/>
          <w:kern w:val="21"/>
          <w:szCs w:val="21"/>
        </w:rPr>
        <w:fldChar w:fldCharType="end"/>
      </w:r>
      <w:r>
        <w:rPr>
          <w:snapToGrid w:val="0"/>
          <w:color w:val="auto"/>
          <w:spacing w:val="-6"/>
          <w:kern w:val="21"/>
          <w:szCs w:val="21"/>
        </w:rPr>
        <w:t>-</w:t>
      </w:r>
      <w:r>
        <w:rPr>
          <w:snapToGrid w:val="0"/>
          <w:color w:val="auto"/>
          <w:spacing w:val="-16"/>
          <w:kern w:val="21"/>
          <w:szCs w:val="21"/>
        </w:rPr>
        <w:fldChar w:fldCharType="begin"/>
      </w:r>
      <w:r>
        <w:rPr>
          <w:snapToGrid w:val="0"/>
          <w:color w:val="auto"/>
          <w:spacing w:val="-16"/>
          <w:kern w:val="21"/>
          <w:szCs w:val="21"/>
        </w:rPr>
        <w:instrText xml:space="preserve"> = 5 \* GB3 \* MERGEFORMAT </w:instrText>
      </w:r>
      <w:r>
        <w:rPr>
          <w:snapToGrid w:val="0"/>
          <w:color w:val="auto"/>
          <w:spacing w:val="-16"/>
          <w:kern w:val="21"/>
          <w:szCs w:val="21"/>
        </w:rPr>
        <w:fldChar w:fldCharType="separate"/>
      </w:r>
      <w:r>
        <w:rPr>
          <w:rFonts w:hint="eastAsia" w:ascii="宋体" w:hAnsi="宋体" w:cs="宋体"/>
          <w:color w:val="auto"/>
          <w:szCs w:val="21"/>
        </w:rPr>
        <w:t>⑤</w:t>
      </w:r>
      <w:r>
        <w:rPr>
          <w:snapToGrid w:val="0"/>
          <w:color w:val="auto"/>
          <w:spacing w:val="-16"/>
          <w:kern w:val="21"/>
          <w:szCs w:val="21"/>
        </w:rPr>
        <w:fldChar w:fldCharType="end"/>
      </w:r>
      <w:r>
        <w:rPr>
          <w:snapToGrid w:val="0"/>
          <w:color w:val="auto"/>
          <w:spacing w:val="-16"/>
          <w:kern w:val="21"/>
          <w:szCs w:val="21"/>
        </w:rPr>
        <w:t>；</w:t>
      </w:r>
      <w:r>
        <w:rPr>
          <w:snapToGrid w:val="0"/>
          <w:color w:val="auto"/>
          <w:spacing w:val="-6"/>
          <w:kern w:val="21"/>
          <w:szCs w:val="21"/>
        </w:rPr>
        <w:fldChar w:fldCharType="begin"/>
      </w:r>
      <w:r>
        <w:rPr>
          <w:snapToGrid w:val="0"/>
          <w:color w:val="auto"/>
          <w:spacing w:val="-6"/>
          <w:kern w:val="21"/>
          <w:szCs w:val="21"/>
        </w:rPr>
        <w:instrText xml:space="preserve"> = 7 \* GB3 \* MERGEFORMAT </w:instrText>
      </w:r>
      <w:r>
        <w:rPr>
          <w:snapToGrid w:val="0"/>
          <w:color w:val="auto"/>
          <w:spacing w:val="-6"/>
          <w:kern w:val="21"/>
          <w:szCs w:val="21"/>
        </w:rPr>
        <w:fldChar w:fldCharType="separate"/>
      </w:r>
      <w:r>
        <w:rPr>
          <w:rFonts w:hint="eastAsia" w:ascii="宋体" w:hAnsi="宋体" w:cs="宋体"/>
          <w:color w:val="auto"/>
          <w:szCs w:val="21"/>
        </w:rPr>
        <w:t>⑦</w:t>
      </w:r>
      <w:r>
        <w:rPr>
          <w:snapToGrid w:val="0"/>
          <w:color w:val="auto"/>
          <w:spacing w:val="-6"/>
          <w:kern w:val="21"/>
          <w:szCs w:val="21"/>
        </w:rPr>
        <w:fldChar w:fldCharType="end"/>
      </w:r>
      <w:r>
        <w:rPr>
          <w:snapToGrid w:val="0"/>
          <w:color w:val="auto"/>
          <w:spacing w:val="-6"/>
          <w:kern w:val="21"/>
          <w:szCs w:val="21"/>
        </w:rPr>
        <w:t>=</w:t>
      </w:r>
      <w:r>
        <w:rPr>
          <w:snapToGrid w:val="0"/>
          <w:color w:val="auto"/>
          <w:spacing w:val="-16"/>
          <w:kern w:val="21"/>
          <w:szCs w:val="21"/>
        </w:rPr>
        <w:fldChar w:fldCharType="begin"/>
      </w:r>
      <w:r>
        <w:rPr>
          <w:snapToGrid w:val="0"/>
          <w:color w:val="auto"/>
          <w:spacing w:val="-16"/>
          <w:kern w:val="21"/>
          <w:szCs w:val="21"/>
        </w:rPr>
        <w:instrText xml:space="preserve"> = 6 \* GB3 \* MERGEFORMAT </w:instrText>
      </w:r>
      <w:r>
        <w:rPr>
          <w:snapToGrid w:val="0"/>
          <w:color w:val="auto"/>
          <w:spacing w:val="-16"/>
          <w:kern w:val="21"/>
          <w:szCs w:val="21"/>
        </w:rPr>
        <w:fldChar w:fldCharType="separate"/>
      </w:r>
      <w:r>
        <w:rPr>
          <w:rFonts w:hint="eastAsia" w:ascii="宋体" w:hAnsi="宋体" w:cs="宋体"/>
          <w:color w:val="auto"/>
          <w:szCs w:val="21"/>
        </w:rPr>
        <w:t>⑥</w:t>
      </w:r>
      <w:r>
        <w:rPr>
          <w:snapToGrid w:val="0"/>
          <w:color w:val="auto"/>
          <w:spacing w:val="-16"/>
          <w:kern w:val="21"/>
          <w:szCs w:val="21"/>
        </w:rPr>
        <w:fldChar w:fldCharType="end"/>
      </w:r>
      <w:r>
        <w:rPr>
          <w:snapToGrid w:val="0"/>
          <w:color w:val="auto"/>
          <w:spacing w:val="-16"/>
          <w:kern w:val="21"/>
          <w:szCs w:val="21"/>
        </w:rPr>
        <w:t>-</w:t>
      </w:r>
      <w:r>
        <w:rPr>
          <w:snapToGrid w:val="0"/>
          <w:color w:val="auto"/>
          <w:spacing w:val="-6"/>
          <w:kern w:val="21"/>
          <w:szCs w:val="21"/>
        </w:rPr>
        <w:fldChar w:fldCharType="begin"/>
      </w:r>
      <w:r>
        <w:rPr>
          <w:snapToGrid w:val="0"/>
          <w:color w:val="auto"/>
          <w:spacing w:val="-6"/>
          <w:kern w:val="21"/>
          <w:szCs w:val="21"/>
        </w:rPr>
        <w:instrText xml:space="preserve"> = 1 \* GB3 \* MERGEFORMAT </w:instrText>
      </w:r>
      <w:r>
        <w:rPr>
          <w:snapToGrid w:val="0"/>
          <w:color w:val="auto"/>
          <w:spacing w:val="-6"/>
          <w:kern w:val="21"/>
          <w:szCs w:val="21"/>
        </w:rPr>
        <w:fldChar w:fldCharType="separate"/>
      </w:r>
      <w:r>
        <w:rPr>
          <w:rFonts w:hint="eastAsia" w:ascii="宋体" w:hAnsi="宋体" w:cs="宋体"/>
          <w:color w:val="auto"/>
          <w:szCs w:val="21"/>
        </w:rPr>
        <w:t>①</w:t>
      </w:r>
      <w:r>
        <w:rPr>
          <w:snapToGrid w:val="0"/>
          <w:color w:val="auto"/>
          <w:spacing w:val="-6"/>
          <w:kern w:val="21"/>
          <w:szCs w:val="21"/>
        </w:rPr>
        <w:fldChar w:fldCharType="end"/>
      </w:r>
    </w:p>
    <w:p>
      <w:pPr>
        <w:rPr>
          <w:color w:val="auto"/>
        </w:rPr>
        <w:sectPr>
          <w:pgSz w:w="16838" w:h="11906" w:orient="landscape"/>
          <w:pgMar w:top="1531" w:right="1701" w:bottom="1531" w:left="1701" w:header="851" w:footer="851" w:gutter="0"/>
          <w:cols w:space="720" w:num="1"/>
          <w:docGrid w:linePitch="312" w:charSpace="0"/>
        </w:sectPr>
      </w:pPr>
      <w:r>
        <w:rPr>
          <w:color w:val="auto"/>
        </w:rPr>
        <w:t xml:space="preserve">    </w:t>
      </w:r>
    </w:p>
    <w:tbl>
      <w:tblPr>
        <w:tblStyle w:val="3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8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834" w:type="dxa"/>
          </w:tcPr>
          <w:p>
            <w:pPr>
              <w:spacing w:line="360" w:lineRule="auto"/>
              <w:rPr>
                <w:color w:val="auto"/>
                <w:szCs w:val="21"/>
              </w:rPr>
            </w:pPr>
            <w:r>
              <w:rPr>
                <w:color w:val="auto"/>
                <w:szCs w:val="21"/>
              </w:rPr>
              <w:t>本报告表应附以下附件、附图：</w:t>
            </w:r>
          </w:p>
          <w:p>
            <w:pPr>
              <w:pStyle w:val="99"/>
              <w:tabs>
                <w:tab w:val="left" w:pos="1276"/>
              </w:tabs>
              <w:adjustRightInd w:val="0"/>
              <w:snapToGrid w:val="0"/>
              <w:rPr>
                <w:color w:val="auto"/>
                <w:szCs w:val="21"/>
              </w:rPr>
            </w:pPr>
          </w:p>
          <w:p>
            <w:pPr>
              <w:adjustRightInd w:val="0"/>
              <w:snapToGrid w:val="0"/>
              <w:spacing w:line="360" w:lineRule="auto"/>
              <w:ind w:firstLine="420" w:firstLineChars="200"/>
              <w:rPr>
                <w:color w:val="auto"/>
                <w:szCs w:val="21"/>
              </w:rPr>
            </w:pPr>
            <w:r>
              <w:rPr>
                <w:color w:val="auto"/>
                <w:szCs w:val="21"/>
              </w:rPr>
              <w:t>附件</w:t>
            </w:r>
            <w:r>
              <w:rPr>
                <w:rFonts w:hint="eastAsia"/>
                <w:color w:val="auto"/>
                <w:szCs w:val="21"/>
              </w:rPr>
              <w:t>1</w:t>
            </w:r>
            <w:r>
              <w:rPr>
                <w:color w:val="auto"/>
                <w:szCs w:val="21"/>
              </w:rPr>
              <w:t xml:space="preserve">  </w:t>
            </w:r>
            <w:r>
              <w:rPr>
                <w:rFonts w:hint="eastAsia"/>
                <w:color w:val="auto"/>
                <w:szCs w:val="21"/>
              </w:rPr>
              <w:t>委托书</w:t>
            </w:r>
          </w:p>
          <w:p>
            <w:pPr>
              <w:adjustRightInd w:val="0"/>
              <w:snapToGrid w:val="0"/>
              <w:spacing w:line="360" w:lineRule="auto"/>
              <w:ind w:firstLine="420" w:firstLineChars="200"/>
              <w:rPr>
                <w:color w:val="auto"/>
                <w:szCs w:val="21"/>
              </w:rPr>
            </w:pPr>
            <w:r>
              <w:rPr>
                <w:color w:val="auto"/>
                <w:szCs w:val="21"/>
              </w:rPr>
              <w:t>附件</w:t>
            </w:r>
            <w:r>
              <w:rPr>
                <w:rFonts w:hint="eastAsia"/>
                <w:color w:val="auto"/>
                <w:szCs w:val="21"/>
              </w:rPr>
              <w:t>2  法人身份证</w:t>
            </w:r>
          </w:p>
          <w:p>
            <w:pPr>
              <w:adjustRightInd w:val="0"/>
              <w:snapToGrid w:val="0"/>
              <w:spacing w:line="360" w:lineRule="auto"/>
              <w:ind w:firstLine="420" w:firstLineChars="200"/>
              <w:rPr>
                <w:color w:val="auto"/>
                <w:szCs w:val="21"/>
              </w:rPr>
            </w:pPr>
            <w:r>
              <w:rPr>
                <w:color w:val="auto"/>
                <w:szCs w:val="21"/>
              </w:rPr>
              <w:t>附件</w:t>
            </w:r>
            <w:r>
              <w:rPr>
                <w:rFonts w:hint="eastAsia"/>
                <w:color w:val="auto"/>
                <w:szCs w:val="21"/>
              </w:rPr>
              <w:t>3  登记信息单</w:t>
            </w:r>
          </w:p>
          <w:p>
            <w:pPr>
              <w:adjustRightInd w:val="0"/>
              <w:snapToGrid w:val="0"/>
              <w:spacing w:line="360" w:lineRule="auto"/>
              <w:ind w:firstLine="420" w:firstLineChars="200"/>
              <w:rPr>
                <w:color w:val="auto"/>
                <w:szCs w:val="21"/>
              </w:rPr>
            </w:pPr>
            <w:r>
              <w:rPr>
                <w:color w:val="auto"/>
                <w:szCs w:val="21"/>
              </w:rPr>
              <w:t>附件</w:t>
            </w:r>
            <w:r>
              <w:rPr>
                <w:rFonts w:hint="eastAsia"/>
                <w:color w:val="auto"/>
                <w:szCs w:val="21"/>
              </w:rPr>
              <w:t>4  备案证</w:t>
            </w:r>
          </w:p>
          <w:p>
            <w:pPr>
              <w:adjustRightInd w:val="0"/>
              <w:snapToGrid w:val="0"/>
              <w:spacing w:line="360" w:lineRule="auto"/>
              <w:ind w:firstLine="420" w:firstLineChars="200"/>
              <w:rPr>
                <w:color w:val="auto"/>
                <w:szCs w:val="21"/>
              </w:rPr>
            </w:pPr>
            <w:r>
              <w:rPr>
                <w:color w:val="auto"/>
                <w:szCs w:val="21"/>
              </w:rPr>
              <w:t>附件</w:t>
            </w:r>
            <w:r>
              <w:rPr>
                <w:rFonts w:hint="eastAsia"/>
                <w:color w:val="auto"/>
                <w:szCs w:val="21"/>
              </w:rPr>
              <w:t>5</w:t>
            </w:r>
            <w:r>
              <w:rPr>
                <w:color w:val="auto"/>
                <w:szCs w:val="21"/>
              </w:rPr>
              <w:t xml:space="preserve">  </w:t>
            </w:r>
            <w:r>
              <w:rPr>
                <w:rFonts w:hint="eastAsia"/>
                <w:color w:val="auto"/>
                <w:szCs w:val="21"/>
              </w:rPr>
              <w:t>声明</w:t>
            </w:r>
          </w:p>
          <w:p>
            <w:pPr>
              <w:adjustRightInd w:val="0"/>
              <w:snapToGrid w:val="0"/>
              <w:spacing w:line="360" w:lineRule="auto"/>
              <w:ind w:firstLine="420" w:firstLineChars="200"/>
              <w:rPr>
                <w:color w:val="auto"/>
                <w:szCs w:val="21"/>
              </w:rPr>
            </w:pPr>
            <w:r>
              <w:rPr>
                <w:rFonts w:hint="eastAsia"/>
                <w:color w:val="auto"/>
                <w:szCs w:val="21"/>
              </w:rPr>
              <w:t xml:space="preserve">附件6 </w:t>
            </w:r>
            <w:r>
              <w:rPr>
                <w:color w:val="auto"/>
                <w:szCs w:val="21"/>
              </w:rPr>
              <w:t xml:space="preserve">  </w:t>
            </w:r>
            <w:r>
              <w:rPr>
                <w:rFonts w:hint="eastAsia"/>
                <w:color w:val="auto"/>
                <w:szCs w:val="21"/>
              </w:rPr>
              <w:t>2013年项目环评批复</w:t>
            </w:r>
          </w:p>
          <w:p>
            <w:pPr>
              <w:adjustRightInd w:val="0"/>
              <w:snapToGrid w:val="0"/>
              <w:spacing w:line="360" w:lineRule="auto"/>
              <w:ind w:firstLine="420" w:firstLineChars="200"/>
              <w:rPr>
                <w:color w:val="auto"/>
                <w:szCs w:val="21"/>
              </w:rPr>
            </w:pPr>
            <w:r>
              <w:rPr>
                <w:rFonts w:hint="eastAsia"/>
                <w:color w:val="auto"/>
                <w:szCs w:val="21"/>
              </w:rPr>
              <w:t>附件7</w:t>
            </w:r>
            <w:r>
              <w:rPr>
                <w:color w:val="auto"/>
                <w:szCs w:val="21"/>
              </w:rPr>
              <w:t xml:space="preserve">  </w:t>
            </w:r>
            <w:r>
              <w:rPr>
                <w:rFonts w:hint="eastAsia"/>
                <w:color w:val="auto"/>
                <w:szCs w:val="21"/>
              </w:rPr>
              <w:t>2016年项目环评批复</w:t>
            </w:r>
          </w:p>
          <w:p>
            <w:pPr>
              <w:adjustRightInd w:val="0"/>
              <w:snapToGrid w:val="0"/>
              <w:spacing w:line="360" w:lineRule="auto"/>
              <w:ind w:firstLine="420" w:firstLineChars="200"/>
              <w:rPr>
                <w:color w:val="auto"/>
                <w:szCs w:val="21"/>
              </w:rPr>
            </w:pPr>
            <w:r>
              <w:rPr>
                <w:rFonts w:hint="eastAsia"/>
                <w:color w:val="auto"/>
                <w:szCs w:val="21"/>
              </w:rPr>
              <w:t xml:space="preserve">附件8  </w:t>
            </w:r>
            <w:r>
              <w:rPr>
                <w:color w:val="auto"/>
                <w:szCs w:val="21"/>
              </w:rPr>
              <w:t xml:space="preserve"> </w:t>
            </w:r>
            <w:r>
              <w:rPr>
                <w:rFonts w:hint="eastAsia"/>
                <w:color w:val="auto"/>
                <w:szCs w:val="21"/>
              </w:rPr>
              <w:t>验收批复</w:t>
            </w:r>
          </w:p>
          <w:p>
            <w:pPr>
              <w:adjustRightInd w:val="0"/>
              <w:snapToGrid w:val="0"/>
              <w:spacing w:line="360" w:lineRule="auto"/>
              <w:ind w:firstLine="420" w:firstLineChars="200"/>
              <w:rPr>
                <w:color w:val="auto"/>
                <w:szCs w:val="21"/>
              </w:rPr>
            </w:pPr>
            <w:r>
              <w:rPr>
                <w:rFonts w:hint="eastAsia"/>
                <w:color w:val="auto"/>
                <w:szCs w:val="21"/>
              </w:rPr>
              <w:t>附件9</w:t>
            </w:r>
            <w:r>
              <w:rPr>
                <w:color w:val="auto"/>
                <w:szCs w:val="21"/>
              </w:rPr>
              <w:t xml:space="preserve">  </w:t>
            </w:r>
            <w:r>
              <w:rPr>
                <w:rFonts w:hint="eastAsia"/>
                <w:color w:val="auto"/>
              </w:rPr>
              <w:t>排污许可证回执</w:t>
            </w:r>
          </w:p>
          <w:p>
            <w:pPr>
              <w:adjustRightInd w:val="0"/>
              <w:snapToGrid w:val="0"/>
              <w:spacing w:line="360" w:lineRule="auto"/>
              <w:ind w:firstLine="420" w:firstLineChars="200"/>
              <w:rPr>
                <w:color w:val="auto"/>
                <w:szCs w:val="21"/>
              </w:rPr>
            </w:pPr>
            <w:r>
              <w:rPr>
                <w:color w:val="auto"/>
                <w:szCs w:val="21"/>
              </w:rPr>
              <w:t>附件</w:t>
            </w:r>
            <w:r>
              <w:rPr>
                <w:rFonts w:hint="eastAsia"/>
                <w:color w:val="auto"/>
                <w:szCs w:val="21"/>
              </w:rPr>
              <w:t>10</w:t>
            </w:r>
            <w:r>
              <w:rPr>
                <w:color w:val="auto"/>
                <w:szCs w:val="21"/>
              </w:rPr>
              <w:t xml:space="preserve">  </w:t>
            </w:r>
            <w:r>
              <w:rPr>
                <w:rFonts w:hint="eastAsia"/>
                <w:color w:val="auto"/>
                <w:szCs w:val="21"/>
              </w:rPr>
              <w:t>危废处置协议</w:t>
            </w:r>
          </w:p>
          <w:p>
            <w:pPr>
              <w:adjustRightInd w:val="0"/>
              <w:snapToGrid w:val="0"/>
              <w:spacing w:line="360" w:lineRule="auto"/>
              <w:ind w:firstLine="420" w:firstLineChars="200"/>
              <w:rPr>
                <w:color w:val="auto"/>
                <w:szCs w:val="21"/>
              </w:rPr>
            </w:pPr>
            <w:r>
              <w:rPr>
                <w:color w:val="auto"/>
                <w:szCs w:val="21"/>
              </w:rPr>
              <w:t>附件</w:t>
            </w:r>
            <w:r>
              <w:rPr>
                <w:rFonts w:hint="eastAsia"/>
                <w:color w:val="auto"/>
                <w:szCs w:val="21"/>
              </w:rPr>
              <w:t>11</w:t>
            </w:r>
            <w:r>
              <w:rPr>
                <w:color w:val="auto"/>
                <w:szCs w:val="21"/>
              </w:rPr>
              <w:t xml:space="preserve">  </w:t>
            </w:r>
            <w:r>
              <w:rPr>
                <w:rFonts w:hint="eastAsia"/>
                <w:color w:val="auto"/>
                <w:szCs w:val="21"/>
              </w:rPr>
              <w:t>营业执照</w:t>
            </w:r>
          </w:p>
          <w:p>
            <w:pPr>
              <w:adjustRightInd w:val="0"/>
              <w:snapToGrid w:val="0"/>
              <w:spacing w:line="360" w:lineRule="auto"/>
              <w:ind w:firstLine="420" w:firstLineChars="200"/>
              <w:rPr>
                <w:color w:val="auto"/>
                <w:szCs w:val="21"/>
              </w:rPr>
            </w:pPr>
            <w:r>
              <w:rPr>
                <w:color w:val="auto"/>
                <w:szCs w:val="21"/>
              </w:rPr>
              <w:t>附件</w:t>
            </w:r>
            <w:r>
              <w:rPr>
                <w:rFonts w:hint="eastAsia"/>
                <w:color w:val="auto"/>
                <w:szCs w:val="21"/>
              </w:rPr>
              <w:t>12</w:t>
            </w:r>
            <w:r>
              <w:rPr>
                <w:color w:val="auto"/>
                <w:szCs w:val="21"/>
              </w:rPr>
              <w:t xml:space="preserve"> </w:t>
            </w:r>
            <w:r>
              <w:rPr>
                <w:rFonts w:hint="eastAsia"/>
                <w:color w:val="auto"/>
                <w:szCs w:val="21"/>
              </w:rPr>
              <w:t>租赁协议</w:t>
            </w:r>
          </w:p>
          <w:p>
            <w:pPr>
              <w:adjustRightInd w:val="0"/>
              <w:snapToGrid w:val="0"/>
              <w:spacing w:line="360" w:lineRule="auto"/>
              <w:ind w:firstLine="420" w:firstLineChars="200"/>
              <w:rPr>
                <w:color w:val="auto"/>
                <w:szCs w:val="21"/>
              </w:rPr>
            </w:pPr>
            <w:r>
              <w:rPr>
                <w:color w:val="auto"/>
                <w:szCs w:val="21"/>
              </w:rPr>
              <w:t>附件</w:t>
            </w:r>
            <w:r>
              <w:rPr>
                <w:rFonts w:hint="eastAsia"/>
                <w:color w:val="auto"/>
                <w:szCs w:val="21"/>
              </w:rPr>
              <w:t>13</w:t>
            </w:r>
            <w:r>
              <w:rPr>
                <w:color w:val="auto"/>
                <w:szCs w:val="21"/>
              </w:rPr>
              <w:t xml:space="preserve"> </w:t>
            </w:r>
            <w:r>
              <w:rPr>
                <w:rFonts w:hint="eastAsia"/>
                <w:color w:val="auto"/>
                <w:szCs w:val="21"/>
              </w:rPr>
              <w:t>土地证</w:t>
            </w:r>
          </w:p>
          <w:p>
            <w:pPr>
              <w:adjustRightInd w:val="0"/>
              <w:snapToGrid w:val="0"/>
              <w:spacing w:line="360" w:lineRule="auto"/>
              <w:ind w:firstLine="420" w:firstLineChars="200"/>
              <w:rPr>
                <w:color w:val="auto"/>
                <w:szCs w:val="21"/>
              </w:rPr>
            </w:pPr>
            <w:r>
              <w:rPr>
                <w:color w:val="auto"/>
                <w:szCs w:val="21"/>
              </w:rPr>
              <w:t>附件</w:t>
            </w:r>
            <w:r>
              <w:rPr>
                <w:rFonts w:hint="eastAsia"/>
                <w:color w:val="auto"/>
                <w:szCs w:val="21"/>
              </w:rPr>
              <w:t xml:space="preserve">14 </w:t>
            </w:r>
            <w:r>
              <w:rPr>
                <w:color w:val="auto"/>
                <w:szCs w:val="21"/>
              </w:rPr>
              <w:t xml:space="preserve"> </w:t>
            </w:r>
            <w:r>
              <w:rPr>
                <w:rFonts w:hint="eastAsia"/>
                <w:color w:val="auto"/>
                <w:szCs w:val="21"/>
              </w:rPr>
              <w:t>房权证</w:t>
            </w:r>
          </w:p>
          <w:p>
            <w:pPr>
              <w:adjustRightInd w:val="0"/>
              <w:snapToGrid w:val="0"/>
              <w:spacing w:line="360" w:lineRule="auto"/>
              <w:ind w:firstLine="420" w:firstLineChars="200"/>
              <w:rPr>
                <w:color w:val="auto"/>
                <w:szCs w:val="21"/>
              </w:rPr>
            </w:pPr>
            <w:r>
              <w:rPr>
                <w:color w:val="auto"/>
                <w:szCs w:val="21"/>
              </w:rPr>
              <w:t>附件</w:t>
            </w:r>
            <w:r>
              <w:rPr>
                <w:rFonts w:hint="eastAsia"/>
                <w:color w:val="auto"/>
                <w:szCs w:val="21"/>
              </w:rPr>
              <w:t xml:space="preserve">15 </w:t>
            </w:r>
            <w:r>
              <w:rPr>
                <w:color w:val="auto"/>
                <w:szCs w:val="21"/>
              </w:rPr>
              <w:t xml:space="preserve"> </w:t>
            </w:r>
            <w:r>
              <w:rPr>
                <w:rFonts w:hint="eastAsia"/>
                <w:color w:val="auto"/>
                <w:szCs w:val="21"/>
              </w:rPr>
              <w:t>规划环评批复</w:t>
            </w:r>
          </w:p>
          <w:p>
            <w:pPr>
              <w:adjustRightInd w:val="0"/>
              <w:snapToGrid w:val="0"/>
              <w:spacing w:line="360" w:lineRule="auto"/>
              <w:ind w:firstLine="420" w:firstLineChars="200"/>
              <w:rPr>
                <w:color w:val="auto"/>
                <w:szCs w:val="21"/>
              </w:rPr>
            </w:pPr>
          </w:p>
          <w:p>
            <w:pPr>
              <w:adjustRightInd w:val="0"/>
              <w:snapToGrid w:val="0"/>
              <w:spacing w:line="360" w:lineRule="auto"/>
              <w:ind w:firstLine="420" w:firstLineChars="200"/>
              <w:rPr>
                <w:color w:val="auto"/>
                <w:szCs w:val="21"/>
              </w:rPr>
            </w:pPr>
            <w:r>
              <w:rPr>
                <w:color w:val="auto"/>
                <w:szCs w:val="21"/>
              </w:rPr>
              <w:t>附图</w:t>
            </w:r>
            <w:r>
              <w:rPr>
                <w:rFonts w:hint="eastAsia"/>
                <w:color w:val="auto"/>
                <w:szCs w:val="21"/>
              </w:rPr>
              <w:t>1</w:t>
            </w:r>
            <w:r>
              <w:rPr>
                <w:color w:val="auto"/>
                <w:szCs w:val="21"/>
              </w:rPr>
              <w:t xml:space="preserve">   建设项目地理位置图</w:t>
            </w:r>
          </w:p>
          <w:p>
            <w:pPr>
              <w:adjustRightInd w:val="0"/>
              <w:snapToGrid w:val="0"/>
              <w:spacing w:line="360" w:lineRule="auto"/>
              <w:ind w:firstLine="420" w:firstLineChars="200"/>
              <w:rPr>
                <w:color w:val="auto"/>
                <w:szCs w:val="21"/>
              </w:rPr>
            </w:pPr>
            <w:r>
              <w:rPr>
                <w:color w:val="auto"/>
                <w:szCs w:val="21"/>
              </w:rPr>
              <w:t>附图</w:t>
            </w:r>
            <w:r>
              <w:rPr>
                <w:rFonts w:hint="eastAsia"/>
                <w:color w:val="auto"/>
                <w:szCs w:val="21"/>
              </w:rPr>
              <w:t>2</w:t>
            </w:r>
            <w:r>
              <w:rPr>
                <w:color w:val="auto"/>
                <w:szCs w:val="21"/>
              </w:rPr>
              <w:t xml:space="preserve">   建设项目周边</w:t>
            </w:r>
            <w:r>
              <w:rPr>
                <w:rFonts w:hint="eastAsia"/>
                <w:color w:val="auto"/>
                <w:szCs w:val="21"/>
              </w:rPr>
              <w:t>概况图</w:t>
            </w:r>
          </w:p>
          <w:p>
            <w:pPr>
              <w:adjustRightInd w:val="0"/>
              <w:snapToGrid w:val="0"/>
              <w:spacing w:line="360" w:lineRule="auto"/>
              <w:ind w:firstLine="420" w:firstLineChars="200"/>
              <w:rPr>
                <w:color w:val="auto"/>
                <w:szCs w:val="21"/>
              </w:rPr>
            </w:pPr>
            <w:r>
              <w:rPr>
                <w:color w:val="auto"/>
                <w:szCs w:val="21"/>
              </w:rPr>
              <w:t>附图</w:t>
            </w:r>
            <w:r>
              <w:rPr>
                <w:rFonts w:hint="eastAsia"/>
                <w:color w:val="auto"/>
                <w:szCs w:val="21"/>
              </w:rPr>
              <w:t>3</w:t>
            </w:r>
            <w:r>
              <w:rPr>
                <w:color w:val="auto"/>
                <w:szCs w:val="21"/>
              </w:rPr>
              <w:t xml:space="preserve">  厂区平面布置图</w:t>
            </w:r>
          </w:p>
          <w:p>
            <w:pPr>
              <w:adjustRightInd w:val="0"/>
              <w:snapToGrid w:val="0"/>
              <w:spacing w:line="360" w:lineRule="auto"/>
              <w:ind w:firstLine="420" w:firstLineChars="200"/>
              <w:rPr>
                <w:color w:val="auto"/>
                <w:szCs w:val="21"/>
              </w:rPr>
            </w:pPr>
            <w:r>
              <w:rPr>
                <w:color w:val="auto"/>
                <w:szCs w:val="21"/>
              </w:rPr>
              <w:t>附图</w:t>
            </w:r>
            <w:r>
              <w:rPr>
                <w:rFonts w:hint="eastAsia"/>
                <w:color w:val="auto"/>
                <w:szCs w:val="21"/>
              </w:rPr>
              <w:t>3.1</w:t>
            </w:r>
            <w:r>
              <w:rPr>
                <w:color w:val="auto"/>
                <w:szCs w:val="21"/>
              </w:rPr>
              <w:t xml:space="preserve">  </w:t>
            </w:r>
            <w:r>
              <w:rPr>
                <w:rFonts w:hint="eastAsia"/>
                <w:color w:val="auto"/>
                <w:szCs w:val="21"/>
              </w:rPr>
              <w:t>一楼</w:t>
            </w:r>
            <w:r>
              <w:rPr>
                <w:color w:val="auto"/>
                <w:szCs w:val="21"/>
              </w:rPr>
              <w:t>平面布置图</w:t>
            </w:r>
          </w:p>
          <w:p>
            <w:pPr>
              <w:adjustRightInd w:val="0"/>
              <w:snapToGrid w:val="0"/>
              <w:spacing w:line="360" w:lineRule="auto"/>
              <w:ind w:firstLine="420" w:firstLineChars="200"/>
              <w:rPr>
                <w:color w:val="auto"/>
                <w:szCs w:val="21"/>
              </w:rPr>
            </w:pPr>
            <w:r>
              <w:rPr>
                <w:color w:val="auto"/>
                <w:szCs w:val="21"/>
              </w:rPr>
              <w:t>附图</w:t>
            </w:r>
            <w:r>
              <w:rPr>
                <w:rFonts w:hint="eastAsia"/>
                <w:color w:val="auto"/>
                <w:szCs w:val="21"/>
              </w:rPr>
              <w:t>3.2  二楼</w:t>
            </w:r>
            <w:r>
              <w:rPr>
                <w:color w:val="auto"/>
                <w:szCs w:val="21"/>
              </w:rPr>
              <w:t>平面布置图</w:t>
            </w:r>
          </w:p>
          <w:p>
            <w:pPr>
              <w:adjustRightInd w:val="0"/>
              <w:snapToGrid w:val="0"/>
              <w:spacing w:line="360" w:lineRule="auto"/>
              <w:ind w:firstLine="420" w:firstLineChars="200"/>
              <w:rPr>
                <w:color w:val="auto"/>
                <w:szCs w:val="21"/>
              </w:rPr>
            </w:pPr>
            <w:r>
              <w:rPr>
                <w:color w:val="auto"/>
                <w:szCs w:val="21"/>
              </w:rPr>
              <w:t>附图</w:t>
            </w:r>
            <w:r>
              <w:rPr>
                <w:rFonts w:hint="eastAsia"/>
                <w:color w:val="auto"/>
                <w:szCs w:val="21"/>
              </w:rPr>
              <w:t>3.3</w:t>
            </w:r>
            <w:r>
              <w:rPr>
                <w:color w:val="auto"/>
                <w:szCs w:val="21"/>
              </w:rPr>
              <w:t xml:space="preserve">  </w:t>
            </w:r>
            <w:r>
              <w:rPr>
                <w:rFonts w:hint="eastAsia"/>
                <w:color w:val="auto"/>
                <w:szCs w:val="21"/>
              </w:rPr>
              <w:t>三楼</w:t>
            </w:r>
            <w:r>
              <w:rPr>
                <w:color w:val="auto"/>
                <w:szCs w:val="21"/>
              </w:rPr>
              <w:t>平面布置图</w:t>
            </w:r>
          </w:p>
          <w:p>
            <w:pPr>
              <w:adjustRightInd w:val="0"/>
              <w:snapToGrid w:val="0"/>
              <w:spacing w:line="360" w:lineRule="auto"/>
              <w:ind w:firstLine="420" w:firstLineChars="200"/>
              <w:rPr>
                <w:rFonts w:hint="default" w:eastAsia="宋体"/>
                <w:b/>
                <w:bCs/>
                <w:color w:val="auto"/>
                <w:szCs w:val="21"/>
                <w:lang w:val="en-US" w:eastAsia="zh-CN"/>
              </w:rPr>
            </w:pPr>
            <w:r>
              <w:rPr>
                <w:color w:val="auto"/>
                <w:szCs w:val="21"/>
              </w:rPr>
              <w:t>附图</w:t>
            </w:r>
            <w:r>
              <w:rPr>
                <w:rFonts w:hint="eastAsia"/>
                <w:color w:val="auto"/>
                <w:szCs w:val="21"/>
              </w:rPr>
              <w:t>4</w:t>
            </w:r>
            <w:r>
              <w:rPr>
                <w:color w:val="auto"/>
                <w:szCs w:val="21"/>
              </w:rPr>
              <w:t xml:space="preserve">   建设项目四至图</w:t>
            </w:r>
            <w:r>
              <w:rPr>
                <w:rFonts w:hint="eastAsia"/>
                <w:color w:val="auto"/>
                <w:szCs w:val="21"/>
              </w:rPr>
              <w:t>以及车间内部图</w:t>
            </w:r>
            <w:r>
              <w:rPr>
                <w:rFonts w:hint="eastAsia"/>
                <w:color w:val="auto"/>
                <w:szCs w:val="21"/>
                <w:lang w:eastAsia="zh-CN"/>
              </w:rPr>
              <w:t>、</w:t>
            </w:r>
            <w:r>
              <w:rPr>
                <w:rFonts w:hint="eastAsia"/>
                <w:color w:val="auto"/>
                <w:szCs w:val="21"/>
                <w:lang w:val="en-US" w:eastAsia="zh-CN"/>
              </w:rPr>
              <w:t>工程师现场照</w:t>
            </w:r>
          </w:p>
          <w:p>
            <w:pPr>
              <w:adjustRightInd w:val="0"/>
              <w:snapToGrid w:val="0"/>
              <w:spacing w:line="360" w:lineRule="auto"/>
              <w:ind w:firstLine="420" w:firstLineChars="200"/>
              <w:rPr>
                <w:color w:val="auto"/>
                <w:szCs w:val="21"/>
              </w:rPr>
            </w:pPr>
            <w:r>
              <w:rPr>
                <w:color w:val="auto"/>
                <w:szCs w:val="21"/>
              </w:rPr>
              <w:t>附图</w:t>
            </w:r>
            <w:r>
              <w:rPr>
                <w:rFonts w:hint="eastAsia"/>
                <w:color w:val="auto"/>
                <w:szCs w:val="21"/>
              </w:rPr>
              <w:t>5</w:t>
            </w:r>
            <w:r>
              <w:rPr>
                <w:color w:val="auto"/>
                <w:szCs w:val="21"/>
              </w:rPr>
              <w:t xml:space="preserve">   </w:t>
            </w:r>
            <w:r>
              <w:rPr>
                <w:rFonts w:hint="eastAsia"/>
                <w:color w:val="auto"/>
                <w:szCs w:val="21"/>
              </w:rPr>
              <w:t>江苏省生态红线区域保护规划图</w:t>
            </w:r>
          </w:p>
          <w:p>
            <w:pPr>
              <w:adjustRightInd w:val="0"/>
              <w:snapToGrid w:val="0"/>
              <w:spacing w:line="360" w:lineRule="auto"/>
              <w:ind w:firstLine="420" w:firstLineChars="200"/>
              <w:rPr>
                <w:color w:val="auto"/>
                <w:szCs w:val="21"/>
              </w:rPr>
            </w:pPr>
            <w:r>
              <w:rPr>
                <w:color w:val="auto"/>
                <w:szCs w:val="21"/>
              </w:rPr>
              <w:t>附图</w:t>
            </w:r>
            <w:r>
              <w:rPr>
                <w:rFonts w:hint="eastAsia"/>
                <w:color w:val="auto"/>
                <w:szCs w:val="21"/>
              </w:rPr>
              <w:t>6</w:t>
            </w:r>
            <w:r>
              <w:rPr>
                <w:color w:val="auto"/>
                <w:szCs w:val="21"/>
              </w:rPr>
              <w:t xml:space="preserve">   </w:t>
            </w:r>
            <w:r>
              <w:rPr>
                <w:rFonts w:hint="eastAsia"/>
                <w:color w:val="auto"/>
                <w:szCs w:val="21"/>
              </w:rPr>
              <w:t>建设项目所在地与江苏省环境管控单元关系图</w:t>
            </w:r>
          </w:p>
          <w:p>
            <w:pPr>
              <w:adjustRightInd w:val="0"/>
              <w:snapToGrid w:val="0"/>
              <w:spacing w:line="360" w:lineRule="auto"/>
              <w:ind w:firstLine="420" w:firstLineChars="200"/>
              <w:rPr>
                <w:color w:val="auto"/>
                <w:szCs w:val="21"/>
              </w:rPr>
            </w:pPr>
            <w:r>
              <w:rPr>
                <w:color w:val="auto"/>
                <w:szCs w:val="21"/>
              </w:rPr>
              <w:t>附图</w:t>
            </w:r>
            <w:r>
              <w:rPr>
                <w:rFonts w:hint="eastAsia"/>
                <w:color w:val="auto"/>
                <w:szCs w:val="21"/>
              </w:rPr>
              <w:t>7</w:t>
            </w:r>
            <w:r>
              <w:rPr>
                <w:color w:val="auto"/>
                <w:szCs w:val="21"/>
              </w:rPr>
              <w:t xml:space="preserve">   </w:t>
            </w:r>
            <w:r>
              <w:rPr>
                <w:rFonts w:hint="eastAsia"/>
                <w:color w:val="auto"/>
                <w:szCs w:val="21"/>
              </w:rPr>
              <w:t>太仓市高新技术产业开发区总体规划图</w:t>
            </w:r>
          </w:p>
          <w:p>
            <w:pPr>
              <w:adjustRightInd w:val="0"/>
              <w:snapToGrid w:val="0"/>
              <w:spacing w:line="360" w:lineRule="auto"/>
              <w:ind w:firstLine="420" w:firstLineChars="200"/>
              <w:rPr>
                <w:color w:val="auto"/>
                <w:szCs w:val="21"/>
              </w:rPr>
            </w:pPr>
            <w:r>
              <w:rPr>
                <w:color w:val="auto"/>
                <w:szCs w:val="21"/>
              </w:rPr>
              <w:t>附图</w:t>
            </w:r>
            <w:r>
              <w:rPr>
                <w:rFonts w:hint="eastAsia"/>
                <w:color w:val="auto"/>
                <w:szCs w:val="21"/>
              </w:rPr>
              <w:t>8</w:t>
            </w:r>
            <w:r>
              <w:rPr>
                <w:color w:val="auto"/>
                <w:szCs w:val="21"/>
              </w:rPr>
              <w:t xml:space="preserve">   </w:t>
            </w:r>
            <w:r>
              <w:rPr>
                <w:rFonts w:hint="eastAsia"/>
                <w:color w:val="auto"/>
                <w:szCs w:val="21"/>
              </w:rPr>
              <w:t>大气环境现状监测点位图</w:t>
            </w:r>
          </w:p>
          <w:p>
            <w:pPr>
              <w:adjustRightInd w:val="0"/>
              <w:snapToGrid w:val="0"/>
              <w:spacing w:line="360" w:lineRule="auto"/>
              <w:ind w:firstLine="420" w:firstLineChars="200"/>
              <w:rPr>
                <w:color w:val="auto"/>
                <w:szCs w:val="21"/>
              </w:rPr>
            </w:pPr>
            <w:r>
              <w:rPr>
                <w:color w:val="auto"/>
                <w:szCs w:val="21"/>
              </w:rPr>
              <w:t>附图</w:t>
            </w:r>
            <w:r>
              <w:rPr>
                <w:rFonts w:hint="eastAsia"/>
                <w:color w:val="auto"/>
                <w:szCs w:val="21"/>
                <w:lang w:val="en-US" w:eastAsia="zh-CN"/>
              </w:rPr>
              <w:t>9</w:t>
            </w:r>
            <w:r>
              <w:rPr>
                <w:color w:val="auto"/>
                <w:szCs w:val="21"/>
              </w:rPr>
              <w:t xml:space="preserve">   </w:t>
            </w:r>
            <w:r>
              <w:rPr>
                <w:rFonts w:hint="eastAsia"/>
                <w:color w:val="auto"/>
                <w:szCs w:val="21"/>
                <w:lang w:val="en-US" w:eastAsia="zh-CN"/>
              </w:rPr>
              <w:t>污水管网</w:t>
            </w:r>
            <w:r>
              <w:rPr>
                <w:rFonts w:hint="eastAsia"/>
                <w:color w:val="auto"/>
                <w:szCs w:val="21"/>
              </w:rPr>
              <w:t>图</w:t>
            </w:r>
          </w:p>
          <w:p>
            <w:pPr>
              <w:adjustRightInd w:val="0"/>
              <w:snapToGrid w:val="0"/>
              <w:spacing w:line="360" w:lineRule="auto"/>
              <w:ind w:firstLine="420" w:firstLineChars="200"/>
              <w:rPr>
                <w:color w:val="auto"/>
                <w:szCs w:val="21"/>
              </w:rPr>
            </w:pPr>
          </w:p>
          <w:p>
            <w:pPr>
              <w:rPr>
                <w:color w:val="auto"/>
              </w:rPr>
            </w:pPr>
          </w:p>
          <w:p>
            <w:pPr>
              <w:rPr>
                <w:color w:val="auto"/>
              </w:rPr>
            </w:pPr>
          </w:p>
          <w:p>
            <w:pPr>
              <w:rPr>
                <w:color w:val="auto"/>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834" w:type="dxa"/>
          </w:tcPr>
          <w:p>
            <w:pPr>
              <w:spacing w:line="360" w:lineRule="auto"/>
              <w:rPr>
                <w:color w:val="auto"/>
                <w:sz w:val="24"/>
              </w:rPr>
            </w:pPr>
            <w:r>
              <w:rPr>
                <w:color w:val="auto"/>
                <w:sz w:val="24"/>
              </w:rPr>
              <w:t>预审意见：</w:t>
            </w: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r>
              <w:rPr>
                <w:color w:val="auto"/>
                <w:sz w:val="24"/>
              </w:rPr>
              <w:t xml:space="preserve">                                                     公  章</w:t>
            </w:r>
          </w:p>
          <w:p>
            <w:pPr>
              <w:rPr>
                <w:color w:val="auto"/>
                <w:sz w:val="24"/>
              </w:rPr>
            </w:pPr>
            <w:r>
              <w:rPr>
                <w:color w:val="auto"/>
                <w:sz w:val="24"/>
              </w:rPr>
              <w:t xml:space="preserve"> 经办：          签发：                             年   月   日</w:t>
            </w:r>
          </w:p>
          <w:p>
            <w:pPr>
              <w:rPr>
                <w:color w:val="auto"/>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8834" w:type="dxa"/>
          </w:tcPr>
          <w:p>
            <w:pPr>
              <w:spacing w:line="360" w:lineRule="auto"/>
              <w:rPr>
                <w:color w:val="auto"/>
                <w:sz w:val="24"/>
              </w:rPr>
            </w:pPr>
            <w:r>
              <w:rPr>
                <w:color w:val="auto"/>
                <w:sz w:val="24"/>
              </w:rPr>
              <w:t>下一级环境保护行政主管部门审查意见：</w:t>
            </w: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r>
              <w:rPr>
                <w:color w:val="auto"/>
                <w:sz w:val="24"/>
              </w:rPr>
              <w:t xml:space="preserve">                                                      公 章  </w:t>
            </w:r>
          </w:p>
          <w:p>
            <w:pPr>
              <w:spacing w:line="360" w:lineRule="auto"/>
              <w:rPr>
                <w:color w:val="auto"/>
                <w:sz w:val="24"/>
              </w:rPr>
            </w:pPr>
            <w:r>
              <w:rPr>
                <w:color w:val="auto"/>
                <w:sz w:val="24"/>
              </w:rPr>
              <w:t xml:space="preserve"> 经办：                   签发：                    年   月   日</w:t>
            </w:r>
          </w:p>
          <w:p>
            <w:pPr>
              <w:spacing w:line="360" w:lineRule="auto"/>
              <w:rPr>
                <w:color w:val="auto"/>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164" w:hRule="atLeast"/>
        </w:trPr>
        <w:tc>
          <w:tcPr>
            <w:tcW w:w="8834" w:type="dxa"/>
          </w:tcPr>
          <w:p>
            <w:pPr>
              <w:spacing w:line="360" w:lineRule="auto"/>
              <w:rPr>
                <w:color w:val="auto"/>
                <w:sz w:val="24"/>
              </w:rPr>
            </w:pPr>
            <w:r>
              <w:rPr>
                <w:color w:val="auto"/>
                <w:sz w:val="24"/>
              </w:rPr>
              <w:t>审批意见：</w:t>
            </w: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r>
              <w:rPr>
                <w:color w:val="auto"/>
                <w:sz w:val="24"/>
              </w:rPr>
              <w:t xml:space="preserve">                                                   公  章</w:t>
            </w:r>
          </w:p>
          <w:p>
            <w:pPr>
              <w:spacing w:line="360" w:lineRule="auto"/>
              <w:rPr>
                <w:color w:val="auto"/>
                <w:sz w:val="24"/>
              </w:rPr>
            </w:pPr>
          </w:p>
          <w:p>
            <w:pPr>
              <w:spacing w:line="360" w:lineRule="auto"/>
              <w:rPr>
                <w:color w:val="auto"/>
                <w:sz w:val="24"/>
              </w:rPr>
            </w:pPr>
            <w:r>
              <w:rPr>
                <w:color w:val="auto"/>
                <w:sz w:val="24"/>
              </w:rPr>
              <w:t>经办：             签发：                        年   月   日</w:t>
            </w: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spacing w:line="360" w:lineRule="auto"/>
              <w:rPr>
                <w:color w:val="auto"/>
                <w:sz w:val="24"/>
              </w:rPr>
            </w:pPr>
          </w:p>
          <w:p>
            <w:pPr>
              <w:rPr>
                <w:color w:val="auto"/>
              </w:rPr>
            </w:pPr>
          </w:p>
        </w:tc>
      </w:tr>
    </w:tbl>
    <w:p>
      <w:pPr>
        <w:rPr>
          <w:color w:val="auto"/>
        </w:rPr>
      </w:pPr>
    </w:p>
    <w:sectPr>
      <w:pgSz w:w="11906" w:h="16838"/>
      <w:pgMar w:top="1701" w:right="1531" w:bottom="1701" w:left="1531" w:header="851" w:footer="851"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Arial Black">
    <w:panose1 w:val="020B0A04020102020204"/>
    <w:charset w:val="00"/>
    <w:family w:val="swiss"/>
    <w:pitch w:val="default"/>
    <w:sig w:usb0="A00002AF" w:usb1="400078FB" w:usb2="00000000" w:usb3="00000000" w:csb0="6000009F" w:csb1="DFD70000"/>
  </w:font>
  <w:font w:name="仿宋体">
    <w:altName w:val="宋体"/>
    <w:panose1 w:val="00000000000000000000"/>
    <w:charset w:val="86"/>
    <w:family w:val="roman"/>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方正仿宋_GBK">
    <w:altName w:val="宋体"/>
    <w:panose1 w:val="00000000000000000000"/>
    <w:charset w:val="86"/>
    <w:family w:val="script"/>
    <w:pitch w:val="default"/>
    <w:sig w:usb0="00000000" w:usb1="00000000" w:usb2="00000010" w:usb3="00000000" w:csb0="00040000" w:csb1="00000000"/>
  </w:font>
  <w:font w:name="方正楷体_GBK">
    <w:altName w:val="微软雅黑"/>
    <w:panose1 w:val="00000000000000000000"/>
    <w:charset w:val="86"/>
    <w:family w:val="script"/>
    <w:pitch w:val="default"/>
    <w:sig w:usb0="00000000" w:usb1="00000000" w:usb2="00000010" w:usb3="00000000" w:csb0="00040000" w:csb1="00000000"/>
  </w:font>
  <w:font w:name="Arial Narrow">
    <w:panose1 w:val="020B0606020202030204"/>
    <w:charset w:val="00"/>
    <w:family w:val="swiss"/>
    <w:pitch w:val="default"/>
    <w:sig w:usb0="00000287" w:usb1="00000800" w:usb2="00000000" w:usb3="00000000" w:csb0="2000009F" w:csb1="DFD70000"/>
  </w:font>
  <w:font w:name="Arial Unicode MS">
    <w:altName w:val="宋体"/>
    <w:panose1 w:val="020B0604020202020204"/>
    <w:charset w:val="86"/>
    <w:family w:val="swiss"/>
    <w:pitch w:val="default"/>
    <w:sig w:usb0="00000000" w:usb1="00000000" w:usb2="0000003F" w:usb3="00000000" w:csb0="003F01FF" w:csb1="00000000"/>
  </w:font>
  <w:font w:name="方正小标宋_GBK">
    <w:altName w:val="微软雅黑"/>
    <w:panose1 w:val="00000000000000000000"/>
    <w:charset w:val="86"/>
    <w:family w:val="script"/>
    <w:pitch w:val="default"/>
    <w:sig w:usb0="00000000" w:usb1="00000000" w:usb2="00000010" w:usb3="00000000" w:csb0="00040000" w:csb1="0000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Segoe UI Symbol">
    <w:panose1 w:val="020B0502040204020203"/>
    <w:charset w:val="00"/>
    <w:family w:val="swiss"/>
    <w:pitch w:val="default"/>
    <w:sig w:usb0="800001E3" w:usb1="1200FFEF" w:usb2="00040000" w:usb3="04000000" w:csb0="00000001" w:csb1="4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36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wrap="around" w:vAnchor="text" w:hAnchor="margin" w:xAlign="center" w:y="1"/>
      <w:rPr>
        <w:rStyle w:val="51"/>
      </w:rPr>
    </w:pPr>
    <w:r>
      <w:fldChar w:fldCharType="begin"/>
    </w:r>
    <w:r>
      <w:rPr>
        <w:rStyle w:val="51"/>
      </w:rPr>
      <w:instrText xml:space="preserve">PAGE  </w:instrText>
    </w:r>
    <w:r>
      <w:fldChar w:fldCharType="separate"/>
    </w:r>
    <w:r>
      <w:rPr>
        <w:rStyle w:val="51"/>
      </w:rPr>
      <w:t>4</w:t>
    </w:r>
    <w:r>
      <w:fldChar w:fldCharType="end"/>
    </w:r>
  </w:p>
  <w:p>
    <w:pPr>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360" w:firstLine="360"/>
      <w:jc w:val="center"/>
    </w:pPr>
    <w:r>
      <w:fldChar w:fldCharType="begin"/>
    </w:r>
    <w:r>
      <w:instrText xml:space="preserve">PAGE   \* MERGEFORMAT</w:instrText>
    </w:r>
    <w:r>
      <w:fldChar w:fldCharType="separate"/>
    </w:r>
    <w:r>
      <w:rPr>
        <w:lang w:val="zh-CN"/>
      </w:rPr>
      <w:t>52</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360" w:firstLine="360"/>
      <w:jc w:val="center"/>
    </w:pPr>
    <w:r>
      <w:fldChar w:fldCharType="begin"/>
    </w:r>
    <w:r>
      <w:instrText xml:space="preserve">PAGE   \* MERGEFORMAT</w:instrText>
    </w:r>
    <w:r>
      <w:fldChar w:fldCharType="separate"/>
    </w:r>
    <w:r>
      <w:rPr>
        <w:lang w:val="zh-CN"/>
      </w:rPr>
      <w:t>80</w:t>
    </w:r>
    <w:r>
      <w:fldChar w:fldCharType="end"/>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5385D65"/>
    <w:multiLevelType w:val="multilevel"/>
    <w:tmpl w:val="05385D65"/>
    <w:lvl w:ilvl="0" w:tentative="0">
      <w:start w:val="1"/>
      <w:numFmt w:val="decimal"/>
      <w:lvlText w:val="%1"/>
      <w:lvlJc w:val="left"/>
      <w:pPr>
        <w:tabs>
          <w:tab w:val="left" w:pos="360"/>
        </w:tabs>
        <w:ind w:left="0" w:firstLine="0"/>
      </w:pPr>
      <w:rPr>
        <w:rFonts w:hint="eastAsia" w:ascii="仿宋_GB2312" w:eastAsia="仿宋_GB2312"/>
        <w:b/>
        <w:i w:val="0"/>
        <w:sz w:val="32"/>
      </w:rPr>
    </w:lvl>
    <w:lvl w:ilvl="1" w:tentative="0">
      <w:start w:val="1"/>
      <w:numFmt w:val="decimal"/>
      <w:isLgl/>
      <w:lvlText w:val="%1.%2"/>
      <w:lvlJc w:val="left"/>
      <w:pPr>
        <w:tabs>
          <w:tab w:val="left" w:pos="720"/>
        </w:tabs>
        <w:ind w:left="0" w:firstLine="0"/>
      </w:pPr>
      <w:rPr>
        <w:rFonts w:hint="eastAsia" w:ascii="仿宋_GB2312" w:eastAsia="仿宋_GB2312"/>
        <w:b/>
        <w:i w:val="0"/>
        <w:sz w:val="30"/>
      </w:rPr>
    </w:lvl>
    <w:lvl w:ilvl="2" w:tentative="0">
      <w:start w:val="1"/>
      <w:numFmt w:val="decimal"/>
      <w:pStyle w:val="217"/>
      <w:lvlText w:val="%2%1%3"/>
      <w:lvlJc w:val="left"/>
      <w:pPr>
        <w:tabs>
          <w:tab w:val="left" w:pos="1140"/>
        </w:tabs>
        <w:ind w:left="60" w:firstLine="0"/>
      </w:pPr>
      <w:rPr>
        <w:rFonts w:hint="eastAsia" w:ascii="仿宋_GB2312" w:eastAsia="仿宋_GB2312"/>
        <w:b w:val="0"/>
        <w:i w:val="0"/>
        <w:sz w:val="28"/>
      </w:rPr>
    </w:lvl>
    <w:lvl w:ilvl="3" w:tentative="0">
      <w:start w:val="1"/>
      <w:numFmt w:val="decimal"/>
      <w:lvlRestart w:val="0"/>
      <w:isLgl/>
      <w:lvlText w:val="%1.%2.%3.%4"/>
      <w:lvlJc w:val="left"/>
      <w:pPr>
        <w:tabs>
          <w:tab w:val="left" w:pos="1440"/>
        </w:tabs>
        <w:ind w:left="0" w:firstLine="0"/>
      </w:pPr>
      <w:rPr>
        <w:rFonts w:hint="eastAsia" w:ascii="仿宋_GB2312" w:eastAsia="仿宋_GB2312"/>
        <w:b w:val="0"/>
        <w:i w:val="0"/>
        <w:sz w:val="28"/>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1">
    <w:nsid w:val="21531D4B"/>
    <w:multiLevelType w:val="multilevel"/>
    <w:tmpl w:val="21531D4B"/>
    <w:lvl w:ilvl="0" w:tentative="0">
      <w:start w:val="1"/>
      <w:numFmt w:val="decimal"/>
      <w:lvlText w:val="%1"/>
      <w:lvlJc w:val="left"/>
      <w:pPr>
        <w:tabs>
          <w:tab w:val="left" w:pos="360"/>
        </w:tabs>
        <w:ind w:left="0" w:firstLine="0"/>
      </w:pPr>
      <w:rPr>
        <w:rFonts w:hint="eastAsia" w:ascii="仿宋_GB2312" w:eastAsia="仿宋_GB2312"/>
        <w:b/>
        <w:i w:val="0"/>
        <w:sz w:val="32"/>
      </w:rPr>
    </w:lvl>
    <w:lvl w:ilvl="1" w:tentative="0">
      <w:start w:val="1"/>
      <w:numFmt w:val="decimal"/>
      <w:pStyle w:val="221"/>
      <w:lvlText w:val="%1.%2"/>
      <w:lvlJc w:val="left"/>
      <w:pPr>
        <w:tabs>
          <w:tab w:val="left" w:pos="720"/>
        </w:tabs>
        <w:ind w:left="0" w:firstLine="0"/>
      </w:pPr>
      <w:rPr>
        <w:rFonts w:hint="eastAsia" w:ascii="仿宋_GB2312" w:eastAsia="仿宋_GB2312"/>
        <w:b/>
        <w:i w:val="0"/>
        <w:sz w:val="30"/>
      </w:rPr>
    </w:lvl>
    <w:lvl w:ilvl="2" w:tentative="0">
      <w:start w:val="1"/>
      <w:numFmt w:val="none"/>
      <w:lvlText w:val="1.%21"/>
      <w:lvlJc w:val="left"/>
      <w:pPr>
        <w:tabs>
          <w:tab w:val="left" w:pos="1080"/>
        </w:tabs>
        <w:ind w:left="0" w:firstLine="0"/>
      </w:pPr>
      <w:rPr>
        <w:rFonts w:hint="eastAsia" w:ascii="仿宋_GB2312" w:eastAsia="仿宋_GB2312"/>
        <w:b w:val="0"/>
        <w:i w:val="0"/>
        <w:sz w:val="28"/>
      </w:rPr>
    </w:lvl>
    <w:lvl w:ilvl="3" w:tentative="0">
      <w:start w:val="1"/>
      <w:numFmt w:val="decimal"/>
      <w:lvlRestart w:val="0"/>
      <w:isLgl/>
      <w:lvlText w:val="%1.%2.%3.%4"/>
      <w:lvlJc w:val="left"/>
      <w:pPr>
        <w:tabs>
          <w:tab w:val="left" w:pos="1440"/>
        </w:tabs>
        <w:ind w:left="0" w:firstLine="0"/>
      </w:pPr>
      <w:rPr>
        <w:rFonts w:hint="eastAsia" w:ascii="仿宋_GB2312" w:eastAsia="仿宋_GB2312"/>
        <w:b w:val="0"/>
        <w:i w:val="0"/>
        <w:sz w:val="28"/>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2">
    <w:nsid w:val="375872B2"/>
    <w:multiLevelType w:val="multilevel"/>
    <w:tmpl w:val="375872B2"/>
    <w:lvl w:ilvl="0" w:tentative="0">
      <w:start w:val="1"/>
      <w:numFmt w:val="decimal"/>
      <w:pStyle w:val="25"/>
      <w:lvlText w:val="（%1）"/>
      <w:lvlJc w:val="left"/>
      <w:pPr>
        <w:ind w:left="1140" w:hanging="7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469F02C6"/>
    <w:multiLevelType w:val="multilevel"/>
    <w:tmpl w:val="469F02C6"/>
    <w:lvl w:ilvl="0" w:tentative="0">
      <w:start w:val="1"/>
      <w:numFmt w:val="decimal"/>
      <w:lvlText w:val="%1"/>
      <w:lvlJc w:val="left"/>
      <w:pPr>
        <w:tabs>
          <w:tab w:val="left" w:pos="360"/>
        </w:tabs>
        <w:ind w:left="0" w:firstLine="0"/>
      </w:pPr>
      <w:rPr>
        <w:rFonts w:hint="eastAsia" w:ascii="仿宋_GB2312" w:eastAsia="仿宋_GB2312"/>
        <w:b/>
        <w:i w:val="0"/>
        <w:sz w:val="32"/>
      </w:rPr>
    </w:lvl>
    <w:lvl w:ilvl="1" w:tentative="0">
      <w:start w:val="1"/>
      <w:numFmt w:val="decimal"/>
      <w:isLgl/>
      <w:lvlText w:val="%1.%2"/>
      <w:lvlJc w:val="left"/>
      <w:pPr>
        <w:tabs>
          <w:tab w:val="left" w:pos="720"/>
        </w:tabs>
        <w:ind w:left="0" w:firstLine="0"/>
      </w:pPr>
      <w:rPr>
        <w:rFonts w:hint="eastAsia" w:ascii="仿宋_GB2312" w:eastAsia="仿宋_GB2312"/>
        <w:b/>
        <w:i w:val="0"/>
        <w:sz w:val="30"/>
      </w:rPr>
    </w:lvl>
    <w:lvl w:ilvl="2" w:tentative="0">
      <w:start w:val="1"/>
      <w:numFmt w:val="decimal"/>
      <w:pStyle w:val="218"/>
      <w:isLgl/>
      <w:lvlText w:val="%2.%1.%3"/>
      <w:lvlJc w:val="left"/>
      <w:pPr>
        <w:tabs>
          <w:tab w:val="left" w:pos="851"/>
        </w:tabs>
        <w:ind w:left="0" w:firstLine="0"/>
      </w:pPr>
      <w:rPr>
        <w:rFonts w:hint="eastAsia" w:ascii="仿宋_GB2312" w:eastAsia="仿宋_GB2312"/>
        <w:b w:val="0"/>
        <w:i w:val="0"/>
        <w:sz w:val="28"/>
        <w:szCs w:val="28"/>
      </w:rPr>
    </w:lvl>
    <w:lvl w:ilvl="3" w:tentative="0">
      <w:start w:val="1"/>
      <w:numFmt w:val="decimal"/>
      <w:lvlRestart w:val="0"/>
      <w:isLgl/>
      <w:lvlText w:val="%1.%2.%3.%4"/>
      <w:lvlJc w:val="left"/>
      <w:pPr>
        <w:tabs>
          <w:tab w:val="left" w:pos="1440"/>
        </w:tabs>
        <w:ind w:left="0" w:firstLine="0"/>
      </w:pPr>
      <w:rPr>
        <w:rFonts w:hint="eastAsia" w:ascii="仿宋_GB2312" w:eastAsia="仿宋_GB2312"/>
        <w:b w:val="0"/>
        <w:i w:val="0"/>
        <w:sz w:val="28"/>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4">
    <w:nsid w:val="5E5660D4"/>
    <w:multiLevelType w:val="multilevel"/>
    <w:tmpl w:val="5E5660D4"/>
    <w:lvl w:ilvl="0" w:tentative="0">
      <w:start w:val="1"/>
      <w:numFmt w:val="decimal"/>
      <w:suff w:val="nothing"/>
      <w:lvlText w:val="%1）"/>
      <w:lvlJc w:val="left"/>
      <w:pPr>
        <w:ind w:left="1919" w:hanging="360"/>
      </w:pPr>
      <w:rPr>
        <w:rFonts w:hint="default" w:ascii="Times New Roman" w:hAnsi="Times New Roman" w:cs="Times New Roman"/>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5">
    <w:nsid w:val="702A5735"/>
    <w:multiLevelType w:val="multilevel"/>
    <w:tmpl w:val="702A5735"/>
    <w:lvl w:ilvl="0" w:tentative="0">
      <w:start w:val="1"/>
      <w:numFmt w:val="decimal"/>
      <w:lvlText w:val="%1"/>
      <w:lvlJc w:val="left"/>
      <w:pPr>
        <w:tabs>
          <w:tab w:val="left" w:pos="360"/>
        </w:tabs>
        <w:ind w:left="0" w:firstLine="0"/>
      </w:pPr>
      <w:rPr>
        <w:rFonts w:hint="eastAsia" w:ascii="仿宋_GB2312" w:eastAsia="仿宋_GB2312"/>
        <w:b/>
        <w:i w:val="0"/>
        <w:sz w:val="32"/>
      </w:rPr>
    </w:lvl>
    <w:lvl w:ilvl="1" w:tentative="0">
      <w:start w:val="1"/>
      <w:numFmt w:val="decimal"/>
      <w:isLgl/>
      <w:lvlText w:val="%1.%2"/>
      <w:lvlJc w:val="left"/>
      <w:pPr>
        <w:tabs>
          <w:tab w:val="left" w:pos="720"/>
        </w:tabs>
        <w:ind w:left="0" w:firstLine="0"/>
      </w:pPr>
      <w:rPr>
        <w:rFonts w:hint="eastAsia" w:ascii="仿宋_GB2312" w:eastAsia="仿宋_GB2312"/>
        <w:b/>
        <w:i w:val="0"/>
        <w:sz w:val="30"/>
      </w:rPr>
    </w:lvl>
    <w:lvl w:ilvl="2" w:tentative="0">
      <w:start w:val="1"/>
      <w:numFmt w:val="none"/>
      <w:pStyle w:val="222"/>
      <w:lvlText w:val="1.%21"/>
      <w:lvlJc w:val="left"/>
      <w:pPr>
        <w:tabs>
          <w:tab w:val="left" w:pos="1080"/>
        </w:tabs>
        <w:ind w:left="0" w:firstLine="0"/>
      </w:pPr>
      <w:rPr>
        <w:rFonts w:hint="eastAsia" w:ascii="仿宋_GB2312" w:eastAsia="仿宋_GB2312"/>
        <w:b w:val="0"/>
        <w:i w:val="0"/>
        <w:sz w:val="28"/>
      </w:rPr>
    </w:lvl>
    <w:lvl w:ilvl="3" w:tentative="0">
      <w:start w:val="1"/>
      <w:numFmt w:val="decimal"/>
      <w:lvlRestart w:val="0"/>
      <w:isLgl/>
      <w:lvlText w:val="%1.%2.%3.%4"/>
      <w:lvlJc w:val="left"/>
      <w:pPr>
        <w:tabs>
          <w:tab w:val="left" w:pos="1440"/>
        </w:tabs>
        <w:ind w:left="0" w:firstLine="0"/>
      </w:pPr>
      <w:rPr>
        <w:rFonts w:hint="eastAsia" w:ascii="仿宋_GB2312" w:eastAsia="仿宋_GB2312"/>
        <w:b w:val="0"/>
        <w:i w:val="0"/>
        <w:sz w:val="28"/>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num w:numId="1">
    <w:abstractNumId w:val="2"/>
  </w:num>
  <w:num w:numId="2">
    <w:abstractNumId w:val="0"/>
  </w:num>
  <w:num w:numId="3">
    <w:abstractNumId w:val="3"/>
  </w:num>
  <w:num w:numId="4">
    <w:abstractNumId w:val="1"/>
  </w:num>
  <w:num w:numId="5">
    <w:abstractNumId w:val="5"/>
  </w:num>
  <w:num w:numId="6">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
    <w15:presenceInfo w15:providerId="None" w15:userId=""/>
  </w15:person>
  <w15:person w15:author="Administrator">
    <w15:presenceInfo w15:providerId="None" w15:userId="Administ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dit="trackedChanges" w:enforcement="0"/>
  <w:defaultTabStop w:val="420"/>
  <w:displayHorizontalDrawingGridEvery w:val="1"/>
  <w:displayVerticalDrawingGridEvery w:val="1"/>
  <w:noPunctuationKerning w:val="1"/>
  <w:characterSpacingControl w:val="doNotCompress"/>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FjOGNmZmNmNzRjNzM0NzY1MjE4MWZjMjMyNDk1YTcifQ=="/>
  </w:docVars>
  <w:rsids>
    <w:rsidRoot w:val="00A14947"/>
    <w:rsid w:val="0000037E"/>
    <w:rsid w:val="0000064F"/>
    <w:rsid w:val="0000082E"/>
    <w:rsid w:val="00000AE8"/>
    <w:rsid w:val="00000B7F"/>
    <w:rsid w:val="0000110A"/>
    <w:rsid w:val="000014FB"/>
    <w:rsid w:val="00001AFB"/>
    <w:rsid w:val="0000215A"/>
    <w:rsid w:val="0000219E"/>
    <w:rsid w:val="00002BCA"/>
    <w:rsid w:val="00003555"/>
    <w:rsid w:val="000037C5"/>
    <w:rsid w:val="0000391E"/>
    <w:rsid w:val="00003BBD"/>
    <w:rsid w:val="00003EE3"/>
    <w:rsid w:val="00004668"/>
    <w:rsid w:val="0000480E"/>
    <w:rsid w:val="000048A9"/>
    <w:rsid w:val="00004ACA"/>
    <w:rsid w:val="00004D16"/>
    <w:rsid w:val="00004F86"/>
    <w:rsid w:val="0000556F"/>
    <w:rsid w:val="000057D8"/>
    <w:rsid w:val="00005DC3"/>
    <w:rsid w:val="000060B3"/>
    <w:rsid w:val="00006798"/>
    <w:rsid w:val="00006ECA"/>
    <w:rsid w:val="00007B5E"/>
    <w:rsid w:val="00007E88"/>
    <w:rsid w:val="0001033E"/>
    <w:rsid w:val="00011308"/>
    <w:rsid w:val="00011DFF"/>
    <w:rsid w:val="000128F3"/>
    <w:rsid w:val="0001355B"/>
    <w:rsid w:val="000136E2"/>
    <w:rsid w:val="000136F3"/>
    <w:rsid w:val="00013BE0"/>
    <w:rsid w:val="00013D04"/>
    <w:rsid w:val="00013F45"/>
    <w:rsid w:val="0001431F"/>
    <w:rsid w:val="000143B9"/>
    <w:rsid w:val="00014931"/>
    <w:rsid w:val="00014A1D"/>
    <w:rsid w:val="00014E13"/>
    <w:rsid w:val="0001502F"/>
    <w:rsid w:val="00015A08"/>
    <w:rsid w:val="00016868"/>
    <w:rsid w:val="00016BBE"/>
    <w:rsid w:val="000173D7"/>
    <w:rsid w:val="00017722"/>
    <w:rsid w:val="00017ECA"/>
    <w:rsid w:val="0002075B"/>
    <w:rsid w:val="000207DB"/>
    <w:rsid w:val="00020A71"/>
    <w:rsid w:val="0002109B"/>
    <w:rsid w:val="00021352"/>
    <w:rsid w:val="00021823"/>
    <w:rsid w:val="00021838"/>
    <w:rsid w:val="000219F9"/>
    <w:rsid w:val="00021E4B"/>
    <w:rsid w:val="00021E91"/>
    <w:rsid w:val="00022676"/>
    <w:rsid w:val="000228B6"/>
    <w:rsid w:val="00022A84"/>
    <w:rsid w:val="0002339F"/>
    <w:rsid w:val="00023571"/>
    <w:rsid w:val="000240D0"/>
    <w:rsid w:val="000240EE"/>
    <w:rsid w:val="0002423B"/>
    <w:rsid w:val="00024311"/>
    <w:rsid w:val="00024AB0"/>
    <w:rsid w:val="00024BC3"/>
    <w:rsid w:val="00024FB7"/>
    <w:rsid w:val="000256FE"/>
    <w:rsid w:val="00026120"/>
    <w:rsid w:val="0002644D"/>
    <w:rsid w:val="00026BA7"/>
    <w:rsid w:val="00027090"/>
    <w:rsid w:val="00027EF7"/>
    <w:rsid w:val="00030612"/>
    <w:rsid w:val="00030933"/>
    <w:rsid w:val="00031591"/>
    <w:rsid w:val="000315DD"/>
    <w:rsid w:val="00031D4E"/>
    <w:rsid w:val="00031F2F"/>
    <w:rsid w:val="000325C7"/>
    <w:rsid w:val="00032EB2"/>
    <w:rsid w:val="00032F06"/>
    <w:rsid w:val="00032F4F"/>
    <w:rsid w:val="000336A1"/>
    <w:rsid w:val="00033851"/>
    <w:rsid w:val="0003420C"/>
    <w:rsid w:val="00034569"/>
    <w:rsid w:val="00034881"/>
    <w:rsid w:val="0003527F"/>
    <w:rsid w:val="000356B5"/>
    <w:rsid w:val="00035A7E"/>
    <w:rsid w:val="00035C1D"/>
    <w:rsid w:val="000368E4"/>
    <w:rsid w:val="00036B1A"/>
    <w:rsid w:val="00036B6B"/>
    <w:rsid w:val="00036D4A"/>
    <w:rsid w:val="0003723F"/>
    <w:rsid w:val="0003767B"/>
    <w:rsid w:val="0003798F"/>
    <w:rsid w:val="00037FEE"/>
    <w:rsid w:val="00040913"/>
    <w:rsid w:val="00040AFD"/>
    <w:rsid w:val="0004135D"/>
    <w:rsid w:val="000414E5"/>
    <w:rsid w:val="0004167A"/>
    <w:rsid w:val="000418C3"/>
    <w:rsid w:val="00041ACA"/>
    <w:rsid w:val="00041F23"/>
    <w:rsid w:val="00042697"/>
    <w:rsid w:val="000426D2"/>
    <w:rsid w:val="000434EB"/>
    <w:rsid w:val="0004364B"/>
    <w:rsid w:val="00043A05"/>
    <w:rsid w:val="00043DBE"/>
    <w:rsid w:val="00044632"/>
    <w:rsid w:val="00044842"/>
    <w:rsid w:val="00045077"/>
    <w:rsid w:val="000453DE"/>
    <w:rsid w:val="000456C2"/>
    <w:rsid w:val="00045B1F"/>
    <w:rsid w:val="00046123"/>
    <w:rsid w:val="00046219"/>
    <w:rsid w:val="00046303"/>
    <w:rsid w:val="00046AD2"/>
    <w:rsid w:val="00046F51"/>
    <w:rsid w:val="00051304"/>
    <w:rsid w:val="00051CC4"/>
    <w:rsid w:val="000527E2"/>
    <w:rsid w:val="00052D9E"/>
    <w:rsid w:val="0005312C"/>
    <w:rsid w:val="00054081"/>
    <w:rsid w:val="00054D83"/>
    <w:rsid w:val="00055509"/>
    <w:rsid w:val="0005587D"/>
    <w:rsid w:val="00056B2A"/>
    <w:rsid w:val="00056BF4"/>
    <w:rsid w:val="0005780B"/>
    <w:rsid w:val="000602B0"/>
    <w:rsid w:val="000609A8"/>
    <w:rsid w:val="00061170"/>
    <w:rsid w:val="0006176F"/>
    <w:rsid w:val="00061B1F"/>
    <w:rsid w:val="00061B93"/>
    <w:rsid w:val="00061B97"/>
    <w:rsid w:val="000624E7"/>
    <w:rsid w:val="00062630"/>
    <w:rsid w:val="00062B25"/>
    <w:rsid w:val="00062D78"/>
    <w:rsid w:val="0006326D"/>
    <w:rsid w:val="00063C36"/>
    <w:rsid w:val="0006520F"/>
    <w:rsid w:val="000652AC"/>
    <w:rsid w:val="000661FE"/>
    <w:rsid w:val="00066EDE"/>
    <w:rsid w:val="0006717C"/>
    <w:rsid w:val="000671E4"/>
    <w:rsid w:val="00067918"/>
    <w:rsid w:val="00071151"/>
    <w:rsid w:val="000713E2"/>
    <w:rsid w:val="000727E0"/>
    <w:rsid w:val="000733C4"/>
    <w:rsid w:val="00074515"/>
    <w:rsid w:val="00074783"/>
    <w:rsid w:val="00074947"/>
    <w:rsid w:val="0007498B"/>
    <w:rsid w:val="00074FC4"/>
    <w:rsid w:val="00076547"/>
    <w:rsid w:val="0007674B"/>
    <w:rsid w:val="00076990"/>
    <w:rsid w:val="00077123"/>
    <w:rsid w:val="00077258"/>
    <w:rsid w:val="000773D6"/>
    <w:rsid w:val="00077888"/>
    <w:rsid w:val="00077B1B"/>
    <w:rsid w:val="00077CA9"/>
    <w:rsid w:val="00077CD8"/>
    <w:rsid w:val="00077EB1"/>
    <w:rsid w:val="0008070B"/>
    <w:rsid w:val="000810AC"/>
    <w:rsid w:val="0008157B"/>
    <w:rsid w:val="00081975"/>
    <w:rsid w:val="00081A02"/>
    <w:rsid w:val="00082231"/>
    <w:rsid w:val="0008233B"/>
    <w:rsid w:val="0008291C"/>
    <w:rsid w:val="0008334F"/>
    <w:rsid w:val="00083595"/>
    <w:rsid w:val="0008374C"/>
    <w:rsid w:val="00083D66"/>
    <w:rsid w:val="00084086"/>
    <w:rsid w:val="00085FD5"/>
    <w:rsid w:val="00086C77"/>
    <w:rsid w:val="00087073"/>
    <w:rsid w:val="000878E2"/>
    <w:rsid w:val="000908A4"/>
    <w:rsid w:val="000909AD"/>
    <w:rsid w:val="00090C57"/>
    <w:rsid w:val="00090C87"/>
    <w:rsid w:val="00090DD6"/>
    <w:rsid w:val="0009126F"/>
    <w:rsid w:val="000919E7"/>
    <w:rsid w:val="00091D81"/>
    <w:rsid w:val="00092236"/>
    <w:rsid w:val="000927C4"/>
    <w:rsid w:val="000928DD"/>
    <w:rsid w:val="00092D38"/>
    <w:rsid w:val="00093172"/>
    <w:rsid w:val="0009377B"/>
    <w:rsid w:val="00093BD7"/>
    <w:rsid w:val="00094A3C"/>
    <w:rsid w:val="00094BB4"/>
    <w:rsid w:val="000951C9"/>
    <w:rsid w:val="000951DE"/>
    <w:rsid w:val="00095355"/>
    <w:rsid w:val="00095510"/>
    <w:rsid w:val="00095F17"/>
    <w:rsid w:val="000961E1"/>
    <w:rsid w:val="000963DC"/>
    <w:rsid w:val="00096984"/>
    <w:rsid w:val="000969AD"/>
    <w:rsid w:val="00096E7C"/>
    <w:rsid w:val="00097979"/>
    <w:rsid w:val="000A0969"/>
    <w:rsid w:val="000A0C5F"/>
    <w:rsid w:val="000A154E"/>
    <w:rsid w:val="000A1B95"/>
    <w:rsid w:val="000A1C2C"/>
    <w:rsid w:val="000A1CB1"/>
    <w:rsid w:val="000A1E30"/>
    <w:rsid w:val="000A20C9"/>
    <w:rsid w:val="000A230B"/>
    <w:rsid w:val="000A2DA7"/>
    <w:rsid w:val="000A2F77"/>
    <w:rsid w:val="000A3275"/>
    <w:rsid w:val="000A33CB"/>
    <w:rsid w:val="000A3727"/>
    <w:rsid w:val="000A3849"/>
    <w:rsid w:val="000A44DA"/>
    <w:rsid w:val="000A4AAD"/>
    <w:rsid w:val="000A4AE8"/>
    <w:rsid w:val="000A5ADB"/>
    <w:rsid w:val="000A5C9B"/>
    <w:rsid w:val="000A6648"/>
    <w:rsid w:val="000A6C64"/>
    <w:rsid w:val="000A6E16"/>
    <w:rsid w:val="000A7CD3"/>
    <w:rsid w:val="000A7EA8"/>
    <w:rsid w:val="000A7EA9"/>
    <w:rsid w:val="000B058F"/>
    <w:rsid w:val="000B0DEB"/>
    <w:rsid w:val="000B1AA7"/>
    <w:rsid w:val="000B2719"/>
    <w:rsid w:val="000B29B4"/>
    <w:rsid w:val="000B32DE"/>
    <w:rsid w:val="000B3314"/>
    <w:rsid w:val="000B3348"/>
    <w:rsid w:val="000B3833"/>
    <w:rsid w:val="000B3852"/>
    <w:rsid w:val="000B3C2E"/>
    <w:rsid w:val="000B3DE0"/>
    <w:rsid w:val="000B4035"/>
    <w:rsid w:val="000B4290"/>
    <w:rsid w:val="000B4467"/>
    <w:rsid w:val="000B48D4"/>
    <w:rsid w:val="000B4DB9"/>
    <w:rsid w:val="000B552F"/>
    <w:rsid w:val="000B5E29"/>
    <w:rsid w:val="000B6CD4"/>
    <w:rsid w:val="000B741C"/>
    <w:rsid w:val="000B745E"/>
    <w:rsid w:val="000B749B"/>
    <w:rsid w:val="000B7A30"/>
    <w:rsid w:val="000C0464"/>
    <w:rsid w:val="000C09AC"/>
    <w:rsid w:val="000C17A2"/>
    <w:rsid w:val="000C1D6D"/>
    <w:rsid w:val="000C261C"/>
    <w:rsid w:val="000C27D4"/>
    <w:rsid w:val="000C2A3C"/>
    <w:rsid w:val="000C2ECF"/>
    <w:rsid w:val="000C3137"/>
    <w:rsid w:val="000C4471"/>
    <w:rsid w:val="000C489C"/>
    <w:rsid w:val="000C4DE1"/>
    <w:rsid w:val="000C5144"/>
    <w:rsid w:val="000C5B22"/>
    <w:rsid w:val="000C5B90"/>
    <w:rsid w:val="000C5C20"/>
    <w:rsid w:val="000C645E"/>
    <w:rsid w:val="000C6869"/>
    <w:rsid w:val="000C71C6"/>
    <w:rsid w:val="000C7475"/>
    <w:rsid w:val="000C767F"/>
    <w:rsid w:val="000D03E5"/>
    <w:rsid w:val="000D1161"/>
    <w:rsid w:val="000D2E43"/>
    <w:rsid w:val="000D379A"/>
    <w:rsid w:val="000D3D58"/>
    <w:rsid w:val="000D4D5B"/>
    <w:rsid w:val="000D5462"/>
    <w:rsid w:val="000D568D"/>
    <w:rsid w:val="000D5A44"/>
    <w:rsid w:val="000D5F32"/>
    <w:rsid w:val="000D67E9"/>
    <w:rsid w:val="000D6C4E"/>
    <w:rsid w:val="000D7AD2"/>
    <w:rsid w:val="000E05A0"/>
    <w:rsid w:val="000E1125"/>
    <w:rsid w:val="000E18C1"/>
    <w:rsid w:val="000E1C5D"/>
    <w:rsid w:val="000E26FE"/>
    <w:rsid w:val="000E2E65"/>
    <w:rsid w:val="000E367B"/>
    <w:rsid w:val="000E374A"/>
    <w:rsid w:val="000E3EBD"/>
    <w:rsid w:val="000E3ED2"/>
    <w:rsid w:val="000E4678"/>
    <w:rsid w:val="000E4C26"/>
    <w:rsid w:val="000E4C79"/>
    <w:rsid w:val="000E5C0A"/>
    <w:rsid w:val="000E5FC5"/>
    <w:rsid w:val="000E65D4"/>
    <w:rsid w:val="000E67E9"/>
    <w:rsid w:val="000E6855"/>
    <w:rsid w:val="000E6B66"/>
    <w:rsid w:val="000E6BCA"/>
    <w:rsid w:val="000E7B9C"/>
    <w:rsid w:val="000E7FD0"/>
    <w:rsid w:val="000E7FEA"/>
    <w:rsid w:val="000F015F"/>
    <w:rsid w:val="000F0A83"/>
    <w:rsid w:val="000F10E0"/>
    <w:rsid w:val="000F15B3"/>
    <w:rsid w:val="000F16C8"/>
    <w:rsid w:val="000F2212"/>
    <w:rsid w:val="000F3A84"/>
    <w:rsid w:val="000F3EAE"/>
    <w:rsid w:val="000F4A5E"/>
    <w:rsid w:val="000F54FB"/>
    <w:rsid w:val="000F551A"/>
    <w:rsid w:val="000F6317"/>
    <w:rsid w:val="000F67C7"/>
    <w:rsid w:val="000F731F"/>
    <w:rsid w:val="000F7469"/>
    <w:rsid w:val="000F746C"/>
    <w:rsid w:val="000F75CE"/>
    <w:rsid w:val="001003D1"/>
    <w:rsid w:val="00100510"/>
    <w:rsid w:val="001008EA"/>
    <w:rsid w:val="00100AE9"/>
    <w:rsid w:val="00101136"/>
    <w:rsid w:val="001012B0"/>
    <w:rsid w:val="0010156D"/>
    <w:rsid w:val="00101C86"/>
    <w:rsid w:val="00102619"/>
    <w:rsid w:val="00102DEE"/>
    <w:rsid w:val="00102E4F"/>
    <w:rsid w:val="00102FE8"/>
    <w:rsid w:val="001034D1"/>
    <w:rsid w:val="0010388D"/>
    <w:rsid w:val="00103C8C"/>
    <w:rsid w:val="00104053"/>
    <w:rsid w:val="0010406E"/>
    <w:rsid w:val="00104D4C"/>
    <w:rsid w:val="00104F3F"/>
    <w:rsid w:val="00105272"/>
    <w:rsid w:val="00105550"/>
    <w:rsid w:val="00105B27"/>
    <w:rsid w:val="00105BB5"/>
    <w:rsid w:val="00105DA5"/>
    <w:rsid w:val="00106200"/>
    <w:rsid w:val="00106594"/>
    <w:rsid w:val="00106698"/>
    <w:rsid w:val="00106CAD"/>
    <w:rsid w:val="00106E69"/>
    <w:rsid w:val="00106FE1"/>
    <w:rsid w:val="001076C2"/>
    <w:rsid w:val="00110175"/>
    <w:rsid w:val="001105BC"/>
    <w:rsid w:val="0011095D"/>
    <w:rsid w:val="001109D7"/>
    <w:rsid w:val="00110EDE"/>
    <w:rsid w:val="001126F9"/>
    <w:rsid w:val="001129B1"/>
    <w:rsid w:val="00112EBB"/>
    <w:rsid w:val="0011304D"/>
    <w:rsid w:val="00113557"/>
    <w:rsid w:val="00113B47"/>
    <w:rsid w:val="0011409F"/>
    <w:rsid w:val="00114391"/>
    <w:rsid w:val="00114724"/>
    <w:rsid w:val="00114C67"/>
    <w:rsid w:val="00115448"/>
    <w:rsid w:val="00115E5C"/>
    <w:rsid w:val="00115F0F"/>
    <w:rsid w:val="00116225"/>
    <w:rsid w:val="00116E3B"/>
    <w:rsid w:val="00121404"/>
    <w:rsid w:val="00121DA0"/>
    <w:rsid w:val="00122D61"/>
    <w:rsid w:val="001230B8"/>
    <w:rsid w:val="0012336E"/>
    <w:rsid w:val="00123A49"/>
    <w:rsid w:val="00124287"/>
    <w:rsid w:val="0012478B"/>
    <w:rsid w:val="00124798"/>
    <w:rsid w:val="001248F0"/>
    <w:rsid w:val="00124DB7"/>
    <w:rsid w:val="00125620"/>
    <w:rsid w:val="0012599A"/>
    <w:rsid w:val="00126510"/>
    <w:rsid w:val="00126839"/>
    <w:rsid w:val="001269A0"/>
    <w:rsid w:val="00126BB6"/>
    <w:rsid w:val="00126D5B"/>
    <w:rsid w:val="00127A80"/>
    <w:rsid w:val="00127BA4"/>
    <w:rsid w:val="00127F1D"/>
    <w:rsid w:val="00130587"/>
    <w:rsid w:val="00130F29"/>
    <w:rsid w:val="00131558"/>
    <w:rsid w:val="00131C40"/>
    <w:rsid w:val="00131F42"/>
    <w:rsid w:val="0013231B"/>
    <w:rsid w:val="00132E23"/>
    <w:rsid w:val="0013358A"/>
    <w:rsid w:val="00133C3B"/>
    <w:rsid w:val="00133E05"/>
    <w:rsid w:val="001346A5"/>
    <w:rsid w:val="00134857"/>
    <w:rsid w:val="00134867"/>
    <w:rsid w:val="001348F3"/>
    <w:rsid w:val="00135576"/>
    <w:rsid w:val="00135727"/>
    <w:rsid w:val="001357F1"/>
    <w:rsid w:val="00136391"/>
    <w:rsid w:val="00136663"/>
    <w:rsid w:val="00136F7F"/>
    <w:rsid w:val="0013748A"/>
    <w:rsid w:val="00140A2A"/>
    <w:rsid w:val="00140FA8"/>
    <w:rsid w:val="00141492"/>
    <w:rsid w:val="00141544"/>
    <w:rsid w:val="0014178A"/>
    <w:rsid w:val="001417B8"/>
    <w:rsid w:val="00141B9D"/>
    <w:rsid w:val="00141CD8"/>
    <w:rsid w:val="00141E21"/>
    <w:rsid w:val="00141F32"/>
    <w:rsid w:val="00141FF9"/>
    <w:rsid w:val="001423F8"/>
    <w:rsid w:val="001425A6"/>
    <w:rsid w:val="00142BBC"/>
    <w:rsid w:val="00142CD9"/>
    <w:rsid w:val="00142ED6"/>
    <w:rsid w:val="00142EE0"/>
    <w:rsid w:val="00142F8E"/>
    <w:rsid w:val="00142FEB"/>
    <w:rsid w:val="00143A2D"/>
    <w:rsid w:val="00143A5D"/>
    <w:rsid w:val="00143E22"/>
    <w:rsid w:val="001443BD"/>
    <w:rsid w:val="00144605"/>
    <w:rsid w:val="00144983"/>
    <w:rsid w:val="001459C9"/>
    <w:rsid w:val="00145A41"/>
    <w:rsid w:val="00145A48"/>
    <w:rsid w:val="00145B68"/>
    <w:rsid w:val="00145DD9"/>
    <w:rsid w:val="001461C6"/>
    <w:rsid w:val="0014664B"/>
    <w:rsid w:val="00146EAF"/>
    <w:rsid w:val="001477D2"/>
    <w:rsid w:val="0015014A"/>
    <w:rsid w:val="00150793"/>
    <w:rsid w:val="00150BAB"/>
    <w:rsid w:val="00151675"/>
    <w:rsid w:val="0015190A"/>
    <w:rsid w:val="00151A40"/>
    <w:rsid w:val="00151C52"/>
    <w:rsid w:val="00151C86"/>
    <w:rsid w:val="00151E40"/>
    <w:rsid w:val="00152D06"/>
    <w:rsid w:val="00152D62"/>
    <w:rsid w:val="00153927"/>
    <w:rsid w:val="001549DD"/>
    <w:rsid w:val="00154EAB"/>
    <w:rsid w:val="0015573C"/>
    <w:rsid w:val="001557E5"/>
    <w:rsid w:val="00156173"/>
    <w:rsid w:val="00156482"/>
    <w:rsid w:val="00156688"/>
    <w:rsid w:val="00156A8B"/>
    <w:rsid w:val="00157435"/>
    <w:rsid w:val="00157E61"/>
    <w:rsid w:val="001605C2"/>
    <w:rsid w:val="001614A6"/>
    <w:rsid w:val="00161937"/>
    <w:rsid w:val="00161AE5"/>
    <w:rsid w:val="0016218B"/>
    <w:rsid w:val="0016234E"/>
    <w:rsid w:val="00162AF3"/>
    <w:rsid w:val="001630DA"/>
    <w:rsid w:val="0016323D"/>
    <w:rsid w:val="001632B7"/>
    <w:rsid w:val="0016365C"/>
    <w:rsid w:val="001636E1"/>
    <w:rsid w:val="001636EE"/>
    <w:rsid w:val="00163B4F"/>
    <w:rsid w:val="001645A1"/>
    <w:rsid w:val="00164A43"/>
    <w:rsid w:val="00164A67"/>
    <w:rsid w:val="00164E62"/>
    <w:rsid w:val="001652E2"/>
    <w:rsid w:val="00165779"/>
    <w:rsid w:val="001659F9"/>
    <w:rsid w:val="00165B03"/>
    <w:rsid w:val="001663FC"/>
    <w:rsid w:val="00166490"/>
    <w:rsid w:val="001670A5"/>
    <w:rsid w:val="00167136"/>
    <w:rsid w:val="00167946"/>
    <w:rsid w:val="00170131"/>
    <w:rsid w:val="00170450"/>
    <w:rsid w:val="001705AB"/>
    <w:rsid w:val="00170817"/>
    <w:rsid w:val="00170ECA"/>
    <w:rsid w:val="00170FDA"/>
    <w:rsid w:val="001714E9"/>
    <w:rsid w:val="001716F0"/>
    <w:rsid w:val="00171875"/>
    <w:rsid w:val="00171C34"/>
    <w:rsid w:val="00173827"/>
    <w:rsid w:val="00173928"/>
    <w:rsid w:val="00174264"/>
    <w:rsid w:val="00174847"/>
    <w:rsid w:val="0017504D"/>
    <w:rsid w:val="001759A4"/>
    <w:rsid w:val="00175BEA"/>
    <w:rsid w:val="00175E31"/>
    <w:rsid w:val="00175EFF"/>
    <w:rsid w:val="00176341"/>
    <w:rsid w:val="0017671A"/>
    <w:rsid w:val="0017704F"/>
    <w:rsid w:val="00177422"/>
    <w:rsid w:val="00177611"/>
    <w:rsid w:val="00177C43"/>
    <w:rsid w:val="00180847"/>
    <w:rsid w:val="00181A66"/>
    <w:rsid w:val="00181FE7"/>
    <w:rsid w:val="0018216F"/>
    <w:rsid w:val="001825CE"/>
    <w:rsid w:val="00182B34"/>
    <w:rsid w:val="001832D8"/>
    <w:rsid w:val="001835C7"/>
    <w:rsid w:val="00183878"/>
    <w:rsid w:val="00183A06"/>
    <w:rsid w:val="00183A33"/>
    <w:rsid w:val="00184590"/>
    <w:rsid w:val="00185F6E"/>
    <w:rsid w:val="001861B8"/>
    <w:rsid w:val="00186F7B"/>
    <w:rsid w:val="001870D1"/>
    <w:rsid w:val="00187467"/>
    <w:rsid w:val="0018748B"/>
    <w:rsid w:val="0018781E"/>
    <w:rsid w:val="00187A33"/>
    <w:rsid w:val="001905AF"/>
    <w:rsid w:val="00190A70"/>
    <w:rsid w:val="00190EBC"/>
    <w:rsid w:val="001910FA"/>
    <w:rsid w:val="00191375"/>
    <w:rsid w:val="00191720"/>
    <w:rsid w:val="00191D8F"/>
    <w:rsid w:val="00191E71"/>
    <w:rsid w:val="0019262D"/>
    <w:rsid w:val="00192885"/>
    <w:rsid w:val="001928BE"/>
    <w:rsid w:val="00192E1D"/>
    <w:rsid w:val="00193527"/>
    <w:rsid w:val="00193B43"/>
    <w:rsid w:val="00193C79"/>
    <w:rsid w:val="00193FB0"/>
    <w:rsid w:val="00194881"/>
    <w:rsid w:val="00194A4A"/>
    <w:rsid w:val="00195344"/>
    <w:rsid w:val="00195555"/>
    <w:rsid w:val="00196683"/>
    <w:rsid w:val="00196830"/>
    <w:rsid w:val="001971DC"/>
    <w:rsid w:val="001977F5"/>
    <w:rsid w:val="00197E9E"/>
    <w:rsid w:val="00197F02"/>
    <w:rsid w:val="001A0339"/>
    <w:rsid w:val="001A0705"/>
    <w:rsid w:val="001A08DA"/>
    <w:rsid w:val="001A0F05"/>
    <w:rsid w:val="001A106F"/>
    <w:rsid w:val="001A113E"/>
    <w:rsid w:val="001A1B35"/>
    <w:rsid w:val="001A292C"/>
    <w:rsid w:val="001A3584"/>
    <w:rsid w:val="001A48A2"/>
    <w:rsid w:val="001A4A8C"/>
    <w:rsid w:val="001A54A2"/>
    <w:rsid w:val="001A5C02"/>
    <w:rsid w:val="001A6373"/>
    <w:rsid w:val="001A69D9"/>
    <w:rsid w:val="001A6F61"/>
    <w:rsid w:val="001A71F9"/>
    <w:rsid w:val="001A7502"/>
    <w:rsid w:val="001A7B2E"/>
    <w:rsid w:val="001A7CC0"/>
    <w:rsid w:val="001A7E20"/>
    <w:rsid w:val="001A7FD9"/>
    <w:rsid w:val="001B0684"/>
    <w:rsid w:val="001B1195"/>
    <w:rsid w:val="001B131C"/>
    <w:rsid w:val="001B2231"/>
    <w:rsid w:val="001B223C"/>
    <w:rsid w:val="001B3A57"/>
    <w:rsid w:val="001B3A86"/>
    <w:rsid w:val="001B3DBA"/>
    <w:rsid w:val="001B3DDE"/>
    <w:rsid w:val="001B3EDF"/>
    <w:rsid w:val="001B3F73"/>
    <w:rsid w:val="001B4895"/>
    <w:rsid w:val="001B5039"/>
    <w:rsid w:val="001B5162"/>
    <w:rsid w:val="001B5883"/>
    <w:rsid w:val="001B5941"/>
    <w:rsid w:val="001B6680"/>
    <w:rsid w:val="001B6849"/>
    <w:rsid w:val="001B7246"/>
    <w:rsid w:val="001B7287"/>
    <w:rsid w:val="001B72B8"/>
    <w:rsid w:val="001B74DD"/>
    <w:rsid w:val="001C0268"/>
    <w:rsid w:val="001C082F"/>
    <w:rsid w:val="001C09E0"/>
    <w:rsid w:val="001C1513"/>
    <w:rsid w:val="001C165C"/>
    <w:rsid w:val="001C1C0C"/>
    <w:rsid w:val="001C1FC0"/>
    <w:rsid w:val="001C263E"/>
    <w:rsid w:val="001C2A93"/>
    <w:rsid w:val="001C416C"/>
    <w:rsid w:val="001C4991"/>
    <w:rsid w:val="001C4B35"/>
    <w:rsid w:val="001C5194"/>
    <w:rsid w:val="001C5681"/>
    <w:rsid w:val="001C5C19"/>
    <w:rsid w:val="001C64D0"/>
    <w:rsid w:val="001C69B3"/>
    <w:rsid w:val="001C7DCC"/>
    <w:rsid w:val="001D0690"/>
    <w:rsid w:val="001D0AC9"/>
    <w:rsid w:val="001D0B21"/>
    <w:rsid w:val="001D1222"/>
    <w:rsid w:val="001D1D0E"/>
    <w:rsid w:val="001D2141"/>
    <w:rsid w:val="001D3117"/>
    <w:rsid w:val="001D3124"/>
    <w:rsid w:val="001D3292"/>
    <w:rsid w:val="001D4B21"/>
    <w:rsid w:val="001D4F44"/>
    <w:rsid w:val="001D5595"/>
    <w:rsid w:val="001D5ECF"/>
    <w:rsid w:val="001D6028"/>
    <w:rsid w:val="001D69F1"/>
    <w:rsid w:val="001D749D"/>
    <w:rsid w:val="001D7874"/>
    <w:rsid w:val="001D7F22"/>
    <w:rsid w:val="001E01C6"/>
    <w:rsid w:val="001E0CD0"/>
    <w:rsid w:val="001E0ECE"/>
    <w:rsid w:val="001E2178"/>
    <w:rsid w:val="001E245D"/>
    <w:rsid w:val="001E2490"/>
    <w:rsid w:val="001E2AC1"/>
    <w:rsid w:val="001E2BE7"/>
    <w:rsid w:val="001E3263"/>
    <w:rsid w:val="001E3484"/>
    <w:rsid w:val="001E3600"/>
    <w:rsid w:val="001E3BBE"/>
    <w:rsid w:val="001E3D95"/>
    <w:rsid w:val="001E41EB"/>
    <w:rsid w:val="001E42B5"/>
    <w:rsid w:val="001E4565"/>
    <w:rsid w:val="001E49AE"/>
    <w:rsid w:val="001E4F81"/>
    <w:rsid w:val="001E4FE4"/>
    <w:rsid w:val="001E5374"/>
    <w:rsid w:val="001E57B1"/>
    <w:rsid w:val="001E5E26"/>
    <w:rsid w:val="001E75D6"/>
    <w:rsid w:val="001E79DF"/>
    <w:rsid w:val="001E7C7A"/>
    <w:rsid w:val="001F0022"/>
    <w:rsid w:val="001F05CB"/>
    <w:rsid w:val="001F06FA"/>
    <w:rsid w:val="001F0F17"/>
    <w:rsid w:val="001F143A"/>
    <w:rsid w:val="001F15BB"/>
    <w:rsid w:val="001F1B90"/>
    <w:rsid w:val="001F2BAC"/>
    <w:rsid w:val="001F3347"/>
    <w:rsid w:val="001F4252"/>
    <w:rsid w:val="001F4CF1"/>
    <w:rsid w:val="001F5011"/>
    <w:rsid w:val="001F6842"/>
    <w:rsid w:val="001F69E4"/>
    <w:rsid w:val="001F6B75"/>
    <w:rsid w:val="001F7874"/>
    <w:rsid w:val="001F7D6E"/>
    <w:rsid w:val="00200300"/>
    <w:rsid w:val="00200C4A"/>
    <w:rsid w:val="00201034"/>
    <w:rsid w:val="002011FC"/>
    <w:rsid w:val="002014D2"/>
    <w:rsid w:val="00201C9D"/>
    <w:rsid w:val="0020288D"/>
    <w:rsid w:val="002030BA"/>
    <w:rsid w:val="00203BE3"/>
    <w:rsid w:val="00203FC3"/>
    <w:rsid w:val="0020461B"/>
    <w:rsid w:val="00204C0D"/>
    <w:rsid w:val="0020558C"/>
    <w:rsid w:val="00205B67"/>
    <w:rsid w:val="00207B48"/>
    <w:rsid w:val="00210493"/>
    <w:rsid w:val="002104ED"/>
    <w:rsid w:val="002105FD"/>
    <w:rsid w:val="00210C8C"/>
    <w:rsid w:val="00211127"/>
    <w:rsid w:val="002120ED"/>
    <w:rsid w:val="002125B4"/>
    <w:rsid w:val="002127FA"/>
    <w:rsid w:val="0021292D"/>
    <w:rsid w:val="00212B53"/>
    <w:rsid w:val="00212BA1"/>
    <w:rsid w:val="00212DB9"/>
    <w:rsid w:val="00212E62"/>
    <w:rsid w:val="002133C4"/>
    <w:rsid w:val="00213646"/>
    <w:rsid w:val="0021419A"/>
    <w:rsid w:val="00214BF3"/>
    <w:rsid w:val="002151E7"/>
    <w:rsid w:val="002155B8"/>
    <w:rsid w:val="0021596C"/>
    <w:rsid w:val="0021607F"/>
    <w:rsid w:val="002163D5"/>
    <w:rsid w:val="00216FD2"/>
    <w:rsid w:val="002172DB"/>
    <w:rsid w:val="00217437"/>
    <w:rsid w:val="002178A4"/>
    <w:rsid w:val="00217D80"/>
    <w:rsid w:val="002206AF"/>
    <w:rsid w:val="00220A39"/>
    <w:rsid w:val="00221A5D"/>
    <w:rsid w:val="002223E9"/>
    <w:rsid w:val="002233FC"/>
    <w:rsid w:val="00223571"/>
    <w:rsid w:val="00223BF4"/>
    <w:rsid w:val="00223D78"/>
    <w:rsid w:val="00224839"/>
    <w:rsid w:val="002249B2"/>
    <w:rsid w:val="00226470"/>
    <w:rsid w:val="00226574"/>
    <w:rsid w:val="00226D3E"/>
    <w:rsid w:val="002278EC"/>
    <w:rsid w:val="00227E7C"/>
    <w:rsid w:val="00230C16"/>
    <w:rsid w:val="002311BC"/>
    <w:rsid w:val="0023165C"/>
    <w:rsid w:val="002320E8"/>
    <w:rsid w:val="0023280E"/>
    <w:rsid w:val="00232826"/>
    <w:rsid w:val="00232E77"/>
    <w:rsid w:val="00233F26"/>
    <w:rsid w:val="00233FD1"/>
    <w:rsid w:val="0023416E"/>
    <w:rsid w:val="00234A30"/>
    <w:rsid w:val="00235C82"/>
    <w:rsid w:val="00236C21"/>
    <w:rsid w:val="00236DAC"/>
    <w:rsid w:val="00237673"/>
    <w:rsid w:val="002377D1"/>
    <w:rsid w:val="0024000E"/>
    <w:rsid w:val="00240086"/>
    <w:rsid w:val="002400A9"/>
    <w:rsid w:val="002400C9"/>
    <w:rsid w:val="002410F1"/>
    <w:rsid w:val="0024122E"/>
    <w:rsid w:val="00243164"/>
    <w:rsid w:val="002433B6"/>
    <w:rsid w:val="002435F6"/>
    <w:rsid w:val="002439DF"/>
    <w:rsid w:val="00243D1D"/>
    <w:rsid w:val="00244518"/>
    <w:rsid w:val="002453EA"/>
    <w:rsid w:val="00245B74"/>
    <w:rsid w:val="002462A3"/>
    <w:rsid w:val="00247279"/>
    <w:rsid w:val="002473F8"/>
    <w:rsid w:val="0024761B"/>
    <w:rsid w:val="002503EC"/>
    <w:rsid w:val="002504CA"/>
    <w:rsid w:val="002506BC"/>
    <w:rsid w:val="00250743"/>
    <w:rsid w:val="00250EC0"/>
    <w:rsid w:val="00251171"/>
    <w:rsid w:val="00251689"/>
    <w:rsid w:val="0025187E"/>
    <w:rsid w:val="00252660"/>
    <w:rsid w:val="00252748"/>
    <w:rsid w:val="00252B89"/>
    <w:rsid w:val="00253495"/>
    <w:rsid w:val="00253F87"/>
    <w:rsid w:val="00254345"/>
    <w:rsid w:val="00254536"/>
    <w:rsid w:val="0025463E"/>
    <w:rsid w:val="00255455"/>
    <w:rsid w:val="002558A8"/>
    <w:rsid w:val="0025638A"/>
    <w:rsid w:val="00256968"/>
    <w:rsid w:val="00256A72"/>
    <w:rsid w:val="0025746A"/>
    <w:rsid w:val="00257568"/>
    <w:rsid w:val="00257987"/>
    <w:rsid w:val="00257D98"/>
    <w:rsid w:val="002603F5"/>
    <w:rsid w:val="00260BA5"/>
    <w:rsid w:val="0026151E"/>
    <w:rsid w:val="00261744"/>
    <w:rsid w:val="002617F8"/>
    <w:rsid w:val="00261A34"/>
    <w:rsid w:val="00261A9B"/>
    <w:rsid w:val="002621D1"/>
    <w:rsid w:val="0026242C"/>
    <w:rsid w:val="002626C9"/>
    <w:rsid w:val="00262DB1"/>
    <w:rsid w:val="00264063"/>
    <w:rsid w:val="00264557"/>
    <w:rsid w:val="00264850"/>
    <w:rsid w:val="00264FE6"/>
    <w:rsid w:val="00265246"/>
    <w:rsid w:val="00266649"/>
    <w:rsid w:val="00266C07"/>
    <w:rsid w:val="002673FE"/>
    <w:rsid w:val="0026781D"/>
    <w:rsid w:val="0026787C"/>
    <w:rsid w:val="002679F3"/>
    <w:rsid w:val="0027069E"/>
    <w:rsid w:val="0027136C"/>
    <w:rsid w:val="00271485"/>
    <w:rsid w:val="00271688"/>
    <w:rsid w:val="002719A2"/>
    <w:rsid w:val="00272158"/>
    <w:rsid w:val="00272487"/>
    <w:rsid w:val="002726B4"/>
    <w:rsid w:val="002737A9"/>
    <w:rsid w:val="00273EE1"/>
    <w:rsid w:val="0027428B"/>
    <w:rsid w:val="002750FB"/>
    <w:rsid w:val="00275910"/>
    <w:rsid w:val="00275987"/>
    <w:rsid w:val="002760A2"/>
    <w:rsid w:val="0027787C"/>
    <w:rsid w:val="00277DB5"/>
    <w:rsid w:val="002805AB"/>
    <w:rsid w:val="00280F8C"/>
    <w:rsid w:val="0028100F"/>
    <w:rsid w:val="002815BC"/>
    <w:rsid w:val="00281646"/>
    <w:rsid w:val="002816D7"/>
    <w:rsid w:val="0028178D"/>
    <w:rsid w:val="002818F0"/>
    <w:rsid w:val="00281F15"/>
    <w:rsid w:val="0028257A"/>
    <w:rsid w:val="002834B9"/>
    <w:rsid w:val="00283571"/>
    <w:rsid w:val="00283879"/>
    <w:rsid w:val="00283A5E"/>
    <w:rsid w:val="00283D67"/>
    <w:rsid w:val="00284204"/>
    <w:rsid w:val="0028444C"/>
    <w:rsid w:val="002846EC"/>
    <w:rsid w:val="00284C20"/>
    <w:rsid w:val="002854F3"/>
    <w:rsid w:val="00285E77"/>
    <w:rsid w:val="00286404"/>
    <w:rsid w:val="002869A6"/>
    <w:rsid w:val="00286C83"/>
    <w:rsid w:val="00286E4B"/>
    <w:rsid w:val="002871C4"/>
    <w:rsid w:val="00287F15"/>
    <w:rsid w:val="00287F37"/>
    <w:rsid w:val="0029091D"/>
    <w:rsid w:val="00291150"/>
    <w:rsid w:val="00291773"/>
    <w:rsid w:val="0029246B"/>
    <w:rsid w:val="0029249E"/>
    <w:rsid w:val="00292B9D"/>
    <w:rsid w:val="002938DE"/>
    <w:rsid w:val="00293C12"/>
    <w:rsid w:val="00294EB6"/>
    <w:rsid w:val="00294F29"/>
    <w:rsid w:val="002951E6"/>
    <w:rsid w:val="002957E2"/>
    <w:rsid w:val="00295915"/>
    <w:rsid w:val="00295A6E"/>
    <w:rsid w:val="00295B1B"/>
    <w:rsid w:val="002963A4"/>
    <w:rsid w:val="002965EB"/>
    <w:rsid w:val="002966F3"/>
    <w:rsid w:val="00296BEC"/>
    <w:rsid w:val="00296EA7"/>
    <w:rsid w:val="002A09BC"/>
    <w:rsid w:val="002A0C00"/>
    <w:rsid w:val="002A0CD9"/>
    <w:rsid w:val="002A0F35"/>
    <w:rsid w:val="002A143A"/>
    <w:rsid w:val="002A168C"/>
    <w:rsid w:val="002A24CF"/>
    <w:rsid w:val="002A27AC"/>
    <w:rsid w:val="002A2A55"/>
    <w:rsid w:val="002A3154"/>
    <w:rsid w:val="002A3790"/>
    <w:rsid w:val="002A399B"/>
    <w:rsid w:val="002A3DC7"/>
    <w:rsid w:val="002A4410"/>
    <w:rsid w:val="002A48C7"/>
    <w:rsid w:val="002A4EED"/>
    <w:rsid w:val="002A5016"/>
    <w:rsid w:val="002A53E9"/>
    <w:rsid w:val="002A556D"/>
    <w:rsid w:val="002A5649"/>
    <w:rsid w:val="002A5809"/>
    <w:rsid w:val="002A590D"/>
    <w:rsid w:val="002A6148"/>
    <w:rsid w:val="002A6859"/>
    <w:rsid w:val="002A79F1"/>
    <w:rsid w:val="002A7AC4"/>
    <w:rsid w:val="002A7C9A"/>
    <w:rsid w:val="002B0D39"/>
    <w:rsid w:val="002B1042"/>
    <w:rsid w:val="002B16FF"/>
    <w:rsid w:val="002B1935"/>
    <w:rsid w:val="002B1DE3"/>
    <w:rsid w:val="002B20D4"/>
    <w:rsid w:val="002B26E6"/>
    <w:rsid w:val="002B3EA2"/>
    <w:rsid w:val="002B49E2"/>
    <w:rsid w:val="002B51A3"/>
    <w:rsid w:val="002B5333"/>
    <w:rsid w:val="002B55D9"/>
    <w:rsid w:val="002B57DE"/>
    <w:rsid w:val="002B5DA3"/>
    <w:rsid w:val="002B6D92"/>
    <w:rsid w:val="002B6EEB"/>
    <w:rsid w:val="002B7B00"/>
    <w:rsid w:val="002B7C31"/>
    <w:rsid w:val="002B7C44"/>
    <w:rsid w:val="002B7C4B"/>
    <w:rsid w:val="002B7CD3"/>
    <w:rsid w:val="002B7D06"/>
    <w:rsid w:val="002C0890"/>
    <w:rsid w:val="002C1109"/>
    <w:rsid w:val="002C1E58"/>
    <w:rsid w:val="002C1EEF"/>
    <w:rsid w:val="002C2B17"/>
    <w:rsid w:val="002C2E0A"/>
    <w:rsid w:val="002C3078"/>
    <w:rsid w:val="002C36B0"/>
    <w:rsid w:val="002C3D25"/>
    <w:rsid w:val="002C4B1E"/>
    <w:rsid w:val="002C4E39"/>
    <w:rsid w:val="002C505E"/>
    <w:rsid w:val="002C51DE"/>
    <w:rsid w:val="002C53E3"/>
    <w:rsid w:val="002C54BA"/>
    <w:rsid w:val="002C57D2"/>
    <w:rsid w:val="002C5E07"/>
    <w:rsid w:val="002C6227"/>
    <w:rsid w:val="002C6242"/>
    <w:rsid w:val="002C6707"/>
    <w:rsid w:val="002C6825"/>
    <w:rsid w:val="002C69D0"/>
    <w:rsid w:val="002C6DA6"/>
    <w:rsid w:val="002C741F"/>
    <w:rsid w:val="002C7D1F"/>
    <w:rsid w:val="002D05E9"/>
    <w:rsid w:val="002D0742"/>
    <w:rsid w:val="002D0D63"/>
    <w:rsid w:val="002D10ED"/>
    <w:rsid w:val="002D148F"/>
    <w:rsid w:val="002D1A1C"/>
    <w:rsid w:val="002D26DE"/>
    <w:rsid w:val="002D2D27"/>
    <w:rsid w:val="002D31D5"/>
    <w:rsid w:val="002D335A"/>
    <w:rsid w:val="002D3DD0"/>
    <w:rsid w:val="002D3EDB"/>
    <w:rsid w:val="002D43D5"/>
    <w:rsid w:val="002D5039"/>
    <w:rsid w:val="002D5959"/>
    <w:rsid w:val="002D5FC7"/>
    <w:rsid w:val="002D677E"/>
    <w:rsid w:val="002D6A0F"/>
    <w:rsid w:val="002D6AD6"/>
    <w:rsid w:val="002D74C4"/>
    <w:rsid w:val="002E08E0"/>
    <w:rsid w:val="002E0BB3"/>
    <w:rsid w:val="002E1035"/>
    <w:rsid w:val="002E10B9"/>
    <w:rsid w:val="002E15FD"/>
    <w:rsid w:val="002E1685"/>
    <w:rsid w:val="002E1C6E"/>
    <w:rsid w:val="002E1F3A"/>
    <w:rsid w:val="002E20BF"/>
    <w:rsid w:val="002E298A"/>
    <w:rsid w:val="002E29F0"/>
    <w:rsid w:val="002E2B72"/>
    <w:rsid w:val="002E3149"/>
    <w:rsid w:val="002E386F"/>
    <w:rsid w:val="002E4A9C"/>
    <w:rsid w:val="002E52C5"/>
    <w:rsid w:val="002E59C2"/>
    <w:rsid w:val="002E65E1"/>
    <w:rsid w:val="002E6641"/>
    <w:rsid w:val="002E6A5D"/>
    <w:rsid w:val="002E6FBD"/>
    <w:rsid w:val="002E7169"/>
    <w:rsid w:val="002E764A"/>
    <w:rsid w:val="002E7E66"/>
    <w:rsid w:val="002F018C"/>
    <w:rsid w:val="002F0791"/>
    <w:rsid w:val="002F0803"/>
    <w:rsid w:val="002F0B45"/>
    <w:rsid w:val="002F0D86"/>
    <w:rsid w:val="002F1095"/>
    <w:rsid w:val="002F1545"/>
    <w:rsid w:val="002F1867"/>
    <w:rsid w:val="002F4A98"/>
    <w:rsid w:val="002F5499"/>
    <w:rsid w:val="002F5618"/>
    <w:rsid w:val="002F590A"/>
    <w:rsid w:val="002F6241"/>
    <w:rsid w:val="002F630F"/>
    <w:rsid w:val="002F65C3"/>
    <w:rsid w:val="002F662D"/>
    <w:rsid w:val="002F6868"/>
    <w:rsid w:val="002F6A0D"/>
    <w:rsid w:val="002F6F70"/>
    <w:rsid w:val="002F7DBD"/>
    <w:rsid w:val="002F7DED"/>
    <w:rsid w:val="003003D0"/>
    <w:rsid w:val="00300994"/>
    <w:rsid w:val="00300E16"/>
    <w:rsid w:val="0030135F"/>
    <w:rsid w:val="00301595"/>
    <w:rsid w:val="00301693"/>
    <w:rsid w:val="00301938"/>
    <w:rsid w:val="00301978"/>
    <w:rsid w:val="00301FC5"/>
    <w:rsid w:val="00302350"/>
    <w:rsid w:val="003028F1"/>
    <w:rsid w:val="003029AA"/>
    <w:rsid w:val="00302BA0"/>
    <w:rsid w:val="0030332C"/>
    <w:rsid w:val="003038A4"/>
    <w:rsid w:val="00304272"/>
    <w:rsid w:val="00304507"/>
    <w:rsid w:val="003046D3"/>
    <w:rsid w:val="00304C77"/>
    <w:rsid w:val="00305079"/>
    <w:rsid w:val="003050B2"/>
    <w:rsid w:val="003051C2"/>
    <w:rsid w:val="003052ED"/>
    <w:rsid w:val="003054F1"/>
    <w:rsid w:val="003057BB"/>
    <w:rsid w:val="00305E59"/>
    <w:rsid w:val="00306EE0"/>
    <w:rsid w:val="00307082"/>
    <w:rsid w:val="003075BD"/>
    <w:rsid w:val="00310580"/>
    <w:rsid w:val="00310810"/>
    <w:rsid w:val="00310840"/>
    <w:rsid w:val="0031105D"/>
    <w:rsid w:val="003112B7"/>
    <w:rsid w:val="003113A8"/>
    <w:rsid w:val="00311A72"/>
    <w:rsid w:val="00312296"/>
    <w:rsid w:val="00312346"/>
    <w:rsid w:val="00312528"/>
    <w:rsid w:val="003131D3"/>
    <w:rsid w:val="0031374D"/>
    <w:rsid w:val="003138CB"/>
    <w:rsid w:val="00313C72"/>
    <w:rsid w:val="0031463D"/>
    <w:rsid w:val="00314775"/>
    <w:rsid w:val="00314868"/>
    <w:rsid w:val="00314F0E"/>
    <w:rsid w:val="00314F7E"/>
    <w:rsid w:val="003159C9"/>
    <w:rsid w:val="00316515"/>
    <w:rsid w:val="00317455"/>
    <w:rsid w:val="00317542"/>
    <w:rsid w:val="00317A96"/>
    <w:rsid w:val="00317C8D"/>
    <w:rsid w:val="00320BF4"/>
    <w:rsid w:val="003212D7"/>
    <w:rsid w:val="003217B4"/>
    <w:rsid w:val="003219A3"/>
    <w:rsid w:val="00321D8E"/>
    <w:rsid w:val="00322EEF"/>
    <w:rsid w:val="003231D5"/>
    <w:rsid w:val="00323552"/>
    <w:rsid w:val="00323B53"/>
    <w:rsid w:val="003249A9"/>
    <w:rsid w:val="00324B10"/>
    <w:rsid w:val="00325928"/>
    <w:rsid w:val="00325AEA"/>
    <w:rsid w:val="003260E4"/>
    <w:rsid w:val="0032643A"/>
    <w:rsid w:val="0032671C"/>
    <w:rsid w:val="0032737D"/>
    <w:rsid w:val="00330273"/>
    <w:rsid w:val="00330D6B"/>
    <w:rsid w:val="00331124"/>
    <w:rsid w:val="003311FA"/>
    <w:rsid w:val="00331DAC"/>
    <w:rsid w:val="0033258B"/>
    <w:rsid w:val="00332863"/>
    <w:rsid w:val="00332E1A"/>
    <w:rsid w:val="00333EBF"/>
    <w:rsid w:val="0033442D"/>
    <w:rsid w:val="00334AB1"/>
    <w:rsid w:val="00334F3F"/>
    <w:rsid w:val="00334FB3"/>
    <w:rsid w:val="003351BB"/>
    <w:rsid w:val="00335484"/>
    <w:rsid w:val="003359BF"/>
    <w:rsid w:val="00335E16"/>
    <w:rsid w:val="00336064"/>
    <w:rsid w:val="003365A3"/>
    <w:rsid w:val="0033684D"/>
    <w:rsid w:val="00336CAB"/>
    <w:rsid w:val="00336E0C"/>
    <w:rsid w:val="00337B42"/>
    <w:rsid w:val="00340129"/>
    <w:rsid w:val="00340729"/>
    <w:rsid w:val="003412FB"/>
    <w:rsid w:val="00341B42"/>
    <w:rsid w:val="00342443"/>
    <w:rsid w:val="0034287E"/>
    <w:rsid w:val="00342A5B"/>
    <w:rsid w:val="00342E21"/>
    <w:rsid w:val="00343045"/>
    <w:rsid w:val="0034348F"/>
    <w:rsid w:val="003434C2"/>
    <w:rsid w:val="003447C4"/>
    <w:rsid w:val="00344BCD"/>
    <w:rsid w:val="003451AD"/>
    <w:rsid w:val="00345732"/>
    <w:rsid w:val="00346AC3"/>
    <w:rsid w:val="0034700D"/>
    <w:rsid w:val="00347324"/>
    <w:rsid w:val="0034735A"/>
    <w:rsid w:val="00350149"/>
    <w:rsid w:val="0035028E"/>
    <w:rsid w:val="0035046F"/>
    <w:rsid w:val="00350736"/>
    <w:rsid w:val="0035081F"/>
    <w:rsid w:val="00351944"/>
    <w:rsid w:val="003526A4"/>
    <w:rsid w:val="0035283D"/>
    <w:rsid w:val="00353300"/>
    <w:rsid w:val="003537C9"/>
    <w:rsid w:val="00353E05"/>
    <w:rsid w:val="00353EF4"/>
    <w:rsid w:val="00354985"/>
    <w:rsid w:val="00354B25"/>
    <w:rsid w:val="00354EDB"/>
    <w:rsid w:val="00355627"/>
    <w:rsid w:val="00355F90"/>
    <w:rsid w:val="003561CD"/>
    <w:rsid w:val="00356523"/>
    <w:rsid w:val="00356653"/>
    <w:rsid w:val="00356EE9"/>
    <w:rsid w:val="0035743F"/>
    <w:rsid w:val="0035782B"/>
    <w:rsid w:val="0035789C"/>
    <w:rsid w:val="00357B17"/>
    <w:rsid w:val="00357BE2"/>
    <w:rsid w:val="00357C9E"/>
    <w:rsid w:val="00357E01"/>
    <w:rsid w:val="00357E83"/>
    <w:rsid w:val="003604AD"/>
    <w:rsid w:val="003609B2"/>
    <w:rsid w:val="003609C0"/>
    <w:rsid w:val="00360D0D"/>
    <w:rsid w:val="003613B6"/>
    <w:rsid w:val="0036170C"/>
    <w:rsid w:val="00361B17"/>
    <w:rsid w:val="00362C34"/>
    <w:rsid w:val="0036306E"/>
    <w:rsid w:val="00363234"/>
    <w:rsid w:val="00363837"/>
    <w:rsid w:val="00363877"/>
    <w:rsid w:val="00363A62"/>
    <w:rsid w:val="00363C16"/>
    <w:rsid w:val="00363C9D"/>
    <w:rsid w:val="003641A9"/>
    <w:rsid w:val="00365325"/>
    <w:rsid w:val="003658E3"/>
    <w:rsid w:val="00365C76"/>
    <w:rsid w:val="00366150"/>
    <w:rsid w:val="00366357"/>
    <w:rsid w:val="0036697F"/>
    <w:rsid w:val="00366D55"/>
    <w:rsid w:val="00366E0F"/>
    <w:rsid w:val="0036737C"/>
    <w:rsid w:val="0036777C"/>
    <w:rsid w:val="0036785D"/>
    <w:rsid w:val="00367FB5"/>
    <w:rsid w:val="00370336"/>
    <w:rsid w:val="00370C39"/>
    <w:rsid w:val="00371059"/>
    <w:rsid w:val="00371FA6"/>
    <w:rsid w:val="003728E8"/>
    <w:rsid w:val="00373997"/>
    <w:rsid w:val="003740D7"/>
    <w:rsid w:val="00374CE0"/>
    <w:rsid w:val="00374FBB"/>
    <w:rsid w:val="00375382"/>
    <w:rsid w:val="00375421"/>
    <w:rsid w:val="003757B5"/>
    <w:rsid w:val="003758C9"/>
    <w:rsid w:val="00375D6A"/>
    <w:rsid w:val="00376678"/>
    <w:rsid w:val="003774DF"/>
    <w:rsid w:val="0037751E"/>
    <w:rsid w:val="003776D3"/>
    <w:rsid w:val="0038037B"/>
    <w:rsid w:val="0038160E"/>
    <w:rsid w:val="0038177C"/>
    <w:rsid w:val="00381A72"/>
    <w:rsid w:val="00382023"/>
    <w:rsid w:val="003828B1"/>
    <w:rsid w:val="00382CEA"/>
    <w:rsid w:val="00382F34"/>
    <w:rsid w:val="0038325C"/>
    <w:rsid w:val="003834E2"/>
    <w:rsid w:val="003839CB"/>
    <w:rsid w:val="00383F6A"/>
    <w:rsid w:val="00384204"/>
    <w:rsid w:val="00384676"/>
    <w:rsid w:val="00384C3A"/>
    <w:rsid w:val="00385304"/>
    <w:rsid w:val="00385798"/>
    <w:rsid w:val="003859F0"/>
    <w:rsid w:val="003860B0"/>
    <w:rsid w:val="003869A7"/>
    <w:rsid w:val="00386EFE"/>
    <w:rsid w:val="00387E14"/>
    <w:rsid w:val="00390051"/>
    <w:rsid w:val="0039038D"/>
    <w:rsid w:val="003906D4"/>
    <w:rsid w:val="00390857"/>
    <w:rsid w:val="00391191"/>
    <w:rsid w:val="00391963"/>
    <w:rsid w:val="00393589"/>
    <w:rsid w:val="00393B0F"/>
    <w:rsid w:val="003948EE"/>
    <w:rsid w:val="00395490"/>
    <w:rsid w:val="00396148"/>
    <w:rsid w:val="00396E21"/>
    <w:rsid w:val="00397A96"/>
    <w:rsid w:val="003A07CA"/>
    <w:rsid w:val="003A091A"/>
    <w:rsid w:val="003A0CCA"/>
    <w:rsid w:val="003A1D5D"/>
    <w:rsid w:val="003A24C9"/>
    <w:rsid w:val="003A2770"/>
    <w:rsid w:val="003A3EA7"/>
    <w:rsid w:val="003A41F7"/>
    <w:rsid w:val="003A479A"/>
    <w:rsid w:val="003A4BF3"/>
    <w:rsid w:val="003A57DA"/>
    <w:rsid w:val="003A59F9"/>
    <w:rsid w:val="003A6054"/>
    <w:rsid w:val="003A66A0"/>
    <w:rsid w:val="003A6DD1"/>
    <w:rsid w:val="003A70AF"/>
    <w:rsid w:val="003A7F68"/>
    <w:rsid w:val="003B0071"/>
    <w:rsid w:val="003B02A8"/>
    <w:rsid w:val="003B0534"/>
    <w:rsid w:val="003B14D1"/>
    <w:rsid w:val="003B18B3"/>
    <w:rsid w:val="003B1A35"/>
    <w:rsid w:val="003B3589"/>
    <w:rsid w:val="003B3774"/>
    <w:rsid w:val="003B4026"/>
    <w:rsid w:val="003B4151"/>
    <w:rsid w:val="003B420D"/>
    <w:rsid w:val="003B479B"/>
    <w:rsid w:val="003B4F99"/>
    <w:rsid w:val="003B4FCC"/>
    <w:rsid w:val="003B5D19"/>
    <w:rsid w:val="003B5E21"/>
    <w:rsid w:val="003B5FED"/>
    <w:rsid w:val="003B633E"/>
    <w:rsid w:val="003B6459"/>
    <w:rsid w:val="003B6550"/>
    <w:rsid w:val="003B65EA"/>
    <w:rsid w:val="003B684C"/>
    <w:rsid w:val="003B7DA0"/>
    <w:rsid w:val="003B7E97"/>
    <w:rsid w:val="003C0C91"/>
    <w:rsid w:val="003C104A"/>
    <w:rsid w:val="003C11B4"/>
    <w:rsid w:val="003C1E97"/>
    <w:rsid w:val="003C200F"/>
    <w:rsid w:val="003C3001"/>
    <w:rsid w:val="003C35AE"/>
    <w:rsid w:val="003C3B1A"/>
    <w:rsid w:val="003C468C"/>
    <w:rsid w:val="003C5A8A"/>
    <w:rsid w:val="003C623F"/>
    <w:rsid w:val="003C6303"/>
    <w:rsid w:val="003C66F6"/>
    <w:rsid w:val="003C6C16"/>
    <w:rsid w:val="003C765C"/>
    <w:rsid w:val="003C7D13"/>
    <w:rsid w:val="003D02E8"/>
    <w:rsid w:val="003D085B"/>
    <w:rsid w:val="003D0B12"/>
    <w:rsid w:val="003D2BF1"/>
    <w:rsid w:val="003D3028"/>
    <w:rsid w:val="003D3F11"/>
    <w:rsid w:val="003D4B40"/>
    <w:rsid w:val="003D4CCE"/>
    <w:rsid w:val="003D5631"/>
    <w:rsid w:val="003D5CB6"/>
    <w:rsid w:val="003D6DDE"/>
    <w:rsid w:val="003D72C7"/>
    <w:rsid w:val="003D77AE"/>
    <w:rsid w:val="003D7881"/>
    <w:rsid w:val="003D794D"/>
    <w:rsid w:val="003D7AFF"/>
    <w:rsid w:val="003E02FE"/>
    <w:rsid w:val="003E0741"/>
    <w:rsid w:val="003E077A"/>
    <w:rsid w:val="003E0D8D"/>
    <w:rsid w:val="003E1CD7"/>
    <w:rsid w:val="003E266D"/>
    <w:rsid w:val="003E3058"/>
    <w:rsid w:val="003E4568"/>
    <w:rsid w:val="003E4721"/>
    <w:rsid w:val="003E478F"/>
    <w:rsid w:val="003E4E14"/>
    <w:rsid w:val="003E5320"/>
    <w:rsid w:val="003E56E7"/>
    <w:rsid w:val="003E5CBC"/>
    <w:rsid w:val="003E5FC1"/>
    <w:rsid w:val="003E63AF"/>
    <w:rsid w:val="003E71BE"/>
    <w:rsid w:val="003E76A9"/>
    <w:rsid w:val="003F020D"/>
    <w:rsid w:val="003F0607"/>
    <w:rsid w:val="003F0809"/>
    <w:rsid w:val="003F12CD"/>
    <w:rsid w:val="003F2421"/>
    <w:rsid w:val="003F2858"/>
    <w:rsid w:val="003F28DB"/>
    <w:rsid w:val="003F2F96"/>
    <w:rsid w:val="003F39E2"/>
    <w:rsid w:val="003F4047"/>
    <w:rsid w:val="003F4253"/>
    <w:rsid w:val="003F4641"/>
    <w:rsid w:val="003F486A"/>
    <w:rsid w:val="003F4D7F"/>
    <w:rsid w:val="003F4DA8"/>
    <w:rsid w:val="003F5405"/>
    <w:rsid w:val="003F5ABC"/>
    <w:rsid w:val="003F5BEE"/>
    <w:rsid w:val="003F5E68"/>
    <w:rsid w:val="003F6446"/>
    <w:rsid w:val="003F6944"/>
    <w:rsid w:val="003F6A8C"/>
    <w:rsid w:val="003F6BEF"/>
    <w:rsid w:val="003F73EC"/>
    <w:rsid w:val="003F7550"/>
    <w:rsid w:val="003F755C"/>
    <w:rsid w:val="003F76B7"/>
    <w:rsid w:val="003F7F31"/>
    <w:rsid w:val="004001B8"/>
    <w:rsid w:val="00400A8D"/>
    <w:rsid w:val="00400F41"/>
    <w:rsid w:val="004012C4"/>
    <w:rsid w:val="004013E1"/>
    <w:rsid w:val="004017D6"/>
    <w:rsid w:val="00401CEC"/>
    <w:rsid w:val="00401DC9"/>
    <w:rsid w:val="004023DB"/>
    <w:rsid w:val="00402425"/>
    <w:rsid w:val="00402457"/>
    <w:rsid w:val="00402577"/>
    <w:rsid w:val="004031FF"/>
    <w:rsid w:val="004034D5"/>
    <w:rsid w:val="00403C6A"/>
    <w:rsid w:val="004040AF"/>
    <w:rsid w:val="004042A4"/>
    <w:rsid w:val="0040483E"/>
    <w:rsid w:val="00405E31"/>
    <w:rsid w:val="00405F48"/>
    <w:rsid w:val="00406425"/>
    <w:rsid w:val="00406F01"/>
    <w:rsid w:val="00407147"/>
    <w:rsid w:val="0040771D"/>
    <w:rsid w:val="00410D42"/>
    <w:rsid w:val="0041137C"/>
    <w:rsid w:val="00411D37"/>
    <w:rsid w:val="00411EA3"/>
    <w:rsid w:val="004121C9"/>
    <w:rsid w:val="0041236F"/>
    <w:rsid w:val="00414A40"/>
    <w:rsid w:val="00414C32"/>
    <w:rsid w:val="00415AE1"/>
    <w:rsid w:val="00415B45"/>
    <w:rsid w:val="00416037"/>
    <w:rsid w:val="004160D2"/>
    <w:rsid w:val="00416368"/>
    <w:rsid w:val="00416527"/>
    <w:rsid w:val="0041674E"/>
    <w:rsid w:val="00416D50"/>
    <w:rsid w:val="00416FD5"/>
    <w:rsid w:val="00417229"/>
    <w:rsid w:val="00417616"/>
    <w:rsid w:val="00417772"/>
    <w:rsid w:val="00420178"/>
    <w:rsid w:val="00420CFC"/>
    <w:rsid w:val="00420D6F"/>
    <w:rsid w:val="00420E6A"/>
    <w:rsid w:val="004211E9"/>
    <w:rsid w:val="0042136D"/>
    <w:rsid w:val="0042150F"/>
    <w:rsid w:val="00421D4B"/>
    <w:rsid w:val="0042228E"/>
    <w:rsid w:val="004223E8"/>
    <w:rsid w:val="00422EAF"/>
    <w:rsid w:val="004232A7"/>
    <w:rsid w:val="00423457"/>
    <w:rsid w:val="004235A1"/>
    <w:rsid w:val="004238F6"/>
    <w:rsid w:val="004239EC"/>
    <w:rsid w:val="00423C3A"/>
    <w:rsid w:val="00423FA5"/>
    <w:rsid w:val="00423FB4"/>
    <w:rsid w:val="00424162"/>
    <w:rsid w:val="00424524"/>
    <w:rsid w:val="004251FD"/>
    <w:rsid w:val="004253A4"/>
    <w:rsid w:val="004255A2"/>
    <w:rsid w:val="004257D0"/>
    <w:rsid w:val="00425A9E"/>
    <w:rsid w:val="004262FC"/>
    <w:rsid w:val="0042630F"/>
    <w:rsid w:val="00426423"/>
    <w:rsid w:val="00426D6B"/>
    <w:rsid w:val="00426FE2"/>
    <w:rsid w:val="00427AE6"/>
    <w:rsid w:val="00427B91"/>
    <w:rsid w:val="00427CF8"/>
    <w:rsid w:val="0043028A"/>
    <w:rsid w:val="004304C8"/>
    <w:rsid w:val="004306A8"/>
    <w:rsid w:val="004307AF"/>
    <w:rsid w:val="00430C46"/>
    <w:rsid w:val="00430EF3"/>
    <w:rsid w:val="00430F04"/>
    <w:rsid w:val="00431E6C"/>
    <w:rsid w:val="00432D37"/>
    <w:rsid w:val="00432E1C"/>
    <w:rsid w:val="00433790"/>
    <w:rsid w:val="00433961"/>
    <w:rsid w:val="00433CE7"/>
    <w:rsid w:val="004340CB"/>
    <w:rsid w:val="004342BC"/>
    <w:rsid w:val="004345A9"/>
    <w:rsid w:val="00434641"/>
    <w:rsid w:val="00434B4C"/>
    <w:rsid w:val="00434D8C"/>
    <w:rsid w:val="00434E35"/>
    <w:rsid w:val="0043564A"/>
    <w:rsid w:val="00436001"/>
    <w:rsid w:val="00436070"/>
    <w:rsid w:val="004361DA"/>
    <w:rsid w:val="0043640E"/>
    <w:rsid w:val="004365A9"/>
    <w:rsid w:val="004367EC"/>
    <w:rsid w:val="00436FA8"/>
    <w:rsid w:val="00437754"/>
    <w:rsid w:val="00437A88"/>
    <w:rsid w:val="0044050E"/>
    <w:rsid w:val="0044057D"/>
    <w:rsid w:val="00440B47"/>
    <w:rsid w:val="0044127D"/>
    <w:rsid w:val="004412D0"/>
    <w:rsid w:val="004416DF"/>
    <w:rsid w:val="00441EB5"/>
    <w:rsid w:val="00442ABA"/>
    <w:rsid w:val="00442B20"/>
    <w:rsid w:val="004432ED"/>
    <w:rsid w:val="004440FE"/>
    <w:rsid w:val="004442BB"/>
    <w:rsid w:val="00444858"/>
    <w:rsid w:val="004448FA"/>
    <w:rsid w:val="004449FE"/>
    <w:rsid w:val="0044659E"/>
    <w:rsid w:val="004477E0"/>
    <w:rsid w:val="00447E5E"/>
    <w:rsid w:val="00451897"/>
    <w:rsid w:val="00451DAB"/>
    <w:rsid w:val="00452738"/>
    <w:rsid w:val="00452B2D"/>
    <w:rsid w:val="004532DF"/>
    <w:rsid w:val="004533B2"/>
    <w:rsid w:val="00453E50"/>
    <w:rsid w:val="00454128"/>
    <w:rsid w:val="00454168"/>
    <w:rsid w:val="004547CC"/>
    <w:rsid w:val="004547D3"/>
    <w:rsid w:val="00454A72"/>
    <w:rsid w:val="004552BF"/>
    <w:rsid w:val="0045543E"/>
    <w:rsid w:val="00455A0B"/>
    <w:rsid w:val="00456091"/>
    <w:rsid w:val="00457AA1"/>
    <w:rsid w:val="0046037A"/>
    <w:rsid w:val="00460767"/>
    <w:rsid w:val="004609C3"/>
    <w:rsid w:val="00461004"/>
    <w:rsid w:val="00461927"/>
    <w:rsid w:val="00461F5E"/>
    <w:rsid w:val="00462466"/>
    <w:rsid w:val="00462524"/>
    <w:rsid w:val="004627F6"/>
    <w:rsid w:val="00462BB2"/>
    <w:rsid w:val="004639F4"/>
    <w:rsid w:val="0046468C"/>
    <w:rsid w:val="0046551A"/>
    <w:rsid w:val="00465771"/>
    <w:rsid w:val="00465F8D"/>
    <w:rsid w:val="00466321"/>
    <w:rsid w:val="0046683E"/>
    <w:rsid w:val="004674CB"/>
    <w:rsid w:val="004705C3"/>
    <w:rsid w:val="00470E63"/>
    <w:rsid w:val="00471A4F"/>
    <w:rsid w:val="00471EA7"/>
    <w:rsid w:val="00472C40"/>
    <w:rsid w:val="00473009"/>
    <w:rsid w:val="004731D1"/>
    <w:rsid w:val="0047360F"/>
    <w:rsid w:val="004739B6"/>
    <w:rsid w:val="00473CD7"/>
    <w:rsid w:val="00473E46"/>
    <w:rsid w:val="00474FAF"/>
    <w:rsid w:val="004750EC"/>
    <w:rsid w:val="00475DED"/>
    <w:rsid w:val="00476673"/>
    <w:rsid w:val="00476737"/>
    <w:rsid w:val="00476DC4"/>
    <w:rsid w:val="00477612"/>
    <w:rsid w:val="004800A4"/>
    <w:rsid w:val="00480735"/>
    <w:rsid w:val="00480874"/>
    <w:rsid w:val="00480BE5"/>
    <w:rsid w:val="00480D10"/>
    <w:rsid w:val="00480D1E"/>
    <w:rsid w:val="004816D3"/>
    <w:rsid w:val="00482085"/>
    <w:rsid w:val="004822C3"/>
    <w:rsid w:val="004827EE"/>
    <w:rsid w:val="00482A96"/>
    <w:rsid w:val="00482FAE"/>
    <w:rsid w:val="0048310F"/>
    <w:rsid w:val="00483A77"/>
    <w:rsid w:val="00483A7E"/>
    <w:rsid w:val="00483AE0"/>
    <w:rsid w:val="00484014"/>
    <w:rsid w:val="00484625"/>
    <w:rsid w:val="00484B9B"/>
    <w:rsid w:val="00485012"/>
    <w:rsid w:val="004855F6"/>
    <w:rsid w:val="0048585F"/>
    <w:rsid w:val="004859C8"/>
    <w:rsid w:val="0048600D"/>
    <w:rsid w:val="0048661E"/>
    <w:rsid w:val="00486E0B"/>
    <w:rsid w:val="0048716A"/>
    <w:rsid w:val="004874D3"/>
    <w:rsid w:val="0048759D"/>
    <w:rsid w:val="00487E4B"/>
    <w:rsid w:val="00490922"/>
    <w:rsid w:val="00490C45"/>
    <w:rsid w:val="00490C86"/>
    <w:rsid w:val="00491036"/>
    <w:rsid w:val="0049257C"/>
    <w:rsid w:val="00492644"/>
    <w:rsid w:val="004932B3"/>
    <w:rsid w:val="00493848"/>
    <w:rsid w:val="00493CA8"/>
    <w:rsid w:val="004940B7"/>
    <w:rsid w:val="0049414E"/>
    <w:rsid w:val="00494670"/>
    <w:rsid w:val="00494AB3"/>
    <w:rsid w:val="004953B0"/>
    <w:rsid w:val="0049585D"/>
    <w:rsid w:val="00496BC1"/>
    <w:rsid w:val="00496BFB"/>
    <w:rsid w:val="00496C66"/>
    <w:rsid w:val="0049730A"/>
    <w:rsid w:val="0049756D"/>
    <w:rsid w:val="00497605"/>
    <w:rsid w:val="004A01AC"/>
    <w:rsid w:val="004A12A9"/>
    <w:rsid w:val="004A19AB"/>
    <w:rsid w:val="004A1B56"/>
    <w:rsid w:val="004A230F"/>
    <w:rsid w:val="004A25B6"/>
    <w:rsid w:val="004A2928"/>
    <w:rsid w:val="004A2D3F"/>
    <w:rsid w:val="004A3348"/>
    <w:rsid w:val="004A3823"/>
    <w:rsid w:val="004A3C29"/>
    <w:rsid w:val="004A440D"/>
    <w:rsid w:val="004A479E"/>
    <w:rsid w:val="004A617B"/>
    <w:rsid w:val="004A66E5"/>
    <w:rsid w:val="004A7682"/>
    <w:rsid w:val="004A77B1"/>
    <w:rsid w:val="004B0BCD"/>
    <w:rsid w:val="004B0F9E"/>
    <w:rsid w:val="004B21AB"/>
    <w:rsid w:val="004B2C7A"/>
    <w:rsid w:val="004B2DE3"/>
    <w:rsid w:val="004B33A5"/>
    <w:rsid w:val="004B34E9"/>
    <w:rsid w:val="004B35E4"/>
    <w:rsid w:val="004B38FE"/>
    <w:rsid w:val="004B3E12"/>
    <w:rsid w:val="004B4099"/>
    <w:rsid w:val="004B4D58"/>
    <w:rsid w:val="004B52FC"/>
    <w:rsid w:val="004B6F6F"/>
    <w:rsid w:val="004B725E"/>
    <w:rsid w:val="004B7B53"/>
    <w:rsid w:val="004C0022"/>
    <w:rsid w:val="004C02CA"/>
    <w:rsid w:val="004C0A91"/>
    <w:rsid w:val="004C0C6B"/>
    <w:rsid w:val="004C10BC"/>
    <w:rsid w:val="004C1123"/>
    <w:rsid w:val="004C181C"/>
    <w:rsid w:val="004C1D01"/>
    <w:rsid w:val="004C1EDD"/>
    <w:rsid w:val="004C2013"/>
    <w:rsid w:val="004C2703"/>
    <w:rsid w:val="004C3B0C"/>
    <w:rsid w:val="004C46B9"/>
    <w:rsid w:val="004C472D"/>
    <w:rsid w:val="004C5598"/>
    <w:rsid w:val="004C5B30"/>
    <w:rsid w:val="004C7AB6"/>
    <w:rsid w:val="004D06D4"/>
    <w:rsid w:val="004D08FE"/>
    <w:rsid w:val="004D0DBA"/>
    <w:rsid w:val="004D0EF1"/>
    <w:rsid w:val="004D0FC9"/>
    <w:rsid w:val="004D15D1"/>
    <w:rsid w:val="004D1655"/>
    <w:rsid w:val="004D211E"/>
    <w:rsid w:val="004D2BAF"/>
    <w:rsid w:val="004D2F0B"/>
    <w:rsid w:val="004D3E18"/>
    <w:rsid w:val="004D42E0"/>
    <w:rsid w:val="004D430B"/>
    <w:rsid w:val="004D4AEB"/>
    <w:rsid w:val="004D4BEE"/>
    <w:rsid w:val="004D5053"/>
    <w:rsid w:val="004D51D6"/>
    <w:rsid w:val="004D52BC"/>
    <w:rsid w:val="004D59D9"/>
    <w:rsid w:val="004D5A6C"/>
    <w:rsid w:val="004D5B4D"/>
    <w:rsid w:val="004D5BF3"/>
    <w:rsid w:val="004D61CE"/>
    <w:rsid w:val="004D6343"/>
    <w:rsid w:val="004D6F1B"/>
    <w:rsid w:val="004D7575"/>
    <w:rsid w:val="004D793F"/>
    <w:rsid w:val="004E0386"/>
    <w:rsid w:val="004E08B2"/>
    <w:rsid w:val="004E0DDA"/>
    <w:rsid w:val="004E1844"/>
    <w:rsid w:val="004E355D"/>
    <w:rsid w:val="004E3985"/>
    <w:rsid w:val="004E3AF9"/>
    <w:rsid w:val="004E3CD1"/>
    <w:rsid w:val="004E3EFC"/>
    <w:rsid w:val="004E4199"/>
    <w:rsid w:val="004E589D"/>
    <w:rsid w:val="004E6946"/>
    <w:rsid w:val="004E6B87"/>
    <w:rsid w:val="004E6DC8"/>
    <w:rsid w:val="004E6DEC"/>
    <w:rsid w:val="004E6F94"/>
    <w:rsid w:val="004E7A4A"/>
    <w:rsid w:val="004E7C01"/>
    <w:rsid w:val="004F011C"/>
    <w:rsid w:val="004F04B5"/>
    <w:rsid w:val="004F0958"/>
    <w:rsid w:val="004F0977"/>
    <w:rsid w:val="004F102D"/>
    <w:rsid w:val="004F1AD8"/>
    <w:rsid w:val="004F1B4B"/>
    <w:rsid w:val="004F1D50"/>
    <w:rsid w:val="004F1FAB"/>
    <w:rsid w:val="004F2287"/>
    <w:rsid w:val="004F2A4C"/>
    <w:rsid w:val="004F332F"/>
    <w:rsid w:val="004F3B73"/>
    <w:rsid w:val="004F3CE1"/>
    <w:rsid w:val="004F43B4"/>
    <w:rsid w:val="004F51F1"/>
    <w:rsid w:val="004F5450"/>
    <w:rsid w:val="004F6130"/>
    <w:rsid w:val="004F6244"/>
    <w:rsid w:val="004F70F3"/>
    <w:rsid w:val="00500878"/>
    <w:rsid w:val="00501420"/>
    <w:rsid w:val="005017E6"/>
    <w:rsid w:val="00501FC3"/>
    <w:rsid w:val="00502569"/>
    <w:rsid w:val="00502A0D"/>
    <w:rsid w:val="00502DC6"/>
    <w:rsid w:val="005039CB"/>
    <w:rsid w:val="00503CF9"/>
    <w:rsid w:val="00503FEF"/>
    <w:rsid w:val="00504481"/>
    <w:rsid w:val="0050558F"/>
    <w:rsid w:val="005057AA"/>
    <w:rsid w:val="005060D9"/>
    <w:rsid w:val="005061ED"/>
    <w:rsid w:val="0050624F"/>
    <w:rsid w:val="00506286"/>
    <w:rsid w:val="0050646D"/>
    <w:rsid w:val="00507824"/>
    <w:rsid w:val="00507DA7"/>
    <w:rsid w:val="00510813"/>
    <w:rsid w:val="00511044"/>
    <w:rsid w:val="005111D6"/>
    <w:rsid w:val="00511925"/>
    <w:rsid w:val="00511990"/>
    <w:rsid w:val="00511AA9"/>
    <w:rsid w:val="00511BDB"/>
    <w:rsid w:val="00511DE0"/>
    <w:rsid w:val="00512188"/>
    <w:rsid w:val="00513E9E"/>
    <w:rsid w:val="00514407"/>
    <w:rsid w:val="00514870"/>
    <w:rsid w:val="0051493B"/>
    <w:rsid w:val="00514B9B"/>
    <w:rsid w:val="00514E66"/>
    <w:rsid w:val="005160F9"/>
    <w:rsid w:val="00516725"/>
    <w:rsid w:val="00517495"/>
    <w:rsid w:val="00517E3D"/>
    <w:rsid w:val="00517E9D"/>
    <w:rsid w:val="00517F02"/>
    <w:rsid w:val="00520434"/>
    <w:rsid w:val="0052051F"/>
    <w:rsid w:val="00520BB9"/>
    <w:rsid w:val="00520FFA"/>
    <w:rsid w:val="00522585"/>
    <w:rsid w:val="00522AB3"/>
    <w:rsid w:val="00522EC6"/>
    <w:rsid w:val="00523274"/>
    <w:rsid w:val="00523417"/>
    <w:rsid w:val="0052354F"/>
    <w:rsid w:val="005237FF"/>
    <w:rsid w:val="0052405D"/>
    <w:rsid w:val="00524303"/>
    <w:rsid w:val="005248C8"/>
    <w:rsid w:val="00524DF9"/>
    <w:rsid w:val="00525286"/>
    <w:rsid w:val="005255EF"/>
    <w:rsid w:val="005258A2"/>
    <w:rsid w:val="00525D55"/>
    <w:rsid w:val="00525DB3"/>
    <w:rsid w:val="00526128"/>
    <w:rsid w:val="00526305"/>
    <w:rsid w:val="00526533"/>
    <w:rsid w:val="00526A15"/>
    <w:rsid w:val="00527FD1"/>
    <w:rsid w:val="00530345"/>
    <w:rsid w:val="00530DC2"/>
    <w:rsid w:val="00530DC3"/>
    <w:rsid w:val="005311B6"/>
    <w:rsid w:val="005313B7"/>
    <w:rsid w:val="00531789"/>
    <w:rsid w:val="00532019"/>
    <w:rsid w:val="005321F3"/>
    <w:rsid w:val="005324F8"/>
    <w:rsid w:val="0053303C"/>
    <w:rsid w:val="005338A9"/>
    <w:rsid w:val="00535059"/>
    <w:rsid w:val="00535EAA"/>
    <w:rsid w:val="0053674D"/>
    <w:rsid w:val="0053722F"/>
    <w:rsid w:val="00537C8E"/>
    <w:rsid w:val="00537E8E"/>
    <w:rsid w:val="005401AE"/>
    <w:rsid w:val="0054036F"/>
    <w:rsid w:val="005411F2"/>
    <w:rsid w:val="005415BD"/>
    <w:rsid w:val="00541D71"/>
    <w:rsid w:val="00542380"/>
    <w:rsid w:val="00542CAA"/>
    <w:rsid w:val="00542E07"/>
    <w:rsid w:val="00543416"/>
    <w:rsid w:val="0054364F"/>
    <w:rsid w:val="00543C88"/>
    <w:rsid w:val="00543F40"/>
    <w:rsid w:val="00544EB2"/>
    <w:rsid w:val="00544F8C"/>
    <w:rsid w:val="00545424"/>
    <w:rsid w:val="005458E2"/>
    <w:rsid w:val="00545B4D"/>
    <w:rsid w:val="00546200"/>
    <w:rsid w:val="0054628F"/>
    <w:rsid w:val="0054635D"/>
    <w:rsid w:val="00546B61"/>
    <w:rsid w:val="00546E29"/>
    <w:rsid w:val="00547B1B"/>
    <w:rsid w:val="005515A3"/>
    <w:rsid w:val="00552178"/>
    <w:rsid w:val="00552286"/>
    <w:rsid w:val="0055265B"/>
    <w:rsid w:val="00552B64"/>
    <w:rsid w:val="00552D39"/>
    <w:rsid w:val="00553B46"/>
    <w:rsid w:val="005541C8"/>
    <w:rsid w:val="00554A7B"/>
    <w:rsid w:val="00555570"/>
    <w:rsid w:val="0055572C"/>
    <w:rsid w:val="00555804"/>
    <w:rsid w:val="005563B8"/>
    <w:rsid w:val="005563D8"/>
    <w:rsid w:val="00556833"/>
    <w:rsid w:val="00557C9D"/>
    <w:rsid w:val="00557CBF"/>
    <w:rsid w:val="00557E55"/>
    <w:rsid w:val="005600DB"/>
    <w:rsid w:val="00560412"/>
    <w:rsid w:val="00560B81"/>
    <w:rsid w:val="00560D81"/>
    <w:rsid w:val="0056106A"/>
    <w:rsid w:val="00561685"/>
    <w:rsid w:val="00561AE7"/>
    <w:rsid w:val="005623BE"/>
    <w:rsid w:val="0056280D"/>
    <w:rsid w:val="00562D7B"/>
    <w:rsid w:val="00563058"/>
    <w:rsid w:val="005643C6"/>
    <w:rsid w:val="0056506D"/>
    <w:rsid w:val="005655FA"/>
    <w:rsid w:val="00565948"/>
    <w:rsid w:val="005661AF"/>
    <w:rsid w:val="005704C1"/>
    <w:rsid w:val="00570C80"/>
    <w:rsid w:val="005713E6"/>
    <w:rsid w:val="00571546"/>
    <w:rsid w:val="005720AE"/>
    <w:rsid w:val="005726AA"/>
    <w:rsid w:val="005732C3"/>
    <w:rsid w:val="00573389"/>
    <w:rsid w:val="00573B2E"/>
    <w:rsid w:val="0057444E"/>
    <w:rsid w:val="005748EC"/>
    <w:rsid w:val="00575E46"/>
    <w:rsid w:val="005765DD"/>
    <w:rsid w:val="005778DE"/>
    <w:rsid w:val="00577D44"/>
    <w:rsid w:val="005800AB"/>
    <w:rsid w:val="005804A4"/>
    <w:rsid w:val="00581291"/>
    <w:rsid w:val="005815B0"/>
    <w:rsid w:val="00581927"/>
    <w:rsid w:val="00581FA7"/>
    <w:rsid w:val="00582377"/>
    <w:rsid w:val="0058237E"/>
    <w:rsid w:val="0058247E"/>
    <w:rsid w:val="005824C1"/>
    <w:rsid w:val="005826D6"/>
    <w:rsid w:val="00582DCB"/>
    <w:rsid w:val="00583C22"/>
    <w:rsid w:val="0058427D"/>
    <w:rsid w:val="00585310"/>
    <w:rsid w:val="00585D6B"/>
    <w:rsid w:val="00586978"/>
    <w:rsid w:val="00586A19"/>
    <w:rsid w:val="00586DA0"/>
    <w:rsid w:val="0058701D"/>
    <w:rsid w:val="005870EF"/>
    <w:rsid w:val="005874A8"/>
    <w:rsid w:val="00587585"/>
    <w:rsid w:val="005878CE"/>
    <w:rsid w:val="005905DC"/>
    <w:rsid w:val="005908C4"/>
    <w:rsid w:val="00590D81"/>
    <w:rsid w:val="005916FC"/>
    <w:rsid w:val="00591BAC"/>
    <w:rsid w:val="00591FD3"/>
    <w:rsid w:val="00593307"/>
    <w:rsid w:val="00593B68"/>
    <w:rsid w:val="00594D77"/>
    <w:rsid w:val="0059528D"/>
    <w:rsid w:val="005959DF"/>
    <w:rsid w:val="00595E41"/>
    <w:rsid w:val="00595F3F"/>
    <w:rsid w:val="00596241"/>
    <w:rsid w:val="00596776"/>
    <w:rsid w:val="005969E4"/>
    <w:rsid w:val="00596C7E"/>
    <w:rsid w:val="00596DB7"/>
    <w:rsid w:val="00597AB6"/>
    <w:rsid w:val="005A06B7"/>
    <w:rsid w:val="005A1163"/>
    <w:rsid w:val="005A11D0"/>
    <w:rsid w:val="005A163C"/>
    <w:rsid w:val="005A1759"/>
    <w:rsid w:val="005A21BD"/>
    <w:rsid w:val="005A29A5"/>
    <w:rsid w:val="005A2FAA"/>
    <w:rsid w:val="005A2FC6"/>
    <w:rsid w:val="005A515A"/>
    <w:rsid w:val="005A532B"/>
    <w:rsid w:val="005A55A4"/>
    <w:rsid w:val="005A5958"/>
    <w:rsid w:val="005A65E6"/>
    <w:rsid w:val="005A68A7"/>
    <w:rsid w:val="005A6994"/>
    <w:rsid w:val="005A708C"/>
    <w:rsid w:val="005A723D"/>
    <w:rsid w:val="005A7D80"/>
    <w:rsid w:val="005A7F95"/>
    <w:rsid w:val="005B0D89"/>
    <w:rsid w:val="005B12C2"/>
    <w:rsid w:val="005B1C89"/>
    <w:rsid w:val="005B20FC"/>
    <w:rsid w:val="005B3053"/>
    <w:rsid w:val="005B321F"/>
    <w:rsid w:val="005B36AF"/>
    <w:rsid w:val="005B3DF4"/>
    <w:rsid w:val="005B3FC1"/>
    <w:rsid w:val="005B425C"/>
    <w:rsid w:val="005B44EF"/>
    <w:rsid w:val="005B4904"/>
    <w:rsid w:val="005B4A05"/>
    <w:rsid w:val="005B513F"/>
    <w:rsid w:val="005B52E4"/>
    <w:rsid w:val="005B6447"/>
    <w:rsid w:val="005B6C60"/>
    <w:rsid w:val="005B6E22"/>
    <w:rsid w:val="005B7373"/>
    <w:rsid w:val="005B75E9"/>
    <w:rsid w:val="005B762E"/>
    <w:rsid w:val="005B7D56"/>
    <w:rsid w:val="005B7D8D"/>
    <w:rsid w:val="005B7FDD"/>
    <w:rsid w:val="005C092E"/>
    <w:rsid w:val="005C0E1D"/>
    <w:rsid w:val="005C119A"/>
    <w:rsid w:val="005C1624"/>
    <w:rsid w:val="005C1DFF"/>
    <w:rsid w:val="005C239C"/>
    <w:rsid w:val="005C3655"/>
    <w:rsid w:val="005C4433"/>
    <w:rsid w:val="005C46C9"/>
    <w:rsid w:val="005C513C"/>
    <w:rsid w:val="005C52FA"/>
    <w:rsid w:val="005C572C"/>
    <w:rsid w:val="005C5D71"/>
    <w:rsid w:val="005C6081"/>
    <w:rsid w:val="005C61C5"/>
    <w:rsid w:val="005C78B3"/>
    <w:rsid w:val="005C7B19"/>
    <w:rsid w:val="005C7F5B"/>
    <w:rsid w:val="005D061C"/>
    <w:rsid w:val="005D0A1B"/>
    <w:rsid w:val="005D0A84"/>
    <w:rsid w:val="005D13D7"/>
    <w:rsid w:val="005D185F"/>
    <w:rsid w:val="005D2500"/>
    <w:rsid w:val="005D2B53"/>
    <w:rsid w:val="005D36AB"/>
    <w:rsid w:val="005D446A"/>
    <w:rsid w:val="005D509C"/>
    <w:rsid w:val="005D50F5"/>
    <w:rsid w:val="005D5658"/>
    <w:rsid w:val="005D59AB"/>
    <w:rsid w:val="005D5B37"/>
    <w:rsid w:val="005D5FB6"/>
    <w:rsid w:val="005D611B"/>
    <w:rsid w:val="005D63E7"/>
    <w:rsid w:val="005D6B2E"/>
    <w:rsid w:val="005D6BF2"/>
    <w:rsid w:val="005D7D82"/>
    <w:rsid w:val="005E0AA6"/>
    <w:rsid w:val="005E0E27"/>
    <w:rsid w:val="005E185E"/>
    <w:rsid w:val="005E19DC"/>
    <w:rsid w:val="005E1BE1"/>
    <w:rsid w:val="005E1F24"/>
    <w:rsid w:val="005E2F1F"/>
    <w:rsid w:val="005E3139"/>
    <w:rsid w:val="005E3E87"/>
    <w:rsid w:val="005E4198"/>
    <w:rsid w:val="005E6619"/>
    <w:rsid w:val="005E6E2B"/>
    <w:rsid w:val="005E7B1C"/>
    <w:rsid w:val="005E7DAC"/>
    <w:rsid w:val="005F099E"/>
    <w:rsid w:val="005F0A2B"/>
    <w:rsid w:val="005F0C15"/>
    <w:rsid w:val="005F1415"/>
    <w:rsid w:val="005F1FE9"/>
    <w:rsid w:val="005F218C"/>
    <w:rsid w:val="005F2867"/>
    <w:rsid w:val="005F286E"/>
    <w:rsid w:val="005F36ED"/>
    <w:rsid w:val="005F4214"/>
    <w:rsid w:val="005F4299"/>
    <w:rsid w:val="005F5E5A"/>
    <w:rsid w:val="005F634D"/>
    <w:rsid w:val="005F66FA"/>
    <w:rsid w:val="005F68D5"/>
    <w:rsid w:val="005F6AF3"/>
    <w:rsid w:val="005F6DEC"/>
    <w:rsid w:val="00600185"/>
    <w:rsid w:val="00600449"/>
    <w:rsid w:val="0060056E"/>
    <w:rsid w:val="0060059E"/>
    <w:rsid w:val="006005C5"/>
    <w:rsid w:val="00600677"/>
    <w:rsid w:val="0060076A"/>
    <w:rsid w:val="00600963"/>
    <w:rsid w:val="00600D4C"/>
    <w:rsid w:val="006014F3"/>
    <w:rsid w:val="00601762"/>
    <w:rsid w:val="00602511"/>
    <w:rsid w:val="00602658"/>
    <w:rsid w:val="00602BF9"/>
    <w:rsid w:val="00603214"/>
    <w:rsid w:val="00603786"/>
    <w:rsid w:val="0060455C"/>
    <w:rsid w:val="006050C9"/>
    <w:rsid w:val="006054BB"/>
    <w:rsid w:val="00605757"/>
    <w:rsid w:val="0060782D"/>
    <w:rsid w:val="0060784D"/>
    <w:rsid w:val="00607B42"/>
    <w:rsid w:val="00610058"/>
    <w:rsid w:val="006101BB"/>
    <w:rsid w:val="006118C7"/>
    <w:rsid w:val="006118FA"/>
    <w:rsid w:val="00611ED6"/>
    <w:rsid w:val="00612E95"/>
    <w:rsid w:val="006134E8"/>
    <w:rsid w:val="00613A28"/>
    <w:rsid w:val="00613BAB"/>
    <w:rsid w:val="00613DAF"/>
    <w:rsid w:val="00613DF6"/>
    <w:rsid w:val="00614CAB"/>
    <w:rsid w:val="00615A95"/>
    <w:rsid w:val="00615AA9"/>
    <w:rsid w:val="00615AF6"/>
    <w:rsid w:val="00615ED5"/>
    <w:rsid w:val="0061662A"/>
    <w:rsid w:val="0061753D"/>
    <w:rsid w:val="00617875"/>
    <w:rsid w:val="006178EF"/>
    <w:rsid w:val="006179A2"/>
    <w:rsid w:val="00617CC3"/>
    <w:rsid w:val="00617CCC"/>
    <w:rsid w:val="00620012"/>
    <w:rsid w:val="0062008B"/>
    <w:rsid w:val="006201F7"/>
    <w:rsid w:val="00620322"/>
    <w:rsid w:val="0062047E"/>
    <w:rsid w:val="00620560"/>
    <w:rsid w:val="0062102A"/>
    <w:rsid w:val="00621707"/>
    <w:rsid w:val="00622158"/>
    <w:rsid w:val="00622385"/>
    <w:rsid w:val="00623716"/>
    <w:rsid w:val="00623B76"/>
    <w:rsid w:val="0062411E"/>
    <w:rsid w:val="006245C1"/>
    <w:rsid w:val="00625283"/>
    <w:rsid w:val="0062578E"/>
    <w:rsid w:val="0062583D"/>
    <w:rsid w:val="00625C42"/>
    <w:rsid w:val="00625C99"/>
    <w:rsid w:val="00625D95"/>
    <w:rsid w:val="00625D99"/>
    <w:rsid w:val="0062672D"/>
    <w:rsid w:val="006267CB"/>
    <w:rsid w:val="006269CE"/>
    <w:rsid w:val="006276DA"/>
    <w:rsid w:val="0063102E"/>
    <w:rsid w:val="00631DA6"/>
    <w:rsid w:val="00632BD6"/>
    <w:rsid w:val="00632F72"/>
    <w:rsid w:val="006333CD"/>
    <w:rsid w:val="006339F2"/>
    <w:rsid w:val="0063421A"/>
    <w:rsid w:val="006344DE"/>
    <w:rsid w:val="00634E01"/>
    <w:rsid w:val="00635B53"/>
    <w:rsid w:val="00635F84"/>
    <w:rsid w:val="00636F4E"/>
    <w:rsid w:val="006377A6"/>
    <w:rsid w:val="0063793A"/>
    <w:rsid w:val="00637A3D"/>
    <w:rsid w:val="00637FD7"/>
    <w:rsid w:val="006400BA"/>
    <w:rsid w:val="0064098D"/>
    <w:rsid w:val="00640BAB"/>
    <w:rsid w:val="00640F67"/>
    <w:rsid w:val="006410B9"/>
    <w:rsid w:val="006411EF"/>
    <w:rsid w:val="00641F4D"/>
    <w:rsid w:val="00641F7B"/>
    <w:rsid w:val="006431F6"/>
    <w:rsid w:val="00643802"/>
    <w:rsid w:val="00643E0D"/>
    <w:rsid w:val="006442F1"/>
    <w:rsid w:val="00644CBB"/>
    <w:rsid w:val="00644DC3"/>
    <w:rsid w:val="00645DFF"/>
    <w:rsid w:val="00645F4E"/>
    <w:rsid w:val="00646F03"/>
    <w:rsid w:val="00647D79"/>
    <w:rsid w:val="00650C2A"/>
    <w:rsid w:val="00651019"/>
    <w:rsid w:val="006519D4"/>
    <w:rsid w:val="00651C9C"/>
    <w:rsid w:val="00651F08"/>
    <w:rsid w:val="006520A3"/>
    <w:rsid w:val="00652EA7"/>
    <w:rsid w:val="006536DD"/>
    <w:rsid w:val="00654199"/>
    <w:rsid w:val="00654736"/>
    <w:rsid w:val="00655FCE"/>
    <w:rsid w:val="006566E2"/>
    <w:rsid w:val="00656ECF"/>
    <w:rsid w:val="006570FD"/>
    <w:rsid w:val="006573F8"/>
    <w:rsid w:val="006575D3"/>
    <w:rsid w:val="0065776F"/>
    <w:rsid w:val="0065796F"/>
    <w:rsid w:val="006579C8"/>
    <w:rsid w:val="00657EFF"/>
    <w:rsid w:val="00657F4A"/>
    <w:rsid w:val="00660B5D"/>
    <w:rsid w:val="00662265"/>
    <w:rsid w:val="00663075"/>
    <w:rsid w:val="00663410"/>
    <w:rsid w:val="00663868"/>
    <w:rsid w:val="00664326"/>
    <w:rsid w:val="00664452"/>
    <w:rsid w:val="006644B1"/>
    <w:rsid w:val="006653AE"/>
    <w:rsid w:val="00665443"/>
    <w:rsid w:val="00665E56"/>
    <w:rsid w:val="006667BB"/>
    <w:rsid w:val="006668FB"/>
    <w:rsid w:val="00666AEF"/>
    <w:rsid w:val="00666C36"/>
    <w:rsid w:val="00667071"/>
    <w:rsid w:val="0067021A"/>
    <w:rsid w:val="006705A2"/>
    <w:rsid w:val="00670C98"/>
    <w:rsid w:val="00671BD4"/>
    <w:rsid w:val="00671C3E"/>
    <w:rsid w:val="006721BA"/>
    <w:rsid w:val="006728A3"/>
    <w:rsid w:val="00672E84"/>
    <w:rsid w:val="0067347D"/>
    <w:rsid w:val="0067362B"/>
    <w:rsid w:val="00674285"/>
    <w:rsid w:val="006743CA"/>
    <w:rsid w:val="00674811"/>
    <w:rsid w:val="006748B8"/>
    <w:rsid w:val="006753A3"/>
    <w:rsid w:val="00676EFE"/>
    <w:rsid w:val="006771B5"/>
    <w:rsid w:val="006775C3"/>
    <w:rsid w:val="006802F2"/>
    <w:rsid w:val="00681158"/>
    <w:rsid w:val="00681286"/>
    <w:rsid w:val="00681613"/>
    <w:rsid w:val="00681CC0"/>
    <w:rsid w:val="00682328"/>
    <w:rsid w:val="00682AA6"/>
    <w:rsid w:val="00683273"/>
    <w:rsid w:val="006836D3"/>
    <w:rsid w:val="006836E4"/>
    <w:rsid w:val="0068417B"/>
    <w:rsid w:val="0068434D"/>
    <w:rsid w:val="006850D2"/>
    <w:rsid w:val="00685646"/>
    <w:rsid w:val="006857E2"/>
    <w:rsid w:val="00685E63"/>
    <w:rsid w:val="00685FBC"/>
    <w:rsid w:val="00686C20"/>
    <w:rsid w:val="00686FDF"/>
    <w:rsid w:val="00687178"/>
    <w:rsid w:val="00687D78"/>
    <w:rsid w:val="00690003"/>
    <w:rsid w:val="006907AF"/>
    <w:rsid w:val="00690BDD"/>
    <w:rsid w:val="00690E24"/>
    <w:rsid w:val="006918B8"/>
    <w:rsid w:val="00691A0C"/>
    <w:rsid w:val="0069212A"/>
    <w:rsid w:val="0069290A"/>
    <w:rsid w:val="0069371E"/>
    <w:rsid w:val="00693C47"/>
    <w:rsid w:val="006943AD"/>
    <w:rsid w:val="00694575"/>
    <w:rsid w:val="00694871"/>
    <w:rsid w:val="0069489D"/>
    <w:rsid w:val="00694ADB"/>
    <w:rsid w:val="00695005"/>
    <w:rsid w:val="00695884"/>
    <w:rsid w:val="00695A24"/>
    <w:rsid w:val="006965FC"/>
    <w:rsid w:val="0069714A"/>
    <w:rsid w:val="0069775A"/>
    <w:rsid w:val="00697813"/>
    <w:rsid w:val="006A005D"/>
    <w:rsid w:val="006A0396"/>
    <w:rsid w:val="006A098B"/>
    <w:rsid w:val="006A0B72"/>
    <w:rsid w:val="006A0D8F"/>
    <w:rsid w:val="006A2206"/>
    <w:rsid w:val="006A3A52"/>
    <w:rsid w:val="006A3EE8"/>
    <w:rsid w:val="006A4264"/>
    <w:rsid w:val="006A5A47"/>
    <w:rsid w:val="006A5D27"/>
    <w:rsid w:val="006A65D8"/>
    <w:rsid w:val="006A6E94"/>
    <w:rsid w:val="006A72BF"/>
    <w:rsid w:val="006A776C"/>
    <w:rsid w:val="006A7A22"/>
    <w:rsid w:val="006A7D2E"/>
    <w:rsid w:val="006B03F2"/>
    <w:rsid w:val="006B0417"/>
    <w:rsid w:val="006B0643"/>
    <w:rsid w:val="006B090B"/>
    <w:rsid w:val="006B0AE9"/>
    <w:rsid w:val="006B143A"/>
    <w:rsid w:val="006B1710"/>
    <w:rsid w:val="006B207A"/>
    <w:rsid w:val="006B20D9"/>
    <w:rsid w:val="006B23F3"/>
    <w:rsid w:val="006B2B64"/>
    <w:rsid w:val="006B2BA4"/>
    <w:rsid w:val="006B2BE8"/>
    <w:rsid w:val="006B324F"/>
    <w:rsid w:val="006B37DC"/>
    <w:rsid w:val="006B39B0"/>
    <w:rsid w:val="006B3ADA"/>
    <w:rsid w:val="006B3F79"/>
    <w:rsid w:val="006B4C37"/>
    <w:rsid w:val="006B4F68"/>
    <w:rsid w:val="006B5338"/>
    <w:rsid w:val="006B5557"/>
    <w:rsid w:val="006B5706"/>
    <w:rsid w:val="006B6A6F"/>
    <w:rsid w:val="006B6D53"/>
    <w:rsid w:val="006B6E02"/>
    <w:rsid w:val="006B70ED"/>
    <w:rsid w:val="006B719B"/>
    <w:rsid w:val="006B71C8"/>
    <w:rsid w:val="006C0037"/>
    <w:rsid w:val="006C0592"/>
    <w:rsid w:val="006C082E"/>
    <w:rsid w:val="006C1717"/>
    <w:rsid w:val="006C1885"/>
    <w:rsid w:val="006C1A1F"/>
    <w:rsid w:val="006C24BD"/>
    <w:rsid w:val="006C272E"/>
    <w:rsid w:val="006C314F"/>
    <w:rsid w:val="006C3AC2"/>
    <w:rsid w:val="006C3CC5"/>
    <w:rsid w:val="006C403E"/>
    <w:rsid w:val="006C4354"/>
    <w:rsid w:val="006C4699"/>
    <w:rsid w:val="006C47BA"/>
    <w:rsid w:val="006C4926"/>
    <w:rsid w:val="006C4CC5"/>
    <w:rsid w:val="006C5236"/>
    <w:rsid w:val="006C5479"/>
    <w:rsid w:val="006C55EE"/>
    <w:rsid w:val="006C6BE6"/>
    <w:rsid w:val="006C7886"/>
    <w:rsid w:val="006D119E"/>
    <w:rsid w:val="006D13B5"/>
    <w:rsid w:val="006D1FC3"/>
    <w:rsid w:val="006D203E"/>
    <w:rsid w:val="006D28CF"/>
    <w:rsid w:val="006D50E5"/>
    <w:rsid w:val="006D51FF"/>
    <w:rsid w:val="006D5A33"/>
    <w:rsid w:val="006D5C42"/>
    <w:rsid w:val="006D64FB"/>
    <w:rsid w:val="006D65B4"/>
    <w:rsid w:val="006D6850"/>
    <w:rsid w:val="006D6D95"/>
    <w:rsid w:val="006D7115"/>
    <w:rsid w:val="006D729B"/>
    <w:rsid w:val="006D7640"/>
    <w:rsid w:val="006D7899"/>
    <w:rsid w:val="006D7B2B"/>
    <w:rsid w:val="006E0347"/>
    <w:rsid w:val="006E0B43"/>
    <w:rsid w:val="006E12FF"/>
    <w:rsid w:val="006E1412"/>
    <w:rsid w:val="006E1ECD"/>
    <w:rsid w:val="006E1F65"/>
    <w:rsid w:val="006E217E"/>
    <w:rsid w:val="006E226B"/>
    <w:rsid w:val="006E22C0"/>
    <w:rsid w:val="006E4439"/>
    <w:rsid w:val="006E4BBD"/>
    <w:rsid w:val="006E4E74"/>
    <w:rsid w:val="006E4ED7"/>
    <w:rsid w:val="006E5452"/>
    <w:rsid w:val="006E55B1"/>
    <w:rsid w:val="006E5B00"/>
    <w:rsid w:val="006E607E"/>
    <w:rsid w:val="006E7427"/>
    <w:rsid w:val="006F0CC2"/>
    <w:rsid w:val="006F0E85"/>
    <w:rsid w:val="006F124F"/>
    <w:rsid w:val="006F1295"/>
    <w:rsid w:val="006F1EF4"/>
    <w:rsid w:val="006F2FA6"/>
    <w:rsid w:val="006F3734"/>
    <w:rsid w:val="006F39BB"/>
    <w:rsid w:val="006F449D"/>
    <w:rsid w:val="006F4C49"/>
    <w:rsid w:val="006F505E"/>
    <w:rsid w:val="006F52A8"/>
    <w:rsid w:val="006F53FD"/>
    <w:rsid w:val="006F5A5E"/>
    <w:rsid w:val="006F5BBB"/>
    <w:rsid w:val="006F6160"/>
    <w:rsid w:val="006F6718"/>
    <w:rsid w:val="006F79AE"/>
    <w:rsid w:val="006F7B71"/>
    <w:rsid w:val="006F7B9B"/>
    <w:rsid w:val="006F7F88"/>
    <w:rsid w:val="007003C6"/>
    <w:rsid w:val="007004A6"/>
    <w:rsid w:val="00700571"/>
    <w:rsid w:val="0070171C"/>
    <w:rsid w:val="00702D67"/>
    <w:rsid w:val="00703334"/>
    <w:rsid w:val="00703608"/>
    <w:rsid w:val="00703661"/>
    <w:rsid w:val="00703EB1"/>
    <w:rsid w:val="00704986"/>
    <w:rsid w:val="00704C7D"/>
    <w:rsid w:val="0070505C"/>
    <w:rsid w:val="0070547D"/>
    <w:rsid w:val="007056EF"/>
    <w:rsid w:val="0070597C"/>
    <w:rsid w:val="00705ADD"/>
    <w:rsid w:val="00706070"/>
    <w:rsid w:val="00706231"/>
    <w:rsid w:val="00706C5D"/>
    <w:rsid w:val="00707F97"/>
    <w:rsid w:val="00710904"/>
    <w:rsid w:val="007109D8"/>
    <w:rsid w:val="00710F23"/>
    <w:rsid w:val="007111AC"/>
    <w:rsid w:val="00711C51"/>
    <w:rsid w:val="007136DC"/>
    <w:rsid w:val="00713C90"/>
    <w:rsid w:val="0071405C"/>
    <w:rsid w:val="00714975"/>
    <w:rsid w:val="00716EA3"/>
    <w:rsid w:val="00716F4F"/>
    <w:rsid w:val="00716FAA"/>
    <w:rsid w:val="00717435"/>
    <w:rsid w:val="0071745B"/>
    <w:rsid w:val="007201A2"/>
    <w:rsid w:val="007201AF"/>
    <w:rsid w:val="00720696"/>
    <w:rsid w:val="00720912"/>
    <w:rsid w:val="00720FCC"/>
    <w:rsid w:val="007210B6"/>
    <w:rsid w:val="007215FB"/>
    <w:rsid w:val="0072186A"/>
    <w:rsid w:val="00721C80"/>
    <w:rsid w:val="00722264"/>
    <w:rsid w:val="007239F9"/>
    <w:rsid w:val="00723A92"/>
    <w:rsid w:val="00723AE0"/>
    <w:rsid w:val="007249D9"/>
    <w:rsid w:val="007254BA"/>
    <w:rsid w:val="007256E4"/>
    <w:rsid w:val="00725FC7"/>
    <w:rsid w:val="007260B9"/>
    <w:rsid w:val="007261AE"/>
    <w:rsid w:val="007269C4"/>
    <w:rsid w:val="0072749F"/>
    <w:rsid w:val="00727857"/>
    <w:rsid w:val="00727C6F"/>
    <w:rsid w:val="0073142D"/>
    <w:rsid w:val="00731DFC"/>
    <w:rsid w:val="00731FF4"/>
    <w:rsid w:val="00732100"/>
    <w:rsid w:val="007328E7"/>
    <w:rsid w:val="00732922"/>
    <w:rsid w:val="00732BAE"/>
    <w:rsid w:val="007334D2"/>
    <w:rsid w:val="00733B51"/>
    <w:rsid w:val="00733BB1"/>
    <w:rsid w:val="00734274"/>
    <w:rsid w:val="007344D7"/>
    <w:rsid w:val="00734FA9"/>
    <w:rsid w:val="00735205"/>
    <w:rsid w:val="00735A48"/>
    <w:rsid w:val="0073742E"/>
    <w:rsid w:val="00737CCD"/>
    <w:rsid w:val="00740A24"/>
    <w:rsid w:val="00740B19"/>
    <w:rsid w:val="00740FC8"/>
    <w:rsid w:val="007412D4"/>
    <w:rsid w:val="00741474"/>
    <w:rsid w:val="00741965"/>
    <w:rsid w:val="00741DF2"/>
    <w:rsid w:val="00741F6E"/>
    <w:rsid w:val="0074260E"/>
    <w:rsid w:val="0074309E"/>
    <w:rsid w:val="00743247"/>
    <w:rsid w:val="00743F1C"/>
    <w:rsid w:val="00743FDB"/>
    <w:rsid w:val="00744257"/>
    <w:rsid w:val="0074563D"/>
    <w:rsid w:val="007457DE"/>
    <w:rsid w:val="00745829"/>
    <w:rsid w:val="007459D8"/>
    <w:rsid w:val="00745E7C"/>
    <w:rsid w:val="00746138"/>
    <w:rsid w:val="00746287"/>
    <w:rsid w:val="0074639A"/>
    <w:rsid w:val="00747437"/>
    <w:rsid w:val="007476C1"/>
    <w:rsid w:val="00747CAB"/>
    <w:rsid w:val="00750AD7"/>
    <w:rsid w:val="007515D3"/>
    <w:rsid w:val="0075162E"/>
    <w:rsid w:val="00751AE4"/>
    <w:rsid w:val="007523A1"/>
    <w:rsid w:val="00752899"/>
    <w:rsid w:val="00752ADD"/>
    <w:rsid w:val="00752BB5"/>
    <w:rsid w:val="007532D0"/>
    <w:rsid w:val="00753347"/>
    <w:rsid w:val="0075366C"/>
    <w:rsid w:val="00753BCE"/>
    <w:rsid w:val="00754034"/>
    <w:rsid w:val="007541FF"/>
    <w:rsid w:val="00754335"/>
    <w:rsid w:val="0075490A"/>
    <w:rsid w:val="00754AFD"/>
    <w:rsid w:val="00756556"/>
    <w:rsid w:val="0075727E"/>
    <w:rsid w:val="007574FF"/>
    <w:rsid w:val="007576DA"/>
    <w:rsid w:val="0075771C"/>
    <w:rsid w:val="00757943"/>
    <w:rsid w:val="00757FEC"/>
    <w:rsid w:val="0076068B"/>
    <w:rsid w:val="00761601"/>
    <w:rsid w:val="007618C4"/>
    <w:rsid w:val="00762B68"/>
    <w:rsid w:val="00764525"/>
    <w:rsid w:val="0076452B"/>
    <w:rsid w:val="0076502E"/>
    <w:rsid w:val="00765251"/>
    <w:rsid w:val="007655D4"/>
    <w:rsid w:val="00766A80"/>
    <w:rsid w:val="00766E40"/>
    <w:rsid w:val="00766F97"/>
    <w:rsid w:val="00767887"/>
    <w:rsid w:val="00767980"/>
    <w:rsid w:val="00767CB7"/>
    <w:rsid w:val="00770022"/>
    <w:rsid w:val="00770221"/>
    <w:rsid w:val="00770434"/>
    <w:rsid w:val="00770B19"/>
    <w:rsid w:val="00770B5F"/>
    <w:rsid w:val="00770DD9"/>
    <w:rsid w:val="00770DFA"/>
    <w:rsid w:val="00770F40"/>
    <w:rsid w:val="007718AF"/>
    <w:rsid w:val="0077197D"/>
    <w:rsid w:val="0077212D"/>
    <w:rsid w:val="0077284A"/>
    <w:rsid w:val="00772A2D"/>
    <w:rsid w:val="00772D00"/>
    <w:rsid w:val="00773055"/>
    <w:rsid w:val="007731A0"/>
    <w:rsid w:val="007737BC"/>
    <w:rsid w:val="00773896"/>
    <w:rsid w:val="007742F3"/>
    <w:rsid w:val="00774402"/>
    <w:rsid w:val="0077463F"/>
    <w:rsid w:val="00775AEF"/>
    <w:rsid w:val="00775B59"/>
    <w:rsid w:val="0077617F"/>
    <w:rsid w:val="007768CD"/>
    <w:rsid w:val="00777019"/>
    <w:rsid w:val="007800E2"/>
    <w:rsid w:val="0078028C"/>
    <w:rsid w:val="00780433"/>
    <w:rsid w:val="00780805"/>
    <w:rsid w:val="00780BAE"/>
    <w:rsid w:val="007836B8"/>
    <w:rsid w:val="007836EA"/>
    <w:rsid w:val="00784603"/>
    <w:rsid w:val="007849FF"/>
    <w:rsid w:val="00784B66"/>
    <w:rsid w:val="00784C52"/>
    <w:rsid w:val="00784CDA"/>
    <w:rsid w:val="00785201"/>
    <w:rsid w:val="007852E6"/>
    <w:rsid w:val="00785C51"/>
    <w:rsid w:val="00786010"/>
    <w:rsid w:val="00786C23"/>
    <w:rsid w:val="00787AD5"/>
    <w:rsid w:val="007903BF"/>
    <w:rsid w:val="007906C4"/>
    <w:rsid w:val="007906EE"/>
    <w:rsid w:val="00790DC3"/>
    <w:rsid w:val="00790E28"/>
    <w:rsid w:val="00791856"/>
    <w:rsid w:val="007926BB"/>
    <w:rsid w:val="00792AD7"/>
    <w:rsid w:val="0079339F"/>
    <w:rsid w:val="00793689"/>
    <w:rsid w:val="00793ACA"/>
    <w:rsid w:val="00793ECC"/>
    <w:rsid w:val="00793FCB"/>
    <w:rsid w:val="007940EA"/>
    <w:rsid w:val="0079440E"/>
    <w:rsid w:val="0079457A"/>
    <w:rsid w:val="00794BFB"/>
    <w:rsid w:val="00794D4C"/>
    <w:rsid w:val="00795430"/>
    <w:rsid w:val="00795DE8"/>
    <w:rsid w:val="0079657B"/>
    <w:rsid w:val="007967E8"/>
    <w:rsid w:val="00796BF7"/>
    <w:rsid w:val="00797D26"/>
    <w:rsid w:val="007A01E4"/>
    <w:rsid w:val="007A0721"/>
    <w:rsid w:val="007A0B39"/>
    <w:rsid w:val="007A0BA6"/>
    <w:rsid w:val="007A1D71"/>
    <w:rsid w:val="007A1D73"/>
    <w:rsid w:val="007A1DD7"/>
    <w:rsid w:val="007A1FFC"/>
    <w:rsid w:val="007A2170"/>
    <w:rsid w:val="007A22BF"/>
    <w:rsid w:val="007A291B"/>
    <w:rsid w:val="007A2C7F"/>
    <w:rsid w:val="007A3323"/>
    <w:rsid w:val="007A35BD"/>
    <w:rsid w:val="007A59C4"/>
    <w:rsid w:val="007A603A"/>
    <w:rsid w:val="007A6840"/>
    <w:rsid w:val="007A735E"/>
    <w:rsid w:val="007A7E8D"/>
    <w:rsid w:val="007B1AE8"/>
    <w:rsid w:val="007B251E"/>
    <w:rsid w:val="007B25A9"/>
    <w:rsid w:val="007B3A5A"/>
    <w:rsid w:val="007B42F3"/>
    <w:rsid w:val="007B5139"/>
    <w:rsid w:val="007B5276"/>
    <w:rsid w:val="007B60EB"/>
    <w:rsid w:val="007B6965"/>
    <w:rsid w:val="007B6DEB"/>
    <w:rsid w:val="007B72B8"/>
    <w:rsid w:val="007B7A58"/>
    <w:rsid w:val="007C0A1A"/>
    <w:rsid w:val="007C12FE"/>
    <w:rsid w:val="007C14A4"/>
    <w:rsid w:val="007C19F2"/>
    <w:rsid w:val="007C21B5"/>
    <w:rsid w:val="007C3066"/>
    <w:rsid w:val="007C3223"/>
    <w:rsid w:val="007C3854"/>
    <w:rsid w:val="007C3F27"/>
    <w:rsid w:val="007C420E"/>
    <w:rsid w:val="007C4681"/>
    <w:rsid w:val="007C469B"/>
    <w:rsid w:val="007C49BA"/>
    <w:rsid w:val="007C4FB2"/>
    <w:rsid w:val="007C4FEC"/>
    <w:rsid w:val="007C51E2"/>
    <w:rsid w:val="007C53A1"/>
    <w:rsid w:val="007C54B6"/>
    <w:rsid w:val="007C55B0"/>
    <w:rsid w:val="007C5699"/>
    <w:rsid w:val="007C5F9E"/>
    <w:rsid w:val="007C62FC"/>
    <w:rsid w:val="007C68FE"/>
    <w:rsid w:val="007C726D"/>
    <w:rsid w:val="007D0590"/>
    <w:rsid w:val="007D0AAF"/>
    <w:rsid w:val="007D0C7A"/>
    <w:rsid w:val="007D11A2"/>
    <w:rsid w:val="007D1465"/>
    <w:rsid w:val="007D1DDF"/>
    <w:rsid w:val="007D1F84"/>
    <w:rsid w:val="007D2CAA"/>
    <w:rsid w:val="007D3096"/>
    <w:rsid w:val="007D35EE"/>
    <w:rsid w:val="007D40A0"/>
    <w:rsid w:val="007D448F"/>
    <w:rsid w:val="007D44AD"/>
    <w:rsid w:val="007D4D1A"/>
    <w:rsid w:val="007D543E"/>
    <w:rsid w:val="007D61E1"/>
    <w:rsid w:val="007D69DC"/>
    <w:rsid w:val="007D7496"/>
    <w:rsid w:val="007D7528"/>
    <w:rsid w:val="007D7533"/>
    <w:rsid w:val="007D7A86"/>
    <w:rsid w:val="007D7DFD"/>
    <w:rsid w:val="007E03F1"/>
    <w:rsid w:val="007E04CD"/>
    <w:rsid w:val="007E0532"/>
    <w:rsid w:val="007E0CA4"/>
    <w:rsid w:val="007E141E"/>
    <w:rsid w:val="007E17C3"/>
    <w:rsid w:val="007E1892"/>
    <w:rsid w:val="007E1EF5"/>
    <w:rsid w:val="007E2527"/>
    <w:rsid w:val="007E41DE"/>
    <w:rsid w:val="007E4B7D"/>
    <w:rsid w:val="007E4BD2"/>
    <w:rsid w:val="007E54B9"/>
    <w:rsid w:val="007E55CA"/>
    <w:rsid w:val="007E584A"/>
    <w:rsid w:val="007E5AE3"/>
    <w:rsid w:val="007E5D07"/>
    <w:rsid w:val="007E658C"/>
    <w:rsid w:val="007E6E0A"/>
    <w:rsid w:val="007E6F06"/>
    <w:rsid w:val="007E795E"/>
    <w:rsid w:val="007F0590"/>
    <w:rsid w:val="007F096E"/>
    <w:rsid w:val="007F0A7E"/>
    <w:rsid w:val="007F0F30"/>
    <w:rsid w:val="007F10D6"/>
    <w:rsid w:val="007F171E"/>
    <w:rsid w:val="007F1C8F"/>
    <w:rsid w:val="007F1FB8"/>
    <w:rsid w:val="007F24D3"/>
    <w:rsid w:val="007F2EC3"/>
    <w:rsid w:val="007F3218"/>
    <w:rsid w:val="007F32BA"/>
    <w:rsid w:val="007F3F19"/>
    <w:rsid w:val="007F484E"/>
    <w:rsid w:val="007F495F"/>
    <w:rsid w:val="007F4CE5"/>
    <w:rsid w:val="007F4E40"/>
    <w:rsid w:val="007F4E76"/>
    <w:rsid w:val="007F557F"/>
    <w:rsid w:val="007F5872"/>
    <w:rsid w:val="007F596A"/>
    <w:rsid w:val="007F5AF0"/>
    <w:rsid w:val="007F62FF"/>
    <w:rsid w:val="007F6769"/>
    <w:rsid w:val="007F6AD8"/>
    <w:rsid w:val="007F6F31"/>
    <w:rsid w:val="007F78C6"/>
    <w:rsid w:val="007F78F8"/>
    <w:rsid w:val="00801393"/>
    <w:rsid w:val="00801857"/>
    <w:rsid w:val="008019A7"/>
    <w:rsid w:val="00801ECD"/>
    <w:rsid w:val="00802116"/>
    <w:rsid w:val="008023BE"/>
    <w:rsid w:val="00802C1A"/>
    <w:rsid w:val="00802F88"/>
    <w:rsid w:val="008030E2"/>
    <w:rsid w:val="0080364E"/>
    <w:rsid w:val="0080367C"/>
    <w:rsid w:val="00803A37"/>
    <w:rsid w:val="00803A84"/>
    <w:rsid w:val="00804069"/>
    <w:rsid w:val="00804FF4"/>
    <w:rsid w:val="008053E9"/>
    <w:rsid w:val="008055DC"/>
    <w:rsid w:val="00805767"/>
    <w:rsid w:val="00805CAF"/>
    <w:rsid w:val="0080621C"/>
    <w:rsid w:val="00806AD5"/>
    <w:rsid w:val="00806BF9"/>
    <w:rsid w:val="00806D04"/>
    <w:rsid w:val="00807392"/>
    <w:rsid w:val="008104B9"/>
    <w:rsid w:val="008105F4"/>
    <w:rsid w:val="008114B9"/>
    <w:rsid w:val="00811942"/>
    <w:rsid w:val="0081293E"/>
    <w:rsid w:val="00813D92"/>
    <w:rsid w:val="008140A7"/>
    <w:rsid w:val="008140BF"/>
    <w:rsid w:val="00814809"/>
    <w:rsid w:val="00814A6B"/>
    <w:rsid w:val="008152EA"/>
    <w:rsid w:val="00815443"/>
    <w:rsid w:val="00815465"/>
    <w:rsid w:val="00815644"/>
    <w:rsid w:val="00817527"/>
    <w:rsid w:val="008175E5"/>
    <w:rsid w:val="008178AB"/>
    <w:rsid w:val="00817B2F"/>
    <w:rsid w:val="00817B34"/>
    <w:rsid w:val="00817C97"/>
    <w:rsid w:val="00817E9A"/>
    <w:rsid w:val="008204CB"/>
    <w:rsid w:val="00820AA8"/>
    <w:rsid w:val="00820EF7"/>
    <w:rsid w:val="008213C3"/>
    <w:rsid w:val="008215D1"/>
    <w:rsid w:val="008219B5"/>
    <w:rsid w:val="00821ADD"/>
    <w:rsid w:val="00821C86"/>
    <w:rsid w:val="00821EAC"/>
    <w:rsid w:val="008226A1"/>
    <w:rsid w:val="008228D3"/>
    <w:rsid w:val="00822A2C"/>
    <w:rsid w:val="00822D6B"/>
    <w:rsid w:val="00822E70"/>
    <w:rsid w:val="00823247"/>
    <w:rsid w:val="0082325A"/>
    <w:rsid w:val="0082359F"/>
    <w:rsid w:val="008235FC"/>
    <w:rsid w:val="00823E9A"/>
    <w:rsid w:val="0082509D"/>
    <w:rsid w:val="00825E78"/>
    <w:rsid w:val="008275E5"/>
    <w:rsid w:val="00827B23"/>
    <w:rsid w:val="008301DE"/>
    <w:rsid w:val="008306BD"/>
    <w:rsid w:val="00830B20"/>
    <w:rsid w:val="00831206"/>
    <w:rsid w:val="008312F0"/>
    <w:rsid w:val="00831498"/>
    <w:rsid w:val="0083167C"/>
    <w:rsid w:val="00831728"/>
    <w:rsid w:val="00831A80"/>
    <w:rsid w:val="00832A87"/>
    <w:rsid w:val="00832BA2"/>
    <w:rsid w:val="00833743"/>
    <w:rsid w:val="0083389E"/>
    <w:rsid w:val="008340A4"/>
    <w:rsid w:val="00834D9B"/>
    <w:rsid w:val="00835EC1"/>
    <w:rsid w:val="00836074"/>
    <w:rsid w:val="008360F8"/>
    <w:rsid w:val="00836613"/>
    <w:rsid w:val="00836762"/>
    <w:rsid w:val="0083724B"/>
    <w:rsid w:val="00837F59"/>
    <w:rsid w:val="00837FC8"/>
    <w:rsid w:val="00840218"/>
    <w:rsid w:val="0084037A"/>
    <w:rsid w:val="008404F8"/>
    <w:rsid w:val="008407D6"/>
    <w:rsid w:val="00840A50"/>
    <w:rsid w:val="00840D0D"/>
    <w:rsid w:val="00840D12"/>
    <w:rsid w:val="00841A0D"/>
    <w:rsid w:val="0084255F"/>
    <w:rsid w:val="00842E57"/>
    <w:rsid w:val="00842EEC"/>
    <w:rsid w:val="00843612"/>
    <w:rsid w:val="00843762"/>
    <w:rsid w:val="00843998"/>
    <w:rsid w:val="00843CD7"/>
    <w:rsid w:val="0084409D"/>
    <w:rsid w:val="0084473C"/>
    <w:rsid w:val="00844894"/>
    <w:rsid w:val="008448D8"/>
    <w:rsid w:val="00844CA1"/>
    <w:rsid w:val="0084614E"/>
    <w:rsid w:val="00846445"/>
    <w:rsid w:val="00846DCA"/>
    <w:rsid w:val="0084731F"/>
    <w:rsid w:val="00850DAF"/>
    <w:rsid w:val="008512C5"/>
    <w:rsid w:val="0085160D"/>
    <w:rsid w:val="008518AF"/>
    <w:rsid w:val="00852AA6"/>
    <w:rsid w:val="00852BA0"/>
    <w:rsid w:val="008532AD"/>
    <w:rsid w:val="00853C2F"/>
    <w:rsid w:val="00853FB9"/>
    <w:rsid w:val="00854554"/>
    <w:rsid w:val="008545EC"/>
    <w:rsid w:val="00854636"/>
    <w:rsid w:val="00854842"/>
    <w:rsid w:val="00854C57"/>
    <w:rsid w:val="00854E4E"/>
    <w:rsid w:val="0085506D"/>
    <w:rsid w:val="0085583E"/>
    <w:rsid w:val="0085592D"/>
    <w:rsid w:val="00856702"/>
    <w:rsid w:val="00856948"/>
    <w:rsid w:val="00856953"/>
    <w:rsid w:val="00857592"/>
    <w:rsid w:val="00857EF2"/>
    <w:rsid w:val="0086028E"/>
    <w:rsid w:val="0086044C"/>
    <w:rsid w:val="008604A9"/>
    <w:rsid w:val="00860D2A"/>
    <w:rsid w:val="00861098"/>
    <w:rsid w:val="0086291D"/>
    <w:rsid w:val="00863569"/>
    <w:rsid w:val="00863E30"/>
    <w:rsid w:val="008647B5"/>
    <w:rsid w:val="008649B4"/>
    <w:rsid w:val="00864C8A"/>
    <w:rsid w:val="00864DDC"/>
    <w:rsid w:val="008653C5"/>
    <w:rsid w:val="00865A83"/>
    <w:rsid w:val="0086644A"/>
    <w:rsid w:val="00866B52"/>
    <w:rsid w:val="008676EE"/>
    <w:rsid w:val="00867DAA"/>
    <w:rsid w:val="00870395"/>
    <w:rsid w:val="008707D7"/>
    <w:rsid w:val="008709A9"/>
    <w:rsid w:val="0087135F"/>
    <w:rsid w:val="008716CD"/>
    <w:rsid w:val="0087187A"/>
    <w:rsid w:val="008718A9"/>
    <w:rsid w:val="00871910"/>
    <w:rsid w:val="00871F66"/>
    <w:rsid w:val="0087204F"/>
    <w:rsid w:val="00872871"/>
    <w:rsid w:val="00872B6C"/>
    <w:rsid w:val="00872D94"/>
    <w:rsid w:val="00872DFB"/>
    <w:rsid w:val="008738E1"/>
    <w:rsid w:val="0087402A"/>
    <w:rsid w:val="008740C7"/>
    <w:rsid w:val="00874DD7"/>
    <w:rsid w:val="00874DE0"/>
    <w:rsid w:val="008751C1"/>
    <w:rsid w:val="008751C5"/>
    <w:rsid w:val="008753C1"/>
    <w:rsid w:val="00875EF6"/>
    <w:rsid w:val="008761AD"/>
    <w:rsid w:val="0087681A"/>
    <w:rsid w:val="0087692B"/>
    <w:rsid w:val="00877373"/>
    <w:rsid w:val="008802B3"/>
    <w:rsid w:val="00880364"/>
    <w:rsid w:val="008808B0"/>
    <w:rsid w:val="00881220"/>
    <w:rsid w:val="00881277"/>
    <w:rsid w:val="00881C7C"/>
    <w:rsid w:val="00881CE7"/>
    <w:rsid w:val="008823AB"/>
    <w:rsid w:val="00882B4B"/>
    <w:rsid w:val="00882CBB"/>
    <w:rsid w:val="0088335D"/>
    <w:rsid w:val="00883763"/>
    <w:rsid w:val="00884209"/>
    <w:rsid w:val="0088461B"/>
    <w:rsid w:val="00884D40"/>
    <w:rsid w:val="00885C6F"/>
    <w:rsid w:val="00885C7D"/>
    <w:rsid w:val="00885ED1"/>
    <w:rsid w:val="00885F4D"/>
    <w:rsid w:val="0088727E"/>
    <w:rsid w:val="0088741E"/>
    <w:rsid w:val="00887E0A"/>
    <w:rsid w:val="00890714"/>
    <w:rsid w:val="008911CF"/>
    <w:rsid w:val="00891483"/>
    <w:rsid w:val="00891592"/>
    <w:rsid w:val="00891795"/>
    <w:rsid w:val="00891E9E"/>
    <w:rsid w:val="008925C9"/>
    <w:rsid w:val="008927FB"/>
    <w:rsid w:val="00893FEE"/>
    <w:rsid w:val="0089444A"/>
    <w:rsid w:val="008945F0"/>
    <w:rsid w:val="00895A6F"/>
    <w:rsid w:val="00895B8F"/>
    <w:rsid w:val="008963C4"/>
    <w:rsid w:val="00897066"/>
    <w:rsid w:val="00897242"/>
    <w:rsid w:val="008978A0"/>
    <w:rsid w:val="00897F15"/>
    <w:rsid w:val="008A050C"/>
    <w:rsid w:val="008A2000"/>
    <w:rsid w:val="008A209A"/>
    <w:rsid w:val="008A22B9"/>
    <w:rsid w:val="008A2F68"/>
    <w:rsid w:val="008A335D"/>
    <w:rsid w:val="008A3606"/>
    <w:rsid w:val="008A3D65"/>
    <w:rsid w:val="008A3DAF"/>
    <w:rsid w:val="008A3DD8"/>
    <w:rsid w:val="008A45E9"/>
    <w:rsid w:val="008A46EB"/>
    <w:rsid w:val="008A4A50"/>
    <w:rsid w:val="008A4ADC"/>
    <w:rsid w:val="008A4B00"/>
    <w:rsid w:val="008A4B93"/>
    <w:rsid w:val="008A5270"/>
    <w:rsid w:val="008A5BD0"/>
    <w:rsid w:val="008A6067"/>
    <w:rsid w:val="008A7BC0"/>
    <w:rsid w:val="008B0587"/>
    <w:rsid w:val="008B05E7"/>
    <w:rsid w:val="008B06FF"/>
    <w:rsid w:val="008B08A5"/>
    <w:rsid w:val="008B0B1E"/>
    <w:rsid w:val="008B18FD"/>
    <w:rsid w:val="008B2562"/>
    <w:rsid w:val="008B26CF"/>
    <w:rsid w:val="008B28B4"/>
    <w:rsid w:val="008B2F5B"/>
    <w:rsid w:val="008B30EF"/>
    <w:rsid w:val="008B3510"/>
    <w:rsid w:val="008B3B76"/>
    <w:rsid w:val="008B3CC7"/>
    <w:rsid w:val="008B3ECE"/>
    <w:rsid w:val="008B4107"/>
    <w:rsid w:val="008B4C07"/>
    <w:rsid w:val="008B4D48"/>
    <w:rsid w:val="008B4DDA"/>
    <w:rsid w:val="008B4FA6"/>
    <w:rsid w:val="008B5282"/>
    <w:rsid w:val="008B541C"/>
    <w:rsid w:val="008B5AEE"/>
    <w:rsid w:val="008B5D8A"/>
    <w:rsid w:val="008B60B5"/>
    <w:rsid w:val="008B6114"/>
    <w:rsid w:val="008B65B9"/>
    <w:rsid w:val="008B689C"/>
    <w:rsid w:val="008B6B6C"/>
    <w:rsid w:val="008B7C17"/>
    <w:rsid w:val="008C0577"/>
    <w:rsid w:val="008C126A"/>
    <w:rsid w:val="008C144D"/>
    <w:rsid w:val="008C1ADD"/>
    <w:rsid w:val="008C1D9A"/>
    <w:rsid w:val="008C2490"/>
    <w:rsid w:val="008C2793"/>
    <w:rsid w:val="008C2B95"/>
    <w:rsid w:val="008C2D01"/>
    <w:rsid w:val="008C3774"/>
    <w:rsid w:val="008C3822"/>
    <w:rsid w:val="008C4084"/>
    <w:rsid w:val="008C40E6"/>
    <w:rsid w:val="008C4612"/>
    <w:rsid w:val="008C489D"/>
    <w:rsid w:val="008C4B91"/>
    <w:rsid w:val="008C51A4"/>
    <w:rsid w:val="008C6362"/>
    <w:rsid w:val="008C6732"/>
    <w:rsid w:val="008C6F66"/>
    <w:rsid w:val="008C769A"/>
    <w:rsid w:val="008D0B82"/>
    <w:rsid w:val="008D0BAB"/>
    <w:rsid w:val="008D0F7A"/>
    <w:rsid w:val="008D1477"/>
    <w:rsid w:val="008D157E"/>
    <w:rsid w:val="008D17D0"/>
    <w:rsid w:val="008D25BD"/>
    <w:rsid w:val="008D36CB"/>
    <w:rsid w:val="008D390F"/>
    <w:rsid w:val="008D3E2F"/>
    <w:rsid w:val="008D4301"/>
    <w:rsid w:val="008D57A0"/>
    <w:rsid w:val="008D618A"/>
    <w:rsid w:val="008D68E4"/>
    <w:rsid w:val="008D6AA1"/>
    <w:rsid w:val="008D6CCD"/>
    <w:rsid w:val="008D75B1"/>
    <w:rsid w:val="008D75CB"/>
    <w:rsid w:val="008D7738"/>
    <w:rsid w:val="008D7CAF"/>
    <w:rsid w:val="008E010F"/>
    <w:rsid w:val="008E01D0"/>
    <w:rsid w:val="008E0281"/>
    <w:rsid w:val="008E0506"/>
    <w:rsid w:val="008E07F1"/>
    <w:rsid w:val="008E080D"/>
    <w:rsid w:val="008E0CCF"/>
    <w:rsid w:val="008E0CFF"/>
    <w:rsid w:val="008E0FED"/>
    <w:rsid w:val="008E14A9"/>
    <w:rsid w:val="008E1B1C"/>
    <w:rsid w:val="008E1B85"/>
    <w:rsid w:val="008E298A"/>
    <w:rsid w:val="008E2D5C"/>
    <w:rsid w:val="008E2DA5"/>
    <w:rsid w:val="008E351F"/>
    <w:rsid w:val="008E36C0"/>
    <w:rsid w:val="008E38C7"/>
    <w:rsid w:val="008E3AC9"/>
    <w:rsid w:val="008E3D78"/>
    <w:rsid w:val="008E4269"/>
    <w:rsid w:val="008E4B4A"/>
    <w:rsid w:val="008E4BDC"/>
    <w:rsid w:val="008E4E7F"/>
    <w:rsid w:val="008E57DF"/>
    <w:rsid w:val="008E5C63"/>
    <w:rsid w:val="008E5D6B"/>
    <w:rsid w:val="008E5E20"/>
    <w:rsid w:val="008E70CD"/>
    <w:rsid w:val="008E76F0"/>
    <w:rsid w:val="008E7AE7"/>
    <w:rsid w:val="008E7C48"/>
    <w:rsid w:val="008E7E79"/>
    <w:rsid w:val="008F061D"/>
    <w:rsid w:val="008F15FE"/>
    <w:rsid w:val="008F1600"/>
    <w:rsid w:val="008F17C4"/>
    <w:rsid w:val="008F187A"/>
    <w:rsid w:val="008F19F2"/>
    <w:rsid w:val="008F1A51"/>
    <w:rsid w:val="008F1E69"/>
    <w:rsid w:val="008F1ED2"/>
    <w:rsid w:val="008F2591"/>
    <w:rsid w:val="008F2B15"/>
    <w:rsid w:val="008F2D29"/>
    <w:rsid w:val="008F329F"/>
    <w:rsid w:val="008F3A05"/>
    <w:rsid w:val="008F3C87"/>
    <w:rsid w:val="008F5187"/>
    <w:rsid w:val="008F58B0"/>
    <w:rsid w:val="008F5AE8"/>
    <w:rsid w:val="008F5FBF"/>
    <w:rsid w:val="008F60D8"/>
    <w:rsid w:val="008F6125"/>
    <w:rsid w:val="008F637C"/>
    <w:rsid w:val="008F658F"/>
    <w:rsid w:val="008F6746"/>
    <w:rsid w:val="008F6D8A"/>
    <w:rsid w:val="008F70FA"/>
    <w:rsid w:val="008F7680"/>
    <w:rsid w:val="008F780F"/>
    <w:rsid w:val="0090039D"/>
    <w:rsid w:val="00900470"/>
    <w:rsid w:val="00900869"/>
    <w:rsid w:val="00900BB6"/>
    <w:rsid w:val="009013B0"/>
    <w:rsid w:val="009015BE"/>
    <w:rsid w:val="00901A56"/>
    <w:rsid w:val="00901EF4"/>
    <w:rsid w:val="009023D6"/>
    <w:rsid w:val="0090270D"/>
    <w:rsid w:val="00902727"/>
    <w:rsid w:val="00902E6D"/>
    <w:rsid w:val="0090312B"/>
    <w:rsid w:val="009041DF"/>
    <w:rsid w:val="0090487E"/>
    <w:rsid w:val="00904D0F"/>
    <w:rsid w:val="00904E1E"/>
    <w:rsid w:val="00905F56"/>
    <w:rsid w:val="00906202"/>
    <w:rsid w:val="00906CE0"/>
    <w:rsid w:val="00906D02"/>
    <w:rsid w:val="009102A6"/>
    <w:rsid w:val="00910531"/>
    <w:rsid w:val="009105EA"/>
    <w:rsid w:val="00910935"/>
    <w:rsid w:val="009115EB"/>
    <w:rsid w:val="00911B2E"/>
    <w:rsid w:val="00911B76"/>
    <w:rsid w:val="00911D8E"/>
    <w:rsid w:val="00911F45"/>
    <w:rsid w:val="00912A38"/>
    <w:rsid w:val="00912C99"/>
    <w:rsid w:val="00912D49"/>
    <w:rsid w:val="00912EAD"/>
    <w:rsid w:val="00912FBB"/>
    <w:rsid w:val="009130FC"/>
    <w:rsid w:val="009138BB"/>
    <w:rsid w:val="00913CC8"/>
    <w:rsid w:val="0091403B"/>
    <w:rsid w:val="00914379"/>
    <w:rsid w:val="009143B0"/>
    <w:rsid w:val="00914624"/>
    <w:rsid w:val="00916116"/>
    <w:rsid w:val="009164B9"/>
    <w:rsid w:val="00916C4B"/>
    <w:rsid w:val="00916D2C"/>
    <w:rsid w:val="0091736D"/>
    <w:rsid w:val="00917DDC"/>
    <w:rsid w:val="00917EC9"/>
    <w:rsid w:val="00920962"/>
    <w:rsid w:val="009209F7"/>
    <w:rsid w:val="00920D7D"/>
    <w:rsid w:val="0092137C"/>
    <w:rsid w:val="0092146F"/>
    <w:rsid w:val="009214AB"/>
    <w:rsid w:val="009216CF"/>
    <w:rsid w:val="00921DFE"/>
    <w:rsid w:val="00921EA9"/>
    <w:rsid w:val="009224D7"/>
    <w:rsid w:val="00922E7F"/>
    <w:rsid w:val="0092309C"/>
    <w:rsid w:val="0092464C"/>
    <w:rsid w:val="00924A68"/>
    <w:rsid w:val="009250FE"/>
    <w:rsid w:val="009252C7"/>
    <w:rsid w:val="009254E7"/>
    <w:rsid w:val="009271D4"/>
    <w:rsid w:val="009278E5"/>
    <w:rsid w:val="00927986"/>
    <w:rsid w:val="00927D3D"/>
    <w:rsid w:val="00927D85"/>
    <w:rsid w:val="00930143"/>
    <w:rsid w:val="0093037A"/>
    <w:rsid w:val="00930533"/>
    <w:rsid w:val="009306B7"/>
    <w:rsid w:val="00930715"/>
    <w:rsid w:val="00930780"/>
    <w:rsid w:val="0093078B"/>
    <w:rsid w:val="009317A6"/>
    <w:rsid w:val="00931A88"/>
    <w:rsid w:val="009327B9"/>
    <w:rsid w:val="00933695"/>
    <w:rsid w:val="00933F83"/>
    <w:rsid w:val="0093430D"/>
    <w:rsid w:val="00934ABD"/>
    <w:rsid w:val="00934D16"/>
    <w:rsid w:val="009354F7"/>
    <w:rsid w:val="00935837"/>
    <w:rsid w:val="00935A2C"/>
    <w:rsid w:val="0093711E"/>
    <w:rsid w:val="00937467"/>
    <w:rsid w:val="00937DE0"/>
    <w:rsid w:val="0094006E"/>
    <w:rsid w:val="00940535"/>
    <w:rsid w:val="0094053C"/>
    <w:rsid w:val="00940959"/>
    <w:rsid w:val="00940D59"/>
    <w:rsid w:val="00940F1B"/>
    <w:rsid w:val="0094154D"/>
    <w:rsid w:val="009415A3"/>
    <w:rsid w:val="0094171D"/>
    <w:rsid w:val="00942185"/>
    <w:rsid w:val="009424F0"/>
    <w:rsid w:val="00943462"/>
    <w:rsid w:val="00943614"/>
    <w:rsid w:val="00943B3B"/>
    <w:rsid w:val="00943D24"/>
    <w:rsid w:val="009440A7"/>
    <w:rsid w:val="00944605"/>
    <w:rsid w:val="009446A4"/>
    <w:rsid w:val="00944726"/>
    <w:rsid w:val="009459FA"/>
    <w:rsid w:val="00945CB0"/>
    <w:rsid w:val="0094600A"/>
    <w:rsid w:val="009466A1"/>
    <w:rsid w:val="00946741"/>
    <w:rsid w:val="0094697C"/>
    <w:rsid w:val="00947CE7"/>
    <w:rsid w:val="00947F87"/>
    <w:rsid w:val="0095155F"/>
    <w:rsid w:val="009516B7"/>
    <w:rsid w:val="00951722"/>
    <w:rsid w:val="009523CE"/>
    <w:rsid w:val="009526A0"/>
    <w:rsid w:val="00952D8E"/>
    <w:rsid w:val="0095398C"/>
    <w:rsid w:val="00953CB3"/>
    <w:rsid w:val="00954429"/>
    <w:rsid w:val="0095444A"/>
    <w:rsid w:val="009545A5"/>
    <w:rsid w:val="00954A50"/>
    <w:rsid w:val="00955255"/>
    <w:rsid w:val="00955F5A"/>
    <w:rsid w:val="00956069"/>
    <w:rsid w:val="009563CE"/>
    <w:rsid w:val="00956880"/>
    <w:rsid w:val="00957ECE"/>
    <w:rsid w:val="00957FC7"/>
    <w:rsid w:val="00960236"/>
    <w:rsid w:val="00960547"/>
    <w:rsid w:val="009606DF"/>
    <w:rsid w:val="0096085B"/>
    <w:rsid w:val="00960978"/>
    <w:rsid w:val="00960B2E"/>
    <w:rsid w:val="0096162F"/>
    <w:rsid w:val="009622C2"/>
    <w:rsid w:val="00962321"/>
    <w:rsid w:val="0096283B"/>
    <w:rsid w:val="009637AA"/>
    <w:rsid w:val="009638B3"/>
    <w:rsid w:val="0096447C"/>
    <w:rsid w:val="0096491F"/>
    <w:rsid w:val="00964B1C"/>
    <w:rsid w:val="00964CF7"/>
    <w:rsid w:val="00965F31"/>
    <w:rsid w:val="009660BF"/>
    <w:rsid w:val="00966631"/>
    <w:rsid w:val="009668D3"/>
    <w:rsid w:val="00966A57"/>
    <w:rsid w:val="00966F89"/>
    <w:rsid w:val="00967048"/>
    <w:rsid w:val="00967579"/>
    <w:rsid w:val="009677F4"/>
    <w:rsid w:val="00967C36"/>
    <w:rsid w:val="009704C5"/>
    <w:rsid w:val="00970888"/>
    <w:rsid w:val="00970B7A"/>
    <w:rsid w:val="00970BD1"/>
    <w:rsid w:val="00970C4B"/>
    <w:rsid w:val="009712D4"/>
    <w:rsid w:val="009719F0"/>
    <w:rsid w:val="0097292D"/>
    <w:rsid w:val="00972CF4"/>
    <w:rsid w:val="009733D5"/>
    <w:rsid w:val="009734B3"/>
    <w:rsid w:val="009748BE"/>
    <w:rsid w:val="00974AC0"/>
    <w:rsid w:val="00975028"/>
    <w:rsid w:val="00975128"/>
    <w:rsid w:val="00975C0C"/>
    <w:rsid w:val="00975C59"/>
    <w:rsid w:val="00976328"/>
    <w:rsid w:val="009765FC"/>
    <w:rsid w:val="0097680D"/>
    <w:rsid w:val="0097769E"/>
    <w:rsid w:val="009778C2"/>
    <w:rsid w:val="00977C23"/>
    <w:rsid w:val="00977CE4"/>
    <w:rsid w:val="0098035F"/>
    <w:rsid w:val="0098080C"/>
    <w:rsid w:val="0098099A"/>
    <w:rsid w:val="00981D13"/>
    <w:rsid w:val="0098215A"/>
    <w:rsid w:val="009821DD"/>
    <w:rsid w:val="00982438"/>
    <w:rsid w:val="00982F0A"/>
    <w:rsid w:val="00983578"/>
    <w:rsid w:val="0098404C"/>
    <w:rsid w:val="0098433A"/>
    <w:rsid w:val="0098466E"/>
    <w:rsid w:val="00985283"/>
    <w:rsid w:val="009862A6"/>
    <w:rsid w:val="00986945"/>
    <w:rsid w:val="00986B55"/>
    <w:rsid w:val="00986FD0"/>
    <w:rsid w:val="00987088"/>
    <w:rsid w:val="00987509"/>
    <w:rsid w:val="0098784F"/>
    <w:rsid w:val="00987FAB"/>
    <w:rsid w:val="0099022E"/>
    <w:rsid w:val="009908F3"/>
    <w:rsid w:val="009908FD"/>
    <w:rsid w:val="00990A2C"/>
    <w:rsid w:val="00991EB8"/>
    <w:rsid w:val="009923AE"/>
    <w:rsid w:val="00992BB0"/>
    <w:rsid w:val="00992D51"/>
    <w:rsid w:val="00992F27"/>
    <w:rsid w:val="00993121"/>
    <w:rsid w:val="00993364"/>
    <w:rsid w:val="00993493"/>
    <w:rsid w:val="00993A3D"/>
    <w:rsid w:val="00993AA5"/>
    <w:rsid w:val="00993C35"/>
    <w:rsid w:val="00993CB6"/>
    <w:rsid w:val="00993E16"/>
    <w:rsid w:val="00993E86"/>
    <w:rsid w:val="0099435A"/>
    <w:rsid w:val="00994D01"/>
    <w:rsid w:val="00994D0B"/>
    <w:rsid w:val="009953AD"/>
    <w:rsid w:val="0099571E"/>
    <w:rsid w:val="00995992"/>
    <w:rsid w:val="00996230"/>
    <w:rsid w:val="00996784"/>
    <w:rsid w:val="00996A92"/>
    <w:rsid w:val="009979F8"/>
    <w:rsid w:val="00997A7D"/>
    <w:rsid w:val="00997C01"/>
    <w:rsid w:val="009A03E5"/>
    <w:rsid w:val="009A0404"/>
    <w:rsid w:val="009A04E7"/>
    <w:rsid w:val="009A0F3B"/>
    <w:rsid w:val="009A18B0"/>
    <w:rsid w:val="009A1B76"/>
    <w:rsid w:val="009A1BB4"/>
    <w:rsid w:val="009A1D34"/>
    <w:rsid w:val="009A22DC"/>
    <w:rsid w:val="009A2628"/>
    <w:rsid w:val="009A266D"/>
    <w:rsid w:val="009A3200"/>
    <w:rsid w:val="009A3547"/>
    <w:rsid w:val="009A3761"/>
    <w:rsid w:val="009A44AA"/>
    <w:rsid w:val="009A4D24"/>
    <w:rsid w:val="009A4E69"/>
    <w:rsid w:val="009A58C1"/>
    <w:rsid w:val="009A59C3"/>
    <w:rsid w:val="009A5CC3"/>
    <w:rsid w:val="009A5F98"/>
    <w:rsid w:val="009A6ABB"/>
    <w:rsid w:val="009A6C63"/>
    <w:rsid w:val="009A7035"/>
    <w:rsid w:val="009A7107"/>
    <w:rsid w:val="009A7273"/>
    <w:rsid w:val="009A7480"/>
    <w:rsid w:val="009A7C7B"/>
    <w:rsid w:val="009A7F6B"/>
    <w:rsid w:val="009A7FE1"/>
    <w:rsid w:val="009B03DC"/>
    <w:rsid w:val="009B0897"/>
    <w:rsid w:val="009B26B8"/>
    <w:rsid w:val="009B348B"/>
    <w:rsid w:val="009B3B39"/>
    <w:rsid w:val="009B3D24"/>
    <w:rsid w:val="009B456F"/>
    <w:rsid w:val="009B49A0"/>
    <w:rsid w:val="009B508B"/>
    <w:rsid w:val="009B58FD"/>
    <w:rsid w:val="009B5FE3"/>
    <w:rsid w:val="009B6870"/>
    <w:rsid w:val="009B6899"/>
    <w:rsid w:val="009B6F50"/>
    <w:rsid w:val="009B70FE"/>
    <w:rsid w:val="009B7BD9"/>
    <w:rsid w:val="009B7F88"/>
    <w:rsid w:val="009C025E"/>
    <w:rsid w:val="009C0BB6"/>
    <w:rsid w:val="009C0E3D"/>
    <w:rsid w:val="009C151F"/>
    <w:rsid w:val="009C185E"/>
    <w:rsid w:val="009C1CD0"/>
    <w:rsid w:val="009C2B94"/>
    <w:rsid w:val="009C4370"/>
    <w:rsid w:val="009C4575"/>
    <w:rsid w:val="009C4A2C"/>
    <w:rsid w:val="009C50A0"/>
    <w:rsid w:val="009C5376"/>
    <w:rsid w:val="009C5D56"/>
    <w:rsid w:val="009C618E"/>
    <w:rsid w:val="009C6C8A"/>
    <w:rsid w:val="009C7914"/>
    <w:rsid w:val="009C7DD5"/>
    <w:rsid w:val="009C7E0D"/>
    <w:rsid w:val="009D0071"/>
    <w:rsid w:val="009D049B"/>
    <w:rsid w:val="009D0D31"/>
    <w:rsid w:val="009D291E"/>
    <w:rsid w:val="009D2A62"/>
    <w:rsid w:val="009D2A87"/>
    <w:rsid w:val="009D3756"/>
    <w:rsid w:val="009D455A"/>
    <w:rsid w:val="009D480A"/>
    <w:rsid w:val="009D4C77"/>
    <w:rsid w:val="009D598E"/>
    <w:rsid w:val="009D6B45"/>
    <w:rsid w:val="009D71F5"/>
    <w:rsid w:val="009D73FB"/>
    <w:rsid w:val="009D7FA1"/>
    <w:rsid w:val="009E0545"/>
    <w:rsid w:val="009E0550"/>
    <w:rsid w:val="009E0761"/>
    <w:rsid w:val="009E0790"/>
    <w:rsid w:val="009E1061"/>
    <w:rsid w:val="009E16A5"/>
    <w:rsid w:val="009E1D91"/>
    <w:rsid w:val="009E1F6D"/>
    <w:rsid w:val="009E227D"/>
    <w:rsid w:val="009E2997"/>
    <w:rsid w:val="009E29F6"/>
    <w:rsid w:val="009E3277"/>
    <w:rsid w:val="009E4077"/>
    <w:rsid w:val="009E48FA"/>
    <w:rsid w:val="009E4BBE"/>
    <w:rsid w:val="009E4DCA"/>
    <w:rsid w:val="009E5019"/>
    <w:rsid w:val="009E5708"/>
    <w:rsid w:val="009E59FA"/>
    <w:rsid w:val="009E5B5F"/>
    <w:rsid w:val="009E6034"/>
    <w:rsid w:val="009E6C51"/>
    <w:rsid w:val="009E7E1B"/>
    <w:rsid w:val="009F02B6"/>
    <w:rsid w:val="009F051E"/>
    <w:rsid w:val="009F1458"/>
    <w:rsid w:val="009F1595"/>
    <w:rsid w:val="009F1689"/>
    <w:rsid w:val="009F2969"/>
    <w:rsid w:val="009F2C55"/>
    <w:rsid w:val="009F2CE6"/>
    <w:rsid w:val="009F32A2"/>
    <w:rsid w:val="009F3F18"/>
    <w:rsid w:val="009F5FBC"/>
    <w:rsid w:val="009F64FC"/>
    <w:rsid w:val="009F651A"/>
    <w:rsid w:val="009F6CDA"/>
    <w:rsid w:val="009F6E82"/>
    <w:rsid w:val="009F7A89"/>
    <w:rsid w:val="009F7C41"/>
    <w:rsid w:val="009F7EC0"/>
    <w:rsid w:val="00A005E8"/>
    <w:rsid w:val="00A0078F"/>
    <w:rsid w:val="00A00C23"/>
    <w:rsid w:val="00A0103C"/>
    <w:rsid w:val="00A017DD"/>
    <w:rsid w:val="00A01A37"/>
    <w:rsid w:val="00A02E49"/>
    <w:rsid w:val="00A03EE2"/>
    <w:rsid w:val="00A04B53"/>
    <w:rsid w:val="00A04F1B"/>
    <w:rsid w:val="00A0501B"/>
    <w:rsid w:val="00A061A8"/>
    <w:rsid w:val="00A06FC1"/>
    <w:rsid w:val="00A07172"/>
    <w:rsid w:val="00A078F3"/>
    <w:rsid w:val="00A1029D"/>
    <w:rsid w:val="00A1039D"/>
    <w:rsid w:val="00A103DC"/>
    <w:rsid w:val="00A1055C"/>
    <w:rsid w:val="00A10665"/>
    <w:rsid w:val="00A10705"/>
    <w:rsid w:val="00A10B07"/>
    <w:rsid w:val="00A10E77"/>
    <w:rsid w:val="00A110EE"/>
    <w:rsid w:val="00A11222"/>
    <w:rsid w:val="00A11344"/>
    <w:rsid w:val="00A113A9"/>
    <w:rsid w:val="00A114D6"/>
    <w:rsid w:val="00A11ADE"/>
    <w:rsid w:val="00A12291"/>
    <w:rsid w:val="00A123E1"/>
    <w:rsid w:val="00A1284E"/>
    <w:rsid w:val="00A12BB1"/>
    <w:rsid w:val="00A13795"/>
    <w:rsid w:val="00A13DBF"/>
    <w:rsid w:val="00A14947"/>
    <w:rsid w:val="00A1499D"/>
    <w:rsid w:val="00A157E8"/>
    <w:rsid w:val="00A15865"/>
    <w:rsid w:val="00A15F49"/>
    <w:rsid w:val="00A16056"/>
    <w:rsid w:val="00A16165"/>
    <w:rsid w:val="00A167AE"/>
    <w:rsid w:val="00A16B0B"/>
    <w:rsid w:val="00A16F7F"/>
    <w:rsid w:val="00A17138"/>
    <w:rsid w:val="00A219A2"/>
    <w:rsid w:val="00A21D56"/>
    <w:rsid w:val="00A21DF9"/>
    <w:rsid w:val="00A21FB3"/>
    <w:rsid w:val="00A220F5"/>
    <w:rsid w:val="00A22D5F"/>
    <w:rsid w:val="00A22F7E"/>
    <w:rsid w:val="00A2303E"/>
    <w:rsid w:val="00A23072"/>
    <w:rsid w:val="00A23896"/>
    <w:rsid w:val="00A23E4A"/>
    <w:rsid w:val="00A24356"/>
    <w:rsid w:val="00A24C67"/>
    <w:rsid w:val="00A24C6B"/>
    <w:rsid w:val="00A24E9F"/>
    <w:rsid w:val="00A2502F"/>
    <w:rsid w:val="00A2587A"/>
    <w:rsid w:val="00A25B51"/>
    <w:rsid w:val="00A26192"/>
    <w:rsid w:val="00A26336"/>
    <w:rsid w:val="00A268AA"/>
    <w:rsid w:val="00A275B8"/>
    <w:rsid w:val="00A27D78"/>
    <w:rsid w:val="00A30380"/>
    <w:rsid w:val="00A30E62"/>
    <w:rsid w:val="00A312F0"/>
    <w:rsid w:val="00A31886"/>
    <w:rsid w:val="00A320C9"/>
    <w:rsid w:val="00A32803"/>
    <w:rsid w:val="00A32A83"/>
    <w:rsid w:val="00A32BE5"/>
    <w:rsid w:val="00A3321B"/>
    <w:rsid w:val="00A33681"/>
    <w:rsid w:val="00A33D48"/>
    <w:rsid w:val="00A34885"/>
    <w:rsid w:val="00A34F3F"/>
    <w:rsid w:val="00A35F22"/>
    <w:rsid w:val="00A368DB"/>
    <w:rsid w:val="00A373BA"/>
    <w:rsid w:val="00A376F3"/>
    <w:rsid w:val="00A3775A"/>
    <w:rsid w:val="00A4003E"/>
    <w:rsid w:val="00A4049B"/>
    <w:rsid w:val="00A4089F"/>
    <w:rsid w:val="00A40ABD"/>
    <w:rsid w:val="00A40CE4"/>
    <w:rsid w:val="00A40DFB"/>
    <w:rsid w:val="00A414C5"/>
    <w:rsid w:val="00A41700"/>
    <w:rsid w:val="00A41FE4"/>
    <w:rsid w:val="00A41FF5"/>
    <w:rsid w:val="00A423AA"/>
    <w:rsid w:val="00A4250E"/>
    <w:rsid w:val="00A42BD7"/>
    <w:rsid w:val="00A42C0C"/>
    <w:rsid w:val="00A42FB3"/>
    <w:rsid w:val="00A4331D"/>
    <w:rsid w:val="00A43D90"/>
    <w:rsid w:val="00A445C0"/>
    <w:rsid w:val="00A44C89"/>
    <w:rsid w:val="00A4533D"/>
    <w:rsid w:val="00A45CD8"/>
    <w:rsid w:val="00A46227"/>
    <w:rsid w:val="00A467D9"/>
    <w:rsid w:val="00A46F9E"/>
    <w:rsid w:val="00A5031D"/>
    <w:rsid w:val="00A5052C"/>
    <w:rsid w:val="00A52061"/>
    <w:rsid w:val="00A522F8"/>
    <w:rsid w:val="00A526A7"/>
    <w:rsid w:val="00A52C87"/>
    <w:rsid w:val="00A533F7"/>
    <w:rsid w:val="00A535F1"/>
    <w:rsid w:val="00A53EC6"/>
    <w:rsid w:val="00A5406E"/>
    <w:rsid w:val="00A54160"/>
    <w:rsid w:val="00A543E7"/>
    <w:rsid w:val="00A543EC"/>
    <w:rsid w:val="00A54B9A"/>
    <w:rsid w:val="00A54BE9"/>
    <w:rsid w:val="00A54F02"/>
    <w:rsid w:val="00A552A6"/>
    <w:rsid w:val="00A553B0"/>
    <w:rsid w:val="00A558C1"/>
    <w:rsid w:val="00A55C0F"/>
    <w:rsid w:val="00A55E20"/>
    <w:rsid w:val="00A5630F"/>
    <w:rsid w:val="00A564F4"/>
    <w:rsid w:val="00A56AC2"/>
    <w:rsid w:val="00A57BEE"/>
    <w:rsid w:val="00A60424"/>
    <w:rsid w:val="00A611A1"/>
    <w:rsid w:val="00A61A00"/>
    <w:rsid w:val="00A61C23"/>
    <w:rsid w:val="00A61EE6"/>
    <w:rsid w:val="00A628C2"/>
    <w:rsid w:val="00A6298E"/>
    <w:rsid w:val="00A62B54"/>
    <w:rsid w:val="00A62B6D"/>
    <w:rsid w:val="00A62CF2"/>
    <w:rsid w:val="00A62D9D"/>
    <w:rsid w:val="00A62E90"/>
    <w:rsid w:val="00A6337A"/>
    <w:rsid w:val="00A63580"/>
    <w:rsid w:val="00A636A4"/>
    <w:rsid w:val="00A6422F"/>
    <w:rsid w:val="00A64377"/>
    <w:rsid w:val="00A6461A"/>
    <w:rsid w:val="00A658AA"/>
    <w:rsid w:val="00A65B89"/>
    <w:rsid w:val="00A65D97"/>
    <w:rsid w:val="00A65DB0"/>
    <w:rsid w:val="00A660CE"/>
    <w:rsid w:val="00A66248"/>
    <w:rsid w:val="00A66434"/>
    <w:rsid w:val="00A6697B"/>
    <w:rsid w:val="00A6754F"/>
    <w:rsid w:val="00A700D6"/>
    <w:rsid w:val="00A70AEE"/>
    <w:rsid w:val="00A70B52"/>
    <w:rsid w:val="00A71065"/>
    <w:rsid w:val="00A71CFD"/>
    <w:rsid w:val="00A738E1"/>
    <w:rsid w:val="00A7434E"/>
    <w:rsid w:val="00A743DC"/>
    <w:rsid w:val="00A75B06"/>
    <w:rsid w:val="00A75F30"/>
    <w:rsid w:val="00A75FB8"/>
    <w:rsid w:val="00A76D29"/>
    <w:rsid w:val="00A77568"/>
    <w:rsid w:val="00A7770A"/>
    <w:rsid w:val="00A77E1E"/>
    <w:rsid w:val="00A77F13"/>
    <w:rsid w:val="00A8048A"/>
    <w:rsid w:val="00A811BE"/>
    <w:rsid w:val="00A813CC"/>
    <w:rsid w:val="00A81606"/>
    <w:rsid w:val="00A81815"/>
    <w:rsid w:val="00A829C7"/>
    <w:rsid w:val="00A829F6"/>
    <w:rsid w:val="00A838F6"/>
    <w:rsid w:val="00A83E75"/>
    <w:rsid w:val="00A84A59"/>
    <w:rsid w:val="00A84C46"/>
    <w:rsid w:val="00A854D5"/>
    <w:rsid w:val="00A85BC5"/>
    <w:rsid w:val="00A86078"/>
    <w:rsid w:val="00A86AD0"/>
    <w:rsid w:val="00A86F37"/>
    <w:rsid w:val="00A8713F"/>
    <w:rsid w:val="00A87265"/>
    <w:rsid w:val="00A87398"/>
    <w:rsid w:val="00A90BA1"/>
    <w:rsid w:val="00A9178F"/>
    <w:rsid w:val="00A91B8B"/>
    <w:rsid w:val="00A91D1C"/>
    <w:rsid w:val="00A91F5B"/>
    <w:rsid w:val="00A9204A"/>
    <w:rsid w:val="00A92080"/>
    <w:rsid w:val="00A92107"/>
    <w:rsid w:val="00A926F0"/>
    <w:rsid w:val="00A92A94"/>
    <w:rsid w:val="00A933F1"/>
    <w:rsid w:val="00A937EF"/>
    <w:rsid w:val="00A93A4D"/>
    <w:rsid w:val="00A93F8A"/>
    <w:rsid w:val="00A95467"/>
    <w:rsid w:val="00A955F0"/>
    <w:rsid w:val="00A95942"/>
    <w:rsid w:val="00A95991"/>
    <w:rsid w:val="00A95F94"/>
    <w:rsid w:val="00A96290"/>
    <w:rsid w:val="00A96A9F"/>
    <w:rsid w:val="00A973B4"/>
    <w:rsid w:val="00A97A43"/>
    <w:rsid w:val="00A97A9A"/>
    <w:rsid w:val="00AA0003"/>
    <w:rsid w:val="00AA028D"/>
    <w:rsid w:val="00AA0671"/>
    <w:rsid w:val="00AA06AD"/>
    <w:rsid w:val="00AA23E9"/>
    <w:rsid w:val="00AA2531"/>
    <w:rsid w:val="00AA2783"/>
    <w:rsid w:val="00AA2C3E"/>
    <w:rsid w:val="00AA3668"/>
    <w:rsid w:val="00AA3844"/>
    <w:rsid w:val="00AA485C"/>
    <w:rsid w:val="00AA5C66"/>
    <w:rsid w:val="00AA5E84"/>
    <w:rsid w:val="00AA6C57"/>
    <w:rsid w:val="00AA6DC5"/>
    <w:rsid w:val="00AA6F42"/>
    <w:rsid w:val="00AA7254"/>
    <w:rsid w:val="00AB01F7"/>
    <w:rsid w:val="00AB02B5"/>
    <w:rsid w:val="00AB086C"/>
    <w:rsid w:val="00AB0D9D"/>
    <w:rsid w:val="00AB0E98"/>
    <w:rsid w:val="00AB1244"/>
    <w:rsid w:val="00AB15FF"/>
    <w:rsid w:val="00AB1677"/>
    <w:rsid w:val="00AB1A84"/>
    <w:rsid w:val="00AB1E09"/>
    <w:rsid w:val="00AB2120"/>
    <w:rsid w:val="00AB275C"/>
    <w:rsid w:val="00AB2C09"/>
    <w:rsid w:val="00AB2CCB"/>
    <w:rsid w:val="00AB2D4A"/>
    <w:rsid w:val="00AB34A9"/>
    <w:rsid w:val="00AB387D"/>
    <w:rsid w:val="00AB4353"/>
    <w:rsid w:val="00AB4498"/>
    <w:rsid w:val="00AB4D39"/>
    <w:rsid w:val="00AB5330"/>
    <w:rsid w:val="00AB56FF"/>
    <w:rsid w:val="00AB5EDD"/>
    <w:rsid w:val="00AB613A"/>
    <w:rsid w:val="00AB65E0"/>
    <w:rsid w:val="00AB6764"/>
    <w:rsid w:val="00AB6798"/>
    <w:rsid w:val="00AB687C"/>
    <w:rsid w:val="00AB6B8B"/>
    <w:rsid w:val="00AB6BF2"/>
    <w:rsid w:val="00AB6CB9"/>
    <w:rsid w:val="00AB7579"/>
    <w:rsid w:val="00AB7643"/>
    <w:rsid w:val="00AB7747"/>
    <w:rsid w:val="00AB7760"/>
    <w:rsid w:val="00AC00D1"/>
    <w:rsid w:val="00AC0AE7"/>
    <w:rsid w:val="00AC14CE"/>
    <w:rsid w:val="00AC1DFD"/>
    <w:rsid w:val="00AC1FA1"/>
    <w:rsid w:val="00AC2A56"/>
    <w:rsid w:val="00AC2CA4"/>
    <w:rsid w:val="00AC2CFC"/>
    <w:rsid w:val="00AC3060"/>
    <w:rsid w:val="00AC319E"/>
    <w:rsid w:val="00AC36CB"/>
    <w:rsid w:val="00AC41DD"/>
    <w:rsid w:val="00AC4508"/>
    <w:rsid w:val="00AC4DA4"/>
    <w:rsid w:val="00AC579C"/>
    <w:rsid w:val="00AC5C92"/>
    <w:rsid w:val="00AC6274"/>
    <w:rsid w:val="00AC634D"/>
    <w:rsid w:val="00AC6F1B"/>
    <w:rsid w:val="00AC7235"/>
    <w:rsid w:val="00AC7CA1"/>
    <w:rsid w:val="00AC7D80"/>
    <w:rsid w:val="00AC7FD6"/>
    <w:rsid w:val="00AD055E"/>
    <w:rsid w:val="00AD19DE"/>
    <w:rsid w:val="00AD1F2E"/>
    <w:rsid w:val="00AD2B85"/>
    <w:rsid w:val="00AD2BE6"/>
    <w:rsid w:val="00AD324A"/>
    <w:rsid w:val="00AD377C"/>
    <w:rsid w:val="00AD3831"/>
    <w:rsid w:val="00AD3A0F"/>
    <w:rsid w:val="00AD3E5F"/>
    <w:rsid w:val="00AD47A7"/>
    <w:rsid w:val="00AD4847"/>
    <w:rsid w:val="00AD486F"/>
    <w:rsid w:val="00AD496B"/>
    <w:rsid w:val="00AD5B87"/>
    <w:rsid w:val="00AD6182"/>
    <w:rsid w:val="00AD666C"/>
    <w:rsid w:val="00AE008E"/>
    <w:rsid w:val="00AE0485"/>
    <w:rsid w:val="00AE08B3"/>
    <w:rsid w:val="00AE0C13"/>
    <w:rsid w:val="00AE0FCA"/>
    <w:rsid w:val="00AE0FFA"/>
    <w:rsid w:val="00AE15C6"/>
    <w:rsid w:val="00AE1A36"/>
    <w:rsid w:val="00AE2028"/>
    <w:rsid w:val="00AE2151"/>
    <w:rsid w:val="00AE2352"/>
    <w:rsid w:val="00AE2904"/>
    <w:rsid w:val="00AE2D24"/>
    <w:rsid w:val="00AE31DE"/>
    <w:rsid w:val="00AE3680"/>
    <w:rsid w:val="00AE3707"/>
    <w:rsid w:val="00AE3973"/>
    <w:rsid w:val="00AE4163"/>
    <w:rsid w:val="00AE4826"/>
    <w:rsid w:val="00AE4CB1"/>
    <w:rsid w:val="00AE4FCF"/>
    <w:rsid w:val="00AE4FEF"/>
    <w:rsid w:val="00AE54CF"/>
    <w:rsid w:val="00AE74B9"/>
    <w:rsid w:val="00AE7597"/>
    <w:rsid w:val="00AE778C"/>
    <w:rsid w:val="00AE7894"/>
    <w:rsid w:val="00AF0360"/>
    <w:rsid w:val="00AF0A2C"/>
    <w:rsid w:val="00AF0CBF"/>
    <w:rsid w:val="00AF11C3"/>
    <w:rsid w:val="00AF2205"/>
    <w:rsid w:val="00AF257F"/>
    <w:rsid w:val="00AF284A"/>
    <w:rsid w:val="00AF33CF"/>
    <w:rsid w:val="00AF33E8"/>
    <w:rsid w:val="00AF360B"/>
    <w:rsid w:val="00AF370B"/>
    <w:rsid w:val="00AF3925"/>
    <w:rsid w:val="00AF3C47"/>
    <w:rsid w:val="00AF3D17"/>
    <w:rsid w:val="00AF49DF"/>
    <w:rsid w:val="00AF4D50"/>
    <w:rsid w:val="00AF530B"/>
    <w:rsid w:val="00AF5A70"/>
    <w:rsid w:val="00AF6179"/>
    <w:rsid w:val="00AF61D0"/>
    <w:rsid w:val="00AF71D6"/>
    <w:rsid w:val="00AF7285"/>
    <w:rsid w:val="00AF7725"/>
    <w:rsid w:val="00AF77EC"/>
    <w:rsid w:val="00B007B8"/>
    <w:rsid w:val="00B01F72"/>
    <w:rsid w:val="00B029AA"/>
    <w:rsid w:val="00B032D8"/>
    <w:rsid w:val="00B036ED"/>
    <w:rsid w:val="00B03B19"/>
    <w:rsid w:val="00B03CF3"/>
    <w:rsid w:val="00B04514"/>
    <w:rsid w:val="00B0480D"/>
    <w:rsid w:val="00B04D17"/>
    <w:rsid w:val="00B04DD2"/>
    <w:rsid w:val="00B0508B"/>
    <w:rsid w:val="00B05260"/>
    <w:rsid w:val="00B053FD"/>
    <w:rsid w:val="00B05CAC"/>
    <w:rsid w:val="00B05FAF"/>
    <w:rsid w:val="00B0629E"/>
    <w:rsid w:val="00B064CD"/>
    <w:rsid w:val="00B066EE"/>
    <w:rsid w:val="00B06987"/>
    <w:rsid w:val="00B06DEB"/>
    <w:rsid w:val="00B06E28"/>
    <w:rsid w:val="00B07D2F"/>
    <w:rsid w:val="00B07ECF"/>
    <w:rsid w:val="00B07EEC"/>
    <w:rsid w:val="00B10070"/>
    <w:rsid w:val="00B10821"/>
    <w:rsid w:val="00B10A6C"/>
    <w:rsid w:val="00B10EDC"/>
    <w:rsid w:val="00B10FF7"/>
    <w:rsid w:val="00B112FD"/>
    <w:rsid w:val="00B113DF"/>
    <w:rsid w:val="00B118E4"/>
    <w:rsid w:val="00B12472"/>
    <w:rsid w:val="00B1295A"/>
    <w:rsid w:val="00B12CE8"/>
    <w:rsid w:val="00B12E11"/>
    <w:rsid w:val="00B13179"/>
    <w:rsid w:val="00B13350"/>
    <w:rsid w:val="00B136C5"/>
    <w:rsid w:val="00B13879"/>
    <w:rsid w:val="00B1462E"/>
    <w:rsid w:val="00B14F73"/>
    <w:rsid w:val="00B15364"/>
    <w:rsid w:val="00B15728"/>
    <w:rsid w:val="00B157B2"/>
    <w:rsid w:val="00B15833"/>
    <w:rsid w:val="00B15CAB"/>
    <w:rsid w:val="00B16801"/>
    <w:rsid w:val="00B16C33"/>
    <w:rsid w:val="00B16DE9"/>
    <w:rsid w:val="00B17078"/>
    <w:rsid w:val="00B17713"/>
    <w:rsid w:val="00B177D1"/>
    <w:rsid w:val="00B17FC4"/>
    <w:rsid w:val="00B203C8"/>
    <w:rsid w:val="00B20A45"/>
    <w:rsid w:val="00B20C5E"/>
    <w:rsid w:val="00B21DB0"/>
    <w:rsid w:val="00B221FC"/>
    <w:rsid w:val="00B22453"/>
    <w:rsid w:val="00B22C5C"/>
    <w:rsid w:val="00B233FC"/>
    <w:rsid w:val="00B24C90"/>
    <w:rsid w:val="00B24E68"/>
    <w:rsid w:val="00B24F30"/>
    <w:rsid w:val="00B2510E"/>
    <w:rsid w:val="00B2525F"/>
    <w:rsid w:val="00B254BE"/>
    <w:rsid w:val="00B2551A"/>
    <w:rsid w:val="00B25AC4"/>
    <w:rsid w:val="00B25FD1"/>
    <w:rsid w:val="00B264DE"/>
    <w:rsid w:val="00B269D9"/>
    <w:rsid w:val="00B269FB"/>
    <w:rsid w:val="00B26C05"/>
    <w:rsid w:val="00B26E60"/>
    <w:rsid w:val="00B27452"/>
    <w:rsid w:val="00B27511"/>
    <w:rsid w:val="00B276D5"/>
    <w:rsid w:val="00B27D49"/>
    <w:rsid w:val="00B307CD"/>
    <w:rsid w:val="00B30FA6"/>
    <w:rsid w:val="00B31022"/>
    <w:rsid w:val="00B3140C"/>
    <w:rsid w:val="00B31ABF"/>
    <w:rsid w:val="00B32128"/>
    <w:rsid w:val="00B32304"/>
    <w:rsid w:val="00B32BDB"/>
    <w:rsid w:val="00B33BE3"/>
    <w:rsid w:val="00B33EB7"/>
    <w:rsid w:val="00B3476F"/>
    <w:rsid w:val="00B34C4F"/>
    <w:rsid w:val="00B36A1C"/>
    <w:rsid w:val="00B37D1C"/>
    <w:rsid w:val="00B37D35"/>
    <w:rsid w:val="00B37D6E"/>
    <w:rsid w:val="00B40024"/>
    <w:rsid w:val="00B41ECE"/>
    <w:rsid w:val="00B42221"/>
    <w:rsid w:val="00B4283E"/>
    <w:rsid w:val="00B42878"/>
    <w:rsid w:val="00B429A1"/>
    <w:rsid w:val="00B42D3B"/>
    <w:rsid w:val="00B43217"/>
    <w:rsid w:val="00B43CCF"/>
    <w:rsid w:val="00B44A6C"/>
    <w:rsid w:val="00B44B6B"/>
    <w:rsid w:val="00B44F17"/>
    <w:rsid w:val="00B44F7C"/>
    <w:rsid w:val="00B452E7"/>
    <w:rsid w:val="00B4531F"/>
    <w:rsid w:val="00B453B5"/>
    <w:rsid w:val="00B45BD7"/>
    <w:rsid w:val="00B45C74"/>
    <w:rsid w:val="00B46F5C"/>
    <w:rsid w:val="00B47160"/>
    <w:rsid w:val="00B4743A"/>
    <w:rsid w:val="00B474D9"/>
    <w:rsid w:val="00B4784A"/>
    <w:rsid w:val="00B478ED"/>
    <w:rsid w:val="00B47E96"/>
    <w:rsid w:val="00B50031"/>
    <w:rsid w:val="00B50398"/>
    <w:rsid w:val="00B5053F"/>
    <w:rsid w:val="00B5079A"/>
    <w:rsid w:val="00B50893"/>
    <w:rsid w:val="00B516B4"/>
    <w:rsid w:val="00B51C59"/>
    <w:rsid w:val="00B522B6"/>
    <w:rsid w:val="00B52394"/>
    <w:rsid w:val="00B524CB"/>
    <w:rsid w:val="00B52D35"/>
    <w:rsid w:val="00B53027"/>
    <w:rsid w:val="00B531DA"/>
    <w:rsid w:val="00B53B5D"/>
    <w:rsid w:val="00B542A2"/>
    <w:rsid w:val="00B55F26"/>
    <w:rsid w:val="00B56A84"/>
    <w:rsid w:val="00B57166"/>
    <w:rsid w:val="00B57B85"/>
    <w:rsid w:val="00B57DA2"/>
    <w:rsid w:val="00B6015E"/>
    <w:rsid w:val="00B6055E"/>
    <w:rsid w:val="00B608D9"/>
    <w:rsid w:val="00B60AEC"/>
    <w:rsid w:val="00B6201A"/>
    <w:rsid w:val="00B621CB"/>
    <w:rsid w:val="00B62958"/>
    <w:rsid w:val="00B62AC4"/>
    <w:rsid w:val="00B62BBC"/>
    <w:rsid w:val="00B6317D"/>
    <w:rsid w:val="00B63B13"/>
    <w:rsid w:val="00B63E4B"/>
    <w:rsid w:val="00B63EB0"/>
    <w:rsid w:val="00B63F58"/>
    <w:rsid w:val="00B63F88"/>
    <w:rsid w:val="00B64082"/>
    <w:rsid w:val="00B64BB9"/>
    <w:rsid w:val="00B64DF0"/>
    <w:rsid w:val="00B65140"/>
    <w:rsid w:val="00B6538A"/>
    <w:rsid w:val="00B65A20"/>
    <w:rsid w:val="00B65CB3"/>
    <w:rsid w:val="00B66000"/>
    <w:rsid w:val="00B668EC"/>
    <w:rsid w:val="00B66952"/>
    <w:rsid w:val="00B6718C"/>
    <w:rsid w:val="00B67D1C"/>
    <w:rsid w:val="00B70B2B"/>
    <w:rsid w:val="00B70EE0"/>
    <w:rsid w:val="00B71025"/>
    <w:rsid w:val="00B7109F"/>
    <w:rsid w:val="00B711A4"/>
    <w:rsid w:val="00B71260"/>
    <w:rsid w:val="00B712D3"/>
    <w:rsid w:val="00B715CA"/>
    <w:rsid w:val="00B71AFB"/>
    <w:rsid w:val="00B71B1D"/>
    <w:rsid w:val="00B71C29"/>
    <w:rsid w:val="00B71CDF"/>
    <w:rsid w:val="00B71E0F"/>
    <w:rsid w:val="00B72354"/>
    <w:rsid w:val="00B723A0"/>
    <w:rsid w:val="00B72F30"/>
    <w:rsid w:val="00B74D6B"/>
    <w:rsid w:val="00B75136"/>
    <w:rsid w:val="00B75140"/>
    <w:rsid w:val="00B75333"/>
    <w:rsid w:val="00B755B1"/>
    <w:rsid w:val="00B7585D"/>
    <w:rsid w:val="00B7601A"/>
    <w:rsid w:val="00B760A1"/>
    <w:rsid w:val="00B76CAD"/>
    <w:rsid w:val="00B771D1"/>
    <w:rsid w:val="00B7723F"/>
    <w:rsid w:val="00B80534"/>
    <w:rsid w:val="00B8066F"/>
    <w:rsid w:val="00B80960"/>
    <w:rsid w:val="00B80C9D"/>
    <w:rsid w:val="00B80DD8"/>
    <w:rsid w:val="00B81871"/>
    <w:rsid w:val="00B81E32"/>
    <w:rsid w:val="00B8243C"/>
    <w:rsid w:val="00B82555"/>
    <w:rsid w:val="00B8266B"/>
    <w:rsid w:val="00B82DE3"/>
    <w:rsid w:val="00B83365"/>
    <w:rsid w:val="00B83521"/>
    <w:rsid w:val="00B83C71"/>
    <w:rsid w:val="00B83F85"/>
    <w:rsid w:val="00B8433C"/>
    <w:rsid w:val="00B84F66"/>
    <w:rsid w:val="00B860DC"/>
    <w:rsid w:val="00B87491"/>
    <w:rsid w:val="00B90284"/>
    <w:rsid w:val="00B90FBB"/>
    <w:rsid w:val="00B91080"/>
    <w:rsid w:val="00B914BF"/>
    <w:rsid w:val="00B9207C"/>
    <w:rsid w:val="00B922F6"/>
    <w:rsid w:val="00B922F7"/>
    <w:rsid w:val="00B9343A"/>
    <w:rsid w:val="00B93870"/>
    <w:rsid w:val="00B93D7F"/>
    <w:rsid w:val="00B94637"/>
    <w:rsid w:val="00B949B2"/>
    <w:rsid w:val="00B94A93"/>
    <w:rsid w:val="00B95211"/>
    <w:rsid w:val="00B95C07"/>
    <w:rsid w:val="00B95D40"/>
    <w:rsid w:val="00B96290"/>
    <w:rsid w:val="00B969CD"/>
    <w:rsid w:val="00B9763F"/>
    <w:rsid w:val="00B97DBB"/>
    <w:rsid w:val="00B97DD0"/>
    <w:rsid w:val="00BA00B3"/>
    <w:rsid w:val="00BA07A8"/>
    <w:rsid w:val="00BA08FD"/>
    <w:rsid w:val="00BA0908"/>
    <w:rsid w:val="00BA10EB"/>
    <w:rsid w:val="00BA178A"/>
    <w:rsid w:val="00BA29E9"/>
    <w:rsid w:val="00BA3D59"/>
    <w:rsid w:val="00BA44EB"/>
    <w:rsid w:val="00BA5743"/>
    <w:rsid w:val="00BA5762"/>
    <w:rsid w:val="00BA5CF9"/>
    <w:rsid w:val="00BA5F84"/>
    <w:rsid w:val="00BA6318"/>
    <w:rsid w:val="00BA633F"/>
    <w:rsid w:val="00BA64D1"/>
    <w:rsid w:val="00BA7142"/>
    <w:rsid w:val="00BA7DBD"/>
    <w:rsid w:val="00BA7E26"/>
    <w:rsid w:val="00BB00EB"/>
    <w:rsid w:val="00BB06CE"/>
    <w:rsid w:val="00BB1137"/>
    <w:rsid w:val="00BB1286"/>
    <w:rsid w:val="00BB195F"/>
    <w:rsid w:val="00BB237C"/>
    <w:rsid w:val="00BB3085"/>
    <w:rsid w:val="00BB3F2E"/>
    <w:rsid w:val="00BB41A3"/>
    <w:rsid w:val="00BB4835"/>
    <w:rsid w:val="00BB4B18"/>
    <w:rsid w:val="00BB4D47"/>
    <w:rsid w:val="00BB6A32"/>
    <w:rsid w:val="00BB6B58"/>
    <w:rsid w:val="00BB7575"/>
    <w:rsid w:val="00BB7A49"/>
    <w:rsid w:val="00BC027E"/>
    <w:rsid w:val="00BC0B40"/>
    <w:rsid w:val="00BC111E"/>
    <w:rsid w:val="00BC18AB"/>
    <w:rsid w:val="00BC22B6"/>
    <w:rsid w:val="00BC25DD"/>
    <w:rsid w:val="00BC262C"/>
    <w:rsid w:val="00BC2822"/>
    <w:rsid w:val="00BC2972"/>
    <w:rsid w:val="00BC322F"/>
    <w:rsid w:val="00BC32DC"/>
    <w:rsid w:val="00BC35B6"/>
    <w:rsid w:val="00BC3EE6"/>
    <w:rsid w:val="00BC53DC"/>
    <w:rsid w:val="00BC5A87"/>
    <w:rsid w:val="00BC5F1F"/>
    <w:rsid w:val="00BC6F07"/>
    <w:rsid w:val="00BC6F74"/>
    <w:rsid w:val="00BC765F"/>
    <w:rsid w:val="00BD1064"/>
    <w:rsid w:val="00BD1677"/>
    <w:rsid w:val="00BD185B"/>
    <w:rsid w:val="00BD1B51"/>
    <w:rsid w:val="00BD2311"/>
    <w:rsid w:val="00BD2E54"/>
    <w:rsid w:val="00BD32E7"/>
    <w:rsid w:val="00BD372C"/>
    <w:rsid w:val="00BD3A35"/>
    <w:rsid w:val="00BD3EF1"/>
    <w:rsid w:val="00BD4087"/>
    <w:rsid w:val="00BD4596"/>
    <w:rsid w:val="00BD4A80"/>
    <w:rsid w:val="00BD4AAF"/>
    <w:rsid w:val="00BD4C33"/>
    <w:rsid w:val="00BD4E9B"/>
    <w:rsid w:val="00BD4F2B"/>
    <w:rsid w:val="00BD6ECB"/>
    <w:rsid w:val="00BD72FC"/>
    <w:rsid w:val="00BD7BB4"/>
    <w:rsid w:val="00BE0ED8"/>
    <w:rsid w:val="00BE1405"/>
    <w:rsid w:val="00BE1545"/>
    <w:rsid w:val="00BE1B0B"/>
    <w:rsid w:val="00BE2351"/>
    <w:rsid w:val="00BE312D"/>
    <w:rsid w:val="00BE3180"/>
    <w:rsid w:val="00BE3B88"/>
    <w:rsid w:val="00BE3D71"/>
    <w:rsid w:val="00BE41F4"/>
    <w:rsid w:val="00BE4CF7"/>
    <w:rsid w:val="00BE4E3C"/>
    <w:rsid w:val="00BE6AD7"/>
    <w:rsid w:val="00BE6C8B"/>
    <w:rsid w:val="00BE7153"/>
    <w:rsid w:val="00BE79D8"/>
    <w:rsid w:val="00BE7ADD"/>
    <w:rsid w:val="00BE7C40"/>
    <w:rsid w:val="00BF052D"/>
    <w:rsid w:val="00BF0D51"/>
    <w:rsid w:val="00BF1BA7"/>
    <w:rsid w:val="00BF1C20"/>
    <w:rsid w:val="00BF1D12"/>
    <w:rsid w:val="00BF2DFA"/>
    <w:rsid w:val="00BF3198"/>
    <w:rsid w:val="00BF39DA"/>
    <w:rsid w:val="00BF3D5B"/>
    <w:rsid w:val="00BF4527"/>
    <w:rsid w:val="00BF580E"/>
    <w:rsid w:val="00BF5A1A"/>
    <w:rsid w:val="00BF6102"/>
    <w:rsid w:val="00BF615A"/>
    <w:rsid w:val="00BF6840"/>
    <w:rsid w:val="00BF6D1A"/>
    <w:rsid w:val="00BF6DC8"/>
    <w:rsid w:val="00BF6E0F"/>
    <w:rsid w:val="00BF77E0"/>
    <w:rsid w:val="00BF79F0"/>
    <w:rsid w:val="00C00708"/>
    <w:rsid w:val="00C01289"/>
    <w:rsid w:val="00C01C24"/>
    <w:rsid w:val="00C01E70"/>
    <w:rsid w:val="00C02886"/>
    <w:rsid w:val="00C0295A"/>
    <w:rsid w:val="00C03507"/>
    <w:rsid w:val="00C039A0"/>
    <w:rsid w:val="00C0409E"/>
    <w:rsid w:val="00C040D4"/>
    <w:rsid w:val="00C042CA"/>
    <w:rsid w:val="00C04340"/>
    <w:rsid w:val="00C04BC8"/>
    <w:rsid w:val="00C04D0B"/>
    <w:rsid w:val="00C0574F"/>
    <w:rsid w:val="00C0613E"/>
    <w:rsid w:val="00C06393"/>
    <w:rsid w:val="00C065F0"/>
    <w:rsid w:val="00C06D88"/>
    <w:rsid w:val="00C07B18"/>
    <w:rsid w:val="00C10578"/>
    <w:rsid w:val="00C10F83"/>
    <w:rsid w:val="00C10FD1"/>
    <w:rsid w:val="00C116C8"/>
    <w:rsid w:val="00C117B5"/>
    <w:rsid w:val="00C119F5"/>
    <w:rsid w:val="00C124CB"/>
    <w:rsid w:val="00C1312C"/>
    <w:rsid w:val="00C135BC"/>
    <w:rsid w:val="00C13B05"/>
    <w:rsid w:val="00C14113"/>
    <w:rsid w:val="00C14662"/>
    <w:rsid w:val="00C15888"/>
    <w:rsid w:val="00C158F9"/>
    <w:rsid w:val="00C15C95"/>
    <w:rsid w:val="00C15E05"/>
    <w:rsid w:val="00C161BC"/>
    <w:rsid w:val="00C16917"/>
    <w:rsid w:val="00C16E95"/>
    <w:rsid w:val="00C174EF"/>
    <w:rsid w:val="00C2069B"/>
    <w:rsid w:val="00C20A01"/>
    <w:rsid w:val="00C20C31"/>
    <w:rsid w:val="00C210B9"/>
    <w:rsid w:val="00C21361"/>
    <w:rsid w:val="00C21DB6"/>
    <w:rsid w:val="00C222E3"/>
    <w:rsid w:val="00C22C2C"/>
    <w:rsid w:val="00C2359E"/>
    <w:rsid w:val="00C23940"/>
    <w:rsid w:val="00C23E0B"/>
    <w:rsid w:val="00C247AF"/>
    <w:rsid w:val="00C24E15"/>
    <w:rsid w:val="00C250F6"/>
    <w:rsid w:val="00C252D8"/>
    <w:rsid w:val="00C2596A"/>
    <w:rsid w:val="00C26AEC"/>
    <w:rsid w:val="00C26B5A"/>
    <w:rsid w:val="00C26E30"/>
    <w:rsid w:val="00C27537"/>
    <w:rsid w:val="00C27763"/>
    <w:rsid w:val="00C279D0"/>
    <w:rsid w:val="00C27CB0"/>
    <w:rsid w:val="00C305CB"/>
    <w:rsid w:val="00C30849"/>
    <w:rsid w:val="00C31E5B"/>
    <w:rsid w:val="00C32015"/>
    <w:rsid w:val="00C3221F"/>
    <w:rsid w:val="00C323A0"/>
    <w:rsid w:val="00C326F5"/>
    <w:rsid w:val="00C3271E"/>
    <w:rsid w:val="00C328FE"/>
    <w:rsid w:val="00C32DC3"/>
    <w:rsid w:val="00C32FAB"/>
    <w:rsid w:val="00C33267"/>
    <w:rsid w:val="00C33507"/>
    <w:rsid w:val="00C336C1"/>
    <w:rsid w:val="00C344E1"/>
    <w:rsid w:val="00C3462D"/>
    <w:rsid w:val="00C3466B"/>
    <w:rsid w:val="00C35059"/>
    <w:rsid w:val="00C35493"/>
    <w:rsid w:val="00C359DE"/>
    <w:rsid w:val="00C3601E"/>
    <w:rsid w:val="00C3636D"/>
    <w:rsid w:val="00C36396"/>
    <w:rsid w:val="00C363A9"/>
    <w:rsid w:val="00C367A5"/>
    <w:rsid w:val="00C40866"/>
    <w:rsid w:val="00C41B51"/>
    <w:rsid w:val="00C43470"/>
    <w:rsid w:val="00C4409D"/>
    <w:rsid w:val="00C44E72"/>
    <w:rsid w:val="00C44EAB"/>
    <w:rsid w:val="00C4515F"/>
    <w:rsid w:val="00C45A06"/>
    <w:rsid w:val="00C45CC8"/>
    <w:rsid w:val="00C463B9"/>
    <w:rsid w:val="00C471AD"/>
    <w:rsid w:val="00C47690"/>
    <w:rsid w:val="00C47859"/>
    <w:rsid w:val="00C47E5B"/>
    <w:rsid w:val="00C500B1"/>
    <w:rsid w:val="00C50192"/>
    <w:rsid w:val="00C518DA"/>
    <w:rsid w:val="00C52971"/>
    <w:rsid w:val="00C52EAB"/>
    <w:rsid w:val="00C52FC6"/>
    <w:rsid w:val="00C533AA"/>
    <w:rsid w:val="00C53687"/>
    <w:rsid w:val="00C5373C"/>
    <w:rsid w:val="00C5399A"/>
    <w:rsid w:val="00C5402E"/>
    <w:rsid w:val="00C5415D"/>
    <w:rsid w:val="00C545B2"/>
    <w:rsid w:val="00C546BE"/>
    <w:rsid w:val="00C555A7"/>
    <w:rsid w:val="00C55A2F"/>
    <w:rsid w:val="00C55E51"/>
    <w:rsid w:val="00C56156"/>
    <w:rsid w:val="00C5661C"/>
    <w:rsid w:val="00C56C70"/>
    <w:rsid w:val="00C57188"/>
    <w:rsid w:val="00C57605"/>
    <w:rsid w:val="00C57EC4"/>
    <w:rsid w:val="00C601F5"/>
    <w:rsid w:val="00C60711"/>
    <w:rsid w:val="00C60769"/>
    <w:rsid w:val="00C608C0"/>
    <w:rsid w:val="00C61D2E"/>
    <w:rsid w:val="00C61E4B"/>
    <w:rsid w:val="00C62205"/>
    <w:rsid w:val="00C62773"/>
    <w:rsid w:val="00C627CF"/>
    <w:rsid w:val="00C63243"/>
    <w:rsid w:val="00C6358D"/>
    <w:rsid w:val="00C6361F"/>
    <w:rsid w:val="00C63F96"/>
    <w:rsid w:val="00C643B8"/>
    <w:rsid w:val="00C6484B"/>
    <w:rsid w:val="00C64BFF"/>
    <w:rsid w:val="00C651E0"/>
    <w:rsid w:val="00C658F8"/>
    <w:rsid w:val="00C6602D"/>
    <w:rsid w:val="00C67D89"/>
    <w:rsid w:val="00C701F4"/>
    <w:rsid w:val="00C70498"/>
    <w:rsid w:val="00C704E9"/>
    <w:rsid w:val="00C708E7"/>
    <w:rsid w:val="00C70A37"/>
    <w:rsid w:val="00C70CDA"/>
    <w:rsid w:val="00C7103C"/>
    <w:rsid w:val="00C712D8"/>
    <w:rsid w:val="00C71623"/>
    <w:rsid w:val="00C7165E"/>
    <w:rsid w:val="00C71B85"/>
    <w:rsid w:val="00C73015"/>
    <w:rsid w:val="00C73093"/>
    <w:rsid w:val="00C730BE"/>
    <w:rsid w:val="00C730DD"/>
    <w:rsid w:val="00C74613"/>
    <w:rsid w:val="00C74EB7"/>
    <w:rsid w:val="00C76275"/>
    <w:rsid w:val="00C763C9"/>
    <w:rsid w:val="00C767F6"/>
    <w:rsid w:val="00C768EE"/>
    <w:rsid w:val="00C7703B"/>
    <w:rsid w:val="00C80057"/>
    <w:rsid w:val="00C804A2"/>
    <w:rsid w:val="00C80679"/>
    <w:rsid w:val="00C82232"/>
    <w:rsid w:val="00C82913"/>
    <w:rsid w:val="00C82A88"/>
    <w:rsid w:val="00C82C49"/>
    <w:rsid w:val="00C83A13"/>
    <w:rsid w:val="00C83B6A"/>
    <w:rsid w:val="00C845C8"/>
    <w:rsid w:val="00C8463E"/>
    <w:rsid w:val="00C849D9"/>
    <w:rsid w:val="00C84BE5"/>
    <w:rsid w:val="00C84BF7"/>
    <w:rsid w:val="00C84F99"/>
    <w:rsid w:val="00C86664"/>
    <w:rsid w:val="00C867C5"/>
    <w:rsid w:val="00C86C7F"/>
    <w:rsid w:val="00C86FB3"/>
    <w:rsid w:val="00C870EB"/>
    <w:rsid w:val="00C87215"/>
    <w:rsid w:val="00C873A4"/>
    <w:rsid w:val="00C875F3"/>
    <w:rsid w:val="00C87616"/>
    <w:rsid w:val="00C90625"/>
    <w:rsid w:val="00C906AC"/>
    <w:rsid w:val="00C90CA9"/>
    <w:rsid w:val="00C9131F"/>
    <w:rsid w:val="00C913A6"/>
    <w:rsid w:val="00C922FD"/>
    <w:rsid w:val="00C92613"/>
    <w:rsid w:val="00C92817"/>
    <w:rsid w:val="00C92EB7"/>
    <w:rsid w:val="00C92F05"/>
    <w:rsid w:val="00C93B19"/>
    <w:rsid w:val="00C94137"/>
    <w:rsid w:val="00C94638"/>
    <w:rsid w:val="00C949DC"/>
    <w:rsid w:val="00C95336"/>
    <w:rsid w:val="00C95494"/>
    <w:rsid w:val="00C95A72"/>
    <w:rsid w:val="00C95D7F"/>
    <w:rsid w:val="00C96281"/>
    <w:rsid w:val="00C9643C"/>
    <w:rsid w:val="00C96C99"/>
    <w:rsid w:val="00C972B1"/>
    <w:rsid w:val="00C97645"/>
    <w:rsid w:val="00C97822"/>
    <w:rsid w:val="00C97BE2"/>
    <w:rsid w:val="00C97D75"/>
    <w:rsid w:val="00C97FB2"/>
    <w:rsid w:val="00CA04A7"/>
    <w:rsid w:val="00CA0686"/>
    <w:rsid w:val="00CA0784"/>
    <w:rsid w:val="00CA07C8"/>
    <w:rsid w:val="00CA091F"/>
    <w:rsid w:val="00CA1018"/>
    <w:rsid w:val="00CA1518"/>
    <w:rsid w:val="00CA15B7"/>
    <w:rsid w:val="00CA19D8"/>
    <w:rsid w:val="00CA1C04"/>
    <w:rsid w:val="00CA1EDF"/>
    <w:rsid w:val="00CA2480"/>
    <w:rsid w:val="00CA251B"/>
    <w:rsid w:val="00CA2CCE"/>
    <w:rsid w:val="00CA2CF3"/>
    <w:rsid w:val="00CA2DF0"/>
    <w:rsid w:val="00CA395B"/>
    <w:rsid w:val="00CA430F"/>
    <w:rsid w:val="00CA43FD"/>
    <w:rsid w:val="00CA503D"/>
    <w:rsid w:val="00CA5300"/>
    <w:rsid w:val="00CA685A"/>
    <w:rsid w:val="00CA6D30"/>
    <w:rsid w:val="00CA71A7"/>
    <w:rsid w:val="00CA7930"/>
    <w:rsid w:val="00CA7C3E"/>
    <w:rsid w:val="00CA7EF8"/>
    <w:rsid w:val="00CB073B"/>
    <w:rsid w:val="00CB1778"/>
    <w:rsid w:val="00CB1D00"/>
    <w:rsid w:val="00CB1DD6"/>
    <w:rsid w:val="00CB287A"/>
    <w:rsid w:val="00CB2C77"/>
    <w:rsid w:val="00CB3B6D"/>
    <w:rsid w:val="00CB4120"/>
    <w:rsid w:val="00CB4E96"/>
    <w:rsid w:val="00CB52D7"/>
    <w:rsid w:val="00CB5784"/>
    <w:rsid w:val="00CB5C9E"/>
    <w:rsid w:val="00CB6990"/>
    <w:rsid w:val="00CB6EF0"/>
    <w:rsid w:val="00CB6FB9"/>
    <w:rsid w:val="00CB77F6"/>
    <w:rsid w:val="00CB7C72"/>
    <w:rsid w:val="00CB7F83"/>
    <w:rsid w:val="00CC085C"/>
    <w:rsid w:val="00CC0B3F"/>
    <w:rsid w:val="00CC2249"/>
    <w:rsid w:val="00CC366A"/>
    <w:rsid w:val="00CC3BDC"/>
    <w:rsid w:val="00CC3C68"/>
    <w:rsid w:val="00CC3CA0"/>
    <w:rsid w:val="00CC41BC"/>
    <w:rsid w:val="00CC4323"/>
    <w:rsid w:val="00CC4567"/>
    <w:rsid w:val="00CC489B"/>
    <w:rsid w:val="00CC5992"/>
    <w:rsid w:val="00CC6017"/>
    <w:rsid w:val="00CC60AE"/>
    <w:rsid w:val="00CC769A"/>
    <w:rsid w:val="00CC79C3"/>
    <w:rsid w:val="00CC7D17"/>
    <w:rsid w:val="00CC7D8A"/>
    <w:rsid w:val="00CC7E78"/>
    <w:rsid w:val="00CD09F9"/>
    <w:rsid w:val="00CD1417"/>
    <w:rsid w:val="00CD19BE"/>
    <w:rsid w:val="00CD1DB9"/>
    <w:rsid w:val="00CD1FA1"/>
    <w:rsid w:val="00CD1FFE"/>
    <w:rsid w:val="00CD222A"/>
    <w:rsid w:val="00CD25F7"/>
    <w:rsid w:val="00CD2BCD"/>
    <w:rsid w:val="00CD34B5"/>
    <w:rsid w:val="00CD3A4C"/>
    <w:rsid w:val="00CD45C0"/>
    <w:rsid w:val="00CD480D"/>
    <w:rsid w:val="00CD4EDD"/>
    <w:rsid w:val="00CD4F57"/>
    <w:rsid w:val="00CD56C7"/>
    <w:rsid w:val="00CD5957"/>
    <w:rsid w:val="00CD64F0"/>
    <w:rsid w:val="00CD6BD1"/>
    <w:rsid w:val="00CE0CF5"/>
    <w:rsid w:val="00CE107C"/>
    <w:rsid w:val="00CE10E9"/>
    <w:rsid w:val="00CE1290"/>
    <w:rsid w:val="00CE1790"/>
    <w:rsid w:val="00CE1C6C"/>
    <w:rsid w:val="00CE1F59"/>
    <w:rsid w:val="00CE21FD"/>
    <w:rsid w:val="00CE2446"/>
    <w:rsid w:val="00CE27CA"/>
    <w:rsid w:val="00CE2910"/>
    <w:rsid w:val="00CE2FCF"/>
    <w:rsid w:val="00CE3AC7"/>
    <w:rsid w:val="00CE3EE2"/>
    <w:rsid w:val="00CE444A"/>
    <w:rsid w:val="00CE4828"/>
    <w:rsid w:val="00CE4F0F"/>
    <w:rsid w:val="00CE5393"/>
    <w:rsid w:val="00CE5DE9"/>
    <w:rsid w:val="00CE704F"/>
    <w:rsid w:val="00CE7507"/>
    <w:rsid w:val="00CE76B0"/>
    <w:rsid w:val="00CE785F"/>
    <w:rsid w:val="00CE78EC"/>
    <w:rsid w:val="00CF09F2"/>
    <w:rsid w:val="00CF0EE0"/>
    <w:rsid w:val="00CF119D"/>
    <w:rsid w:val="00CF2482"/>
    <w:rsid w:val="00CF2CE8"/>
    <w:rsid w:val="00CF329B"/>
    <w:rsid w:val="00CF3655"/>
    <w:rsid w:val="00CF36BE"/>
    <w:rsid w:val="00CF3B8B"/>
    <w:rsid w:val="00CF3CD2"/>
    <w:rsid w:val="00CF4011"/>
    <w:rsid w:val="00CF4290"/>
    <w:rsid w:val="00CF438C"/>
    <w:rsid w:val="00CF43FF"/>
    <w:rsid w:val="00CF52F2"/>
    <w:rsid w:val="00CF5355"/>
    <w:rsid w:val="00CF5667"/>
    <w:rsid w:val="00CF56E6"/>
    <w:rsid w:val="00CF58DF"/>
    <w:rsid w:val="00CF59FB"/>
    <w:rsid w:val="00CF5A3A"/>
    <w:rsid w:val="00CF5E56"/>
    <w:rsid w:val="00CF6000"/>
    <w:rsid w:val="00CF6260"/>
    <w:rsid w:val="00CF64E2"/>
    <w:rsid w:val="00CF6E05"/>
    <w:rsid w:val="00CF71B8"/>
    <w:rsid w:val="00CF71E7"/>
    <w:rsid w:val="00CF75FE"/>
    <w:rsid w:val="00D003F3"/>
    <w:rsid w:val="00D00424"/>
    <w:rsid w:val="00D00CC0"/>
    <w:rsid w:val="00D00E25"/>
    <w:rsid w:val="00D012FD"/>
    <w:rsid w:val="00D01785"/>
    <w:rsid w:val="00D01EAF"/>
    <w:rsid w:val="00D0228A"/>
    <w:rsid w:val="00D022A5"/>
    <w:rsid w:val="00D02F36"/>
    <w:rsid w:val="00D0364F"/>
    <w:rsid w:val="00D041B7"/>
    <w:rsid w:val="00D0494A"/>
    <w:rsid w:val="00D04ACD"/>
    <w:rsid w:val="00D05516"/>
    <w:rsid w:val="00D057B8"/>
    <w:rsid w:val="00D05903"/>
    <w:rsid w:val="00D05A7D"/>
    <w:rsid w:val="00D05EC8"/>
    <w:rsid w:val="00D06834"/>
    <w:rsid w:val="00D074CA"/>
    <w:rsid w:val="00D0777D"/>
    <w:rsid w:val="00D1015B"/>
    <w:rsid w:val="00D105A7"/>
    <w:rsid w:val="00D10673"/>
    <w:rsid w:val="00D1088D"/>
    <w:rsid w:val="00D10CCE"/>
    <w:rsid w:val="00D10F48"/>
    <w:rsid w:val="00D111C0"/>
    <w:rsid w:val="00D112A1"/>
    <w:rsid w:val="00D1164C"/>
    <w:rsid w:val="00D11BEB"/>
    <w:rsid w:val="00D11D10"/>
    <w:rsid w:val="00D11DDF"/>
    <w:rsid w:val="00D12AE6"/>
    <w:rsid w:val="00D14266"/>
    <w:rsid w:val="00D14302"/>
    <w:rsid w:val="00D143E7"/>
    <w:rsid w:val="00D14763"/>
    <w:rsid w:val="00D14A8F"/>
    <w:rsid w:val="00D14AAA"/>
    <w:rsid w:val="00D150A6"/>
    <w:rsid w:val="00D1533A"/>
    <w:rsid w:val="00D159B9"/>
    <w:rsid w:val="00D1604D"/>
    <w:rsid w:val="00D16678"/>
    <w:rsid w:val="00D17330"/>
    <w:rsid w:val="00D17927"/>
    <w:rsid w:val="00D20118"/>
    <w:rsid w:val="00D207FD"/>
    <w:rsid w:val="00D21539"/>
    <w:rsid w:val="00D2258D"/>
    <w:rsid w:val="00D2276F"/>
    <w:rsid w:val="00D22BCA"/>
    <w:rsid w:val="00D22F0B"/>
    <w:rsid w:val="00D244E7"/>
    <w:rsid w:val="00D24B63"/>
    <w:rsid w:val="00D24E6C"/>
    <w:rsid w:val="00D252F0"/>
    <w:rsid w:val="00D258AC"/>
    <w:rsid w:val="00D259AE"/>
    <w:rsid w:val="00D25D9D"/>
    <w:rsid w:val="00D25E83"/>
    <w:rsid w:val="00D25FE5"/>
    <w:rsid w:val="00D267BC"/>
    <w:rsid w:val="00D26ADE"/>
    <w:rsid w:val="00D275B4"/>
    <w:rsid w:val="00D30093"/>
    <w:rsid w:val="00D3021A"/>
    <w:rsid w:val="00D3067D"/>
    <w:rsid w:val="00D308ED"/>
    <w:rsid w:val="00D309D2"/>
    <w:rsid w:val="00D30AF7"/>
    <w:rsid w:val="00D30DEB"/>
    <w:rsid w:val="00D31AED"/>
    <w:rsid w:val="00D32EA4"/>
    <w:rsid w:val="00D330B7"/>
    <w:rsid w:val="00D331D7"/>
    <w:rsid w:val="00D33812"/>
    <w:rsid w:val="00D33FBD"/>
    <w:rsid w:val="00D34572"/>
    <w:rsid w:val="00D34865"/>
    <w:rsid w:val="00D34966"/>
    <w:rsid w:val="00D34C73"/>
    <w:rsid w:val="00D35742"/>
    <w:rsid w:val="00D35B48"/>
    <w:rsid w:val="00D36346"/>
    <w:rsid w:val="00D36D86"/>
    <w:rsid w:val="00D37E0A"/>
    <w:rsid w:val="00D40BAE"/>
    <w:rsid w:val="00D41108"/>
    <w:rsid w:val="00D41237"/>
    <w:rsid w:val="00D41251"/>
    <w:rsid w:val="00D41A08"/>
    <w:rsid w:val="00D41A53"/>
    <w:rsid w:val="00D428AA"/>
    <w:rsid w:val="00D42FBE"/>
    <w:rsid w:val="00D438C6"/>
    <w:rsid w:val="00D440A7"/>
    <w:rsid w:val="00D4481A"/>
    <w:rsid w:val="00D45BF7"/>
    <w:rsid w:val="00D45D5D"/>
    <w:rsid w:val="00D4633A"/>
    <w:rsid w:val="00D46645"/>
    <w:rsid w:val="00D4698D"/>
    <w:rsid w:val="00D46B8E"/>
    <w:rsid w:val="00D4784E"/>
    <w:rsid w:val="00D47F01"/>
    <w:rsid w:val="00D47FF9"/>
    <w:rsid w:val="00D50320"/>
    <w:rsid w:val="00D50A34"/>
    <w:rsid w:val="00D50CE7"/>
    <w:rsid w:val="00D51A08"/>
    <w:rsid w:val="00D524FC"/>
    <w:rsid w:val="00D53EEE"/>
    <w:rsid w:val="00D53EFA"/>
    <w:rsid w:val="00D55D1D"/>
    <w:rsid w:val="00D560C4"/>
    <w:rsid w:val="00D56806"/>
    <w:rsid w:val="00D56875"/>
    <w:rsid w:val="00D571F4"/>
    <w:rsid w:val="00D57355"/>
    <w:rsid w:val="00D5739A"/>
    <w:rsid w:val="00D6040F"/>
    <w:rsid w:val="00D60714"/>
    <w:rsid w:val="00D61167"/>
    <w:rsid w:val="00D622E3"/>
    <w:rsid w:val="00D628F3"/>
    <w:rsid w:val="00D6299E"/>
    <w:rsid w:val="00D63B5C"/>
    <w:rsid w:val="00D6436E"/>
    <w:rsid w:val="00D6459D"/>
    <w:rsid w:val="00D649FF"/>
    <w:rsid w:val="00D64A6E"/>
    <w:rsid w:val="00D64E9F"/>
    <w:rsid w:val="00D655E1"/>
    <w:rsid w:val="00D65F68"/>
    <w:rsid w:val="00D66263"/>
    <w:rsid w:val="00D6626E"/>
    <w:rsid w:val="00D66FC2"/>
    <w:rsid w:val="00D678C1"/>
    <w:rsid w:val="00D70515"/>
    <w:rsid w:val="00D70D78"/>
    <w:rsid w:val="00D71B06"/>
    <w:rsid w:val="00D72607"/>
    <w:rsid w:val="00D72A78"/>
    <w:rsid w:val="00D72B92"/>
    <w:rsid w:val="00D7351D"/>
    <w:rsid w:val="00D74133"/>
    <w:rsid w:val="00D74480"/>
    <w:rsid w:val="00D7471E"/>
    <w:rsid w:val="00D74842"/>
    <w:rsid w:val="00D749A8"/>
    <w:rsid w:val="00D75372"/>
    <w:rsid w:val="00D75379"/>
    <w:rsid w:val="00D7555D"/>
    <w:rsid w:val="00D75931"/>
    <w:rsid w:val="00D75C2E"/>
    <w:rsid w:val="00D763D9"/>
    <w:rsid w:val="00D76489"/>
    <w:rsid w:val="00D765A7"/>
    <w:rsid w:val="00D76A0A"/>
    <w:rsid w:val="00D771FF"/>
    <w:rsid w:val="00D77854"/>
    <w:rsid w:val="00D80019"/>
    <w:rsid w:val="00D81371"/>
    <w:rsid w:val="00D815F1"/>
    <w:rsid w:val="00D8175E"/>
    <w:rsid w:val="00D81932"/>
    <w:rsid w:val="00D81FB6"/>
    <w:rsid w:val="00D8281A"/>
    <w:rsid w:val="00D83FFD"/>
    <w:rsid w:val="00D84335"/>
    <w:rsid w:val="00D848BA"/>
    <w:rsid w:val="00D85976"/>
    <w:rsid w:val="00D8679C"/>
    <w:rsid w:val="00D86BDA"/>
    <w:rsid w:val="00D86FAC"/>
    <w:rsid w:val="00D874AD"/>
    <w:rsid w:val="00D902C9"/>
    <w:rsid w:val="00D904D5"/>
    <w:rsid w:val="00D90A52"/>
    <w:rsid w:val="00D9111C"/>
    <w:rsid w:val="00D9161A"/>
    <w:rsid w:val="00D91A91"/>
    <w:rsid w:val="00D91B03"/>
    <w:rsid w:val="00D925D5"/>
    <w:rsid w:val="00D93205"/>
    <w:rsid w:val="00D93C5C"/>
    <w:rsid w:val="00D93FF4"/>
    <w:rsid w:val="00D941CB"/>
    <w:rsid w:val="00D9439D"/>
    <w:rsid w:val="00D9489B"/>
    <w:rsid w:val="00D94A7C"/>
    <w:rsid w:val="00D94D04"/>
    <w:rsid w:val="00D95046"/>
    <w:rsid w:val="00D952F6"/>
    <w:rsid w:val="00D95791"/>
    <w:rsid w:val="00D95896"/>
    <w:rsid w:val="00D95ECB"/>
    <w:rsid w:val="00D968D0"/>
    <w:rsid w:val="00D96C8E"/>
    <w:rsid w:val="00D97959"/>
    <w:rsid w:val="00D97C01"/>
    <w:rsid w:val="00DA011F"/>
    <w:rsid w:val="00DA0311"/>
    <w:rsid w:val="00DA0575"/>
    <w:rsid w:val="00DA09D8"/>
    <w:rsid w:val="00DA10AF"/>
    <w:rsid w:val="00DA113C"/>
    <w:rsid w:val="00DA15F1"/>
    <w:rsid w:val="00DA1706"/>
    <w:rsid w:val="00DA1D7E"/>
    <w:rsid w:val="00DA2022"/>
    <w:rsid w:val="00DA2C87"/>
    <w:rsid w:val="00DA373B"/>
    <w:rsid w:val="00DA3AF2"/>
    <w:rsid w:val="00DA46CB"/>
    <w:rsid w:val="00DA47C1"/>
    <w:rsid w:val="00DA543F"/>
    <w:rsid w:val="00DA57F4"/>
    <w:rsid w:val="00DA5818"/>
    <w:rsid w:val="00DA594D"/>
    <w:rsid w:val="00DA6099"/>
    <w:rsid w:val="00DA7A91"/>
    <w:rsid w:val="00DA7ACE"/>
    <w:rsid w:val="00DB0296"/>
    <w:rsid w:val="00DB06BF"/>
    <w:rsid w:val="00DB0DEA"/>
    <w:rsid w:val="00DB1250"/>
    <w:rsid w:val="00DB1C55"/>
    <w:rsid w:val="00DB240E"/>
    <w:rsid w:val="00DB2983"/>
    <w:rsid w:val="00DB2A5B"/>
    <w:rsid w:val="00DB3460"/>
    <w:rsid w:val="00DB3487"/>
    <w:rsid w:val="00DB368F"/>
    <w:rsid w:val="00DB369A"/>
    <w:rsid w:val="00DB3F19"/>
    <w:rsid w:val="00DB4046"/>
    <w:rsid w:val="00DB4226"/>
    <w:rsid w:val="00DB44B0"/>
    <w:rsid w:val="00DB550D"/>
    <w:rsid w:val="00DB55FF"/>
    <w:rsid w:val="00DB5990"/>
    <w:rsid w:val="00DB5D76"/>
    <w:rsid w:val="00DB6130"/>
    <w:rsid w:val="00DB742C"/>
    <w:rsid w:val="00DB76C6"/>
    <w:rsid w:val="00DB7AFA"/>
    <w:rsid w:val="00DB7B89"/>
    <w:rsid w:val="00DB7FC5"/>
    <w:rsid w:val="00DC019B"/>
    <w:rsid w:val="00DC04C5"/>
    <w:rsid w:val="00DC088C"/>
    <w:rsid w:val="00DC1256"/>
    <w:rsid w:val="00DC1257"/>
    <w:rsid w:val="00DC276E"/>
    <w:rsid w:val="00DC2B86"/>
    <w:rsid w:val="00DC3982"/>
    <w:rsid w:val="00DC3DC0"/>
    <w:rsid w:val="00DC47B7"/>
    <w:rsid w:val="00DC49E4"/>
    <w:rsid w:val="00DC4C7C"/>
    <w:rsid w:val="00DC53D3"/>
    <w:rsid w:val="00DC57AC"/>
    <w:rsid w:val="00DC5B2B"/>
    <w:rsid w:val="00DC6A70"/>
    <w:rsid w:val="00DC6B80"/>
    <w:rsid w:val="00DC7A37"/>
    <w:rsid w:val="00DC7C1D"/>
    <w:rsid w:val="00DD0016"/>
    <w:rsid w:val="00DD015C"/>
    <w:rsid w:val="00DD0643"/>
    <w:rsid w:val="00DD07A9"/>
    <w:rsid w:val="00DD0A28"/>
    <w:rsid w:val="00DD0F33"/>
    <w:rsid w:val="00DD1170"/>
    <w:rsid w:val="00DD1D2B"/>
    <w:rsid w:val="00DD2189"/>
    <w:rsid w:val="00DD2B08"/>
    <w:rsid w:val="00DD318D"/>
    <w:rsid w:val="00DD3411"/>
    <w:rsid w:val="00DD3EC9"/>
    <w:rsid w:val="00DD4A29"/>
    <w:rsid w:val="00DD51F8"/>
    <w:rsid w:val="00DD5ADB"/>
    <w:rsid w:val="00DD6D95"/>
    <w:rsid w:val="00DD6E3D"/>
    <w:rsid w:val="00DD747F"/>
    <w:rsid w:val="00DE0543"/>
    <w:rsid w:val="00DE075C"/>
    <w:rsid w:val="00DE0B65"/>
    <w:rsid w:val="00DE0E09"/>
    <w:rsid w:val="00DE1199"/>
    <w:rsid w:val="00DE1273"/>
    <w:rsid w:val="00DE1FF9"/>
    <w:rsid w:val="00DE2D36"/>
    <w:rsid w:val="00DE3B35"/>
    <w:rsid w:val="00DE4455"/>
    <w:rsid w:val="00DE44CF"/>
    <w:rsid w:val="00DE48AA"/>
    <w:rsid w:val="00DE5384"/>
    <w:rsid w:val="00DE545E"/>
    <w:rsid w:val="00DE5579"/>
    <w:rsid w:val="00DE5B40"/>
    <w:rsid w:val="00DE621E"/>
    <w:rsid w:val="00DE66CB"/>
    <w:rsid w:val="00DE6934"/>
    <w:rsid w:val="00DE6FFF"/>
    <w:rsid w:val="00DE7B5D"/>
    <w:rsid w:val="00DE7D87"/>
    <w:rsid w:val="00DF00AE"/>
    <w:rsid w:val="00DF028D"/>
    <w:rsid w:val="00DF06EE"/>
    <w:rsid w:val="00DF2422"/>
    <w:rsid w:val="00DF28A4"/>
    <w:rsid w:val="00DF2AB0"/>
    <w:rsid w:val="00DF2E12"/>
    <w:rsid w:val="00DF365D"/>
    <w:rsid w:val="00DF3876"/>
    <w:rsid w:val="00DF3E69"/>
    <w:rsid w:val="00DF4E53"/>
    <w:rsid w:val="00DF514A"/>
    <w:rsid w:val="00DF5275"/>
    <w:rsid w:val="00DF5852"/>
    <w:rsid w:val="00DF62AE"/>
    <w:rsid w:val="00DF6690"/>
    <w:rsid w:val="00DF6804"/>
    <w:rsid w:val="00DF7BEE"/>
    <w:rsid w:val="00DF7C96"/>
    <w:rsid w:val="00E0020D"/>
    <w:rsid w:val="00E0125F"/>
    <w:rsid w:val="00E01FCF"/>
    <w:rsid w:val="00E02311"/>
    <w:rsid w:val="00E02372"/>
    <w:rsid w:val="00E024E9"/>
    <w:rsid w:val="00E02BC2"/>
    <w:rsid w:val="00E02D35"/>
    <w:rsid w:val="00E02F1B"/>
    <w:rsid w:val="00E031AB"/>
    <w:rsid w:val="00E0358D"/>
    <w:rsid w:val="00E03B22"/>
    <w:rsid w:val="00E03DE2"/>
    <w:rsid w:val="00E03DF9"/>
    <w:rsid w:val="00E04323"/>
    <w:rsid w:val="00E046B1"/>
    <w:rsid w:val="00E048BA"/>
    <w:rsid w:val="00E04A52"/>
    <w:rsid w:val="00E04BE0"/>
    <w:rsid w:val="00E05847"/>
    <w:rsid w:val="00E05877"/>
    <w:rsid w:val="00E06BFA"/>
    <w:rsid w:val="00E070A2"/>
    <w:rsid w:val="00E07581"/>
    <w:rsid w:val="00E07971"/>
    <w:rsid w:val="00E07A77"/>
    <w:rsid w:val="00E07AEB"/>
    <w:rsid w:val="00E07DAE"/>
    <w:rsid w:val="00E07F17"/>
    <w:rsid w:val="00E07F8A"/>
    <w:rsid w:val="00E10CC3"/>
    <w:rsid w:val="00E11CCA"/>
    <w:rsid w:val="00E12392"/>
    <w:rsid w:val="00E12474"/>
    <w:rsid w:val="00E12DA5"/>
    <w:rsid w:val="00E131B0"/>
    <w:rsid w:val="00E134F6"/>
    <w:rsid w:val="00E1374F"/>
    <w:rsid w:val="00E13CB9"/>
    <w:rsid w:val="00E14035"/>
    <w:rsid w:val="00E1484B"/>
    <w:rsid w:val="00E14D7B"/>
    <w:rsid w:val="00E14EC7"/>
    <w:rsid w:val="00E15024"/>
    <w:rsid w:val="00E15159"/>
    <w:rsid w:val="00E15625"/>
    <w:rsid w:val="00E16212"/>
    <w:rsid w:val="00E17194"/>
    <w:rsid w:val="00E17C80"/>
    <w:rsid w:val="00E17DE3"/>
    <w:rsid w:val="00E2010E"/>
    <w:rsid w:val="00E2091C"/>
    <w:rsid w:val="00E21B7E"/>
    <w:rsid w:val="00E21C58"/>
    <w:rsid w:val="00E21CD2"/>
    <w:rsid w:val="00E21CD9"/>
    <w:rsid w:val="00E21DCF"/>
    <w:rsid w:val="00E230BD"/>
    <w:rsid w:val="00E23E7A"/>
    <w:rsid w:val="00E2416D"/>
    <w:rsid w:val="00E2423E"/>
    <w:rsid w:val="00E24A63"/>
    <w:rsid w:val="00E24C8A"/>
    <w:rsid w:val="00E25175"/>
    <w:rsid w:val="00E251D9"/>
    <w:rsid w:val="00E25B8C"/>
    <w:rsid w:val="00E25C22"/>
    <w:rsid w:val="00E25FE8"/>
    <w:rsid w:val="00E2656A"/>
    <w:rsid w:val="00E26772"/>
    <w:rsid w:val="00E26891"/>
    <w:rsid w:val="00E27476"/>
    <w:rsid w:val="00E30A07"/>
    <w:rsid w:val="00E31F64"/>
    <w:rsid w:val="00E322F3"/>
    <w:rsid w:val="00E32BF3"/>
    <w:rsid w:val="00E339BA"/>
    <w:rsid w:val="00E33E94"/>
    <w:rsid w:val="00E343F2"/>
    <w:rsid w:val="00E34986"/>
    <w:rsid w:val="00E34B44"/>
    <w:rsid w:val="00E357B4"/>
    <w:rsid w:val="00E35E9C"/>
    <w:rsid w:val="00E3600C"/>
    <w:rsid w:val="00E36D20"/>
    <w:rsid w:val="00E36D72"/>
    <w:rsid w:val="00E374C4"/>
    <w:rsid w:val="00E37681"/>
    <w:rsid w:val="00E37839"/>
    <w:rsid w:val="00E4081E"/>
    <w:rsid w:val="00E40D39"/>
    <w:rsid w:val="00E412D0"/>
    <w:rsid w:val="00E41B8B"/>
    <w:rsid w:val="00E422E3"/>
    <w:rsid w:val="00E431D2"/>
    <w:rsid w:val="00E4350B"/>
    <w:rsid w:val="00E435FB"/>
    <w:rsid w:val="00E4364D"/>
    <w:rsid w:val="00E4388D"/>
    <w:rsid w:val="00E45172"/>
    <w:rsid w:val="00E4543A"/>
    <w:rsid w:val="00E454CD"/>
    <w:rsid w:val="00E46249"/>
    <w:rsid w:val="00E46961"/>
    <w:rsid w:val="00E46DD7"/>
    <w:rsid w:val="00E46FC3"/>
    <w:rsid w:val="00E47A22"/>
    <w:rsid w:val="00E47E63"/>
    <w:rsid w:val="00E5078C"/>
    <w:rsid w:val="00E507DC"/>
    <w:rsid w:val="00E510FD"/>
    <w:rsid w:val="00E51A15"/>
    <w:rsid w:val="00E51AAD"/>
    <w:rsid w:val="00E52064"/>
    <w:rsid w:val="00E52117"/>
    <w:rsid w:val="00E527BD"/>
    <w:rsid w:val="00E52861"/>
    <w:rsid w:val="00E534AD"/>
    <w:rsid w:val="00E5509F"/>
    <w:rsid w:val="00E55150"/>
    <w:rsid w:val="00E559BE"/>
    <w:rsid w:val="00E560FB"/>
    <w:rsid w:val="00E56322"/>
    <w:rsid w:val="00E56D25"/>
    <w:rsid w:val="00E57202"/>
    <w:rsid w:val="00E57547"/>
    <w:rsid w:val="00E60067"/>
    <w:rsid w:val="00E601D2"/>
    <w:rsid w:val="00E60640"/>
    <w:rsid w:val="00E60906"/>
    <w:rsid w:val="00E60982"/>
    <w:rsid w:val="00E61333"/>
    <w:rsid w:val="00E6136B"/>
    <w:rsid w:val="00E6147C"/>
    <w:rsid w:val="00E61DA5"/>
    <w:rsid w:val="00E61E1A"/>
    <w:rsid w:val="00E62C62"/>
    <w:rsid w:val="00E654C1"/>
    <w:rsid w:val="00E654FE"/>
    <w:rsid w:val="00E6595F"/>
    <w:rsid w:val="00E65AAE"/>
    <w:rsid w:val="00E65D97"/>
    <w:rsid w:val="00E6683F"/>
    <w:rsid w:val="00E66858"/>
    <w:rsid w:val="00E66983"/>
    <w:rsid w:val="00E66F25"/>
    <w:rsid w:val="00E67506"/>
    <w:rsid w:val="00E70FA8"/>
    <w:rsid w:val="00E71168"/>
    <w:rsid w:val="00E71784"/>
    <w:rsid w:val="00E71896"/>
    <w:rsid w:val="00E71E4B"/>
    <w:rsid w:val="00E72A5A"/>
    <w:rsid w:val="00E72B24"/>
    <w:rsid w:val="00E73188"/>
    <w:rsid w:val="00E73354"/>
    <w:rsid w:val="00E734CD"/>
    <w:rsid w:val="00E73523"/>
    <w:rsid w:val="00E744FC"/>
    <w:rsid w:val="00E74BBA"/>
    <w:rsid w:val="00E74EAA"/>
    <w:rsid w:val="00E75D91"/>
    <w:rsid w:val="00E76D60"/>
    <w:rsid w:val="00E76F4E"/>
    <w:rsid w:val="00E77462"/>
    <w:rsid w:val="00E77A5A"/>
    <w:rsid w:val="00E77CD9"/>
    <w:rsid w:val="00E77FB7"/>
    <w:rsid w:val="00E801F5"/>
    <w:rsid w:val="00E808C6"/>
    <w:rsid w:val="00E81664"/>
    <w:rsid w:val="00E81C4A"/>
    <w:rsid w:val="00E8274A"/>
    <w:rsid w:val="00E82B7F"/>
    <w:rsid w:val="00E82D02"/>
    <w:rsid w:val="00E82F80"/>
    <w:rsid w:val="00E83B28"/>
    <w:rsid w:val="00E85054"/>
    <w:rsid w:val="00E85757"/>
    <w:rsid w:val="00E85759"/>
    <w:rsid w:val="00E85C37"/>
    <w:rsid w:val="00E8603C"/>
    <w:rsid w:val="00E8663C"/>
    <w:rsid w:val="00E87491"/>
    <w:rsid w:val="00E87D3D"/>
    <w:rsid w:val="00E9143A"/>
    <w:rsid w:val="00E91745"/>
    <w:rsid w:val="00E91B1B"/>
    <w:rsid w:val="00E91F96"/>
    <w:rsid w:val="00E92031"/>
    <w:rsid w:val="00E92345"/>
    <w:rsid w:val="00E9242D"/>
    <w:rsid w:val="00E93195"/>
    <w:rsid w:val="00E9375B"/>
    <w:rsid w:val="00E93989"/>
    <w:rsid w:val="00E93A87"/>
    <w:rsid w:val="00E93A97"/>
    <w:rsid w:val="00E93B7F"/>
    <w:rsid w:val="00E95540"/>
    <w:rsid w:val="00E955CE"/>
    <w:rsid w:val="00E95C70"/>
    <w:rsid w:val="00E95CC3"/>
    <w:rsid w:val="00E96081"/>
    <w:rsid w:val="00E962DE"/>
    <w:rsid w:val="00E96DDA"/>
    <w:rsid w:val="00E975FF"/>
    <w:rsid w:val="00E97D73"/>
    <w:rsid w:val="00EA0DA4"/>
    <w:rsid w:val="00EA0FB4"/>
    <w:rsid w:val="00EA1B61"/>
    <w:rsid w:val="00EA2595"/>
    <w:rsid w:val="00EA3D12"/>
    <w:rsid w:val="00EA41E0"/>
    <w:rsid w:val="00EA4780"/>
    <w:rsid w:val="00EA56CC"/>
    <w:rsid w:val="00EA5A0C"/>
    <w:rsid w:val="00EA5D8B"/>
    <w:rsid w:val="00EA659F"/>
    <w:rsid w:val="00EA670C"/>
    <w:rsid w:val="00EA6D0F"/>
    <w:rsid w:val="00EA71A4"/>
    <w:rsid w:val="00EA72E2"/>
    <w:rsid w:val="00EA7604"/>
    <w:rsid w:val="00EA7DE9"/>
    <w:rsid w:val="00EB128A"/>
    <w:rsid w:val="00EB1AFB"/>
    <w:rsid w:val="00EB26D6"/>
    <w:rsid w:val="00EB2932"/>
    <w:rsid w:val="00EB2D0E"/>
    <w:rsid w:val="00EB2F16"/>
    <w:rsid w:val="00EB398F"/>
    <w:rsid w:val="00EB5255"/>
    <w:rsid w:val="00EB561D"/>
    <w:rsid w:val="00EB5C47"/>
    <w:rsid w:val="00EB60B2"/>
    <w:rsid w:val="00EB6DF9"/>
    <w:rsid w:val="00EB6FA4"/>
    <w:rsid w:val="00EB79A4"/>
    <w:rsid w:val="00EC0434"/>
    <w:rsid w:val="00EC11DF"/>
    <w:rsid w:val="00EC19FC"/>
    <w:rsid w:val="00EC2278"/>
    <w:rsid w:val="00EC2345"/>
    <w:rsid w:val="00EC2CF0"/>
    <w:rsid w:val="00EC2DAA"/>
    <w:rsid w:val="00EC3A01"/>
    <w:rsid w:val="00EC3F14"/>
    <w:rsid w:val="00EC425E"/>
    <w:rsid w:val="00EC4383"/>
    <w:rsid w:val="00EC4923"/>
    <w:rsid w:val="00EC50DE"/>
    <w:rsid w:val="00EC5135"/>
    <w:rsid w:val="00EC5642"/>
    <w:rsid w:val="00EC5CE1"/>
    <w:rsid w:val="00EC5E58"/>
    <w:rsid w:val="00EC5F1E"/>
    <w:rsid w:val="00EC618C"/>
    <w:rsid w:val="00EC711A"/>
    <w:rsid w:val="00EC75E5"/>
    <w:rsid w:val="00EC77A6"/>
    <w:rsid w:val="00EC7946"/>
    <w:rsid w:val="00EC7C5F"/>
    <w:rsid w:val="00EC7D69"/>
    <w:rsid w:val="00ED0639"/>
    <w:rsid w:val="00ED087C"/>
    <w:rsid w:val="00ED09B7"/>
    <w:rsid w:val="00ED0A67"/>
    <w:rsid w:val="00ED0C45"/>
    <w:rsid w:val="00ED1F1F"/>
    <w:rsid w:val="00ED2406"/>
    <w:rsid w:val="00ED2DF3"/>
    <w:rsid w:val="00ED2EB5"/>
    <w:rsid w:val="00ED3391"/>
    <w:rsid w:val="00ED37DD"/>
    <w:rsid w:val="00ED3F73"/>
    <w:rsid w:val="00ED5B3E"/>
    <w:rsid w:val="00ED5E30"/>
    <w:rsid w:val="00ED637A"/>
    <w:rsid w:val="00ED6A7B"/>
    <w:rsid w:val="00ED7B3C"/>
    <w:rsid w:val="00EE0101"/>
    <w:rsid w:val="00EE0EE0"/>
    <w:rsid w:val="00EE1C21"/>
    <w:rsid w:val="00EE2211"/>
    <w:rsid w:val="00EE4446"/>
    <w:rsid w:val="00EE45D6"/>
    <w:rsid w:val="00EE4A29"/>
    <w:rsid w:val="00EE5954"/>
    <w:rsid w:val="00EE608C"/>
    <w:rsid w:val="00EE7031"/>
    <w:rsid w:val="00EE757A"/>
    <w:rsid w:val="00EE76B1"/>
    <w:rsid w:val="00EE7AD0"/>
    <w:rsid w:val="00EF00CD"/>
    <w:rsid w:val="00EF0AC2"/>
    <w:rsid w:val="00EF0EDE"/>
    <w:rsid w:val="00EF1831"/>
    <w:rsid w:val="00EF252C"/>
    <w:rsid w:val="00EF2802"/>
    <w:rsid w:val="00EF2D7B"/>
    <w:rsid w:val="00EF3068"/>
    <w:rsid w:val="00EF3C0F"/>
    <w:rsid w:val="00EF4524"/>
    <w:rsid w:val="00EF4755"/>
    <w:rsid w:val="00EF4F1A"/>
    <w:rsid w:val="00EF577C"/>
    <w:rsid w:val="00EF5902"/>
    <w:rsid w:val="00EF5B4D"/>
    <w:rsid w:val="00EF6400"/>
    <w:rsid w:val="00EF6598"/>
    <w:rsid w:val="00EF6AE2"/>
    <w:rsid w:val="00EF6D9A"/>
    <w:rsid w:val="00EF7135"/>
    <w:rsid w:val="00EF72B3"/>
    <w:rsid w:val="00EF77BC"/>
    <w:rsid w:val="00EF781D"/>
    <w:rsid w:val="00EF79CA"/>
    <w:rsid w:val="00EF7B09"/>
    <w:rsid w:val="00EF7E70"/>
    <w:rsid w:val="00F001F5"/>
    <w:rsid w:val="00F00ABA"/>
    <w:rsid w:val="00F00CE9"/>
    <w:rsid w:val="00F011AC"/>
    <w:rsid w:val="00F0130E"/>
    <w:rsid w:val="00F01D70"/>
    <w:rsid w:val="00F027DB"/>
    <w:rsid w:val="00F02BBD"/>
    <w:rsid w:val="00F02D52"/>
    <w:rsid w:val="00F02FA6"/>
    <w:rsid w:val="00F030E7"/>
    <w:rsid w:val="00F03A15"/>
    <w:rsid w:val="00F041D1"/>
    <w:rsid w:val="00F043DE"/>
    <w:rsid w:val="00F04DA1"/>
    <w:rsid w:val="00F05AE6"/>
    <w:rsid w:val="00F06B97"/>
    <w:rsid w:val="00F06C57"/>
    <w:rsid w:val="00F070B2"/>
    <w:rsid w:val="00F079DE"/>
    <w:rsid w:val="00F105C2"/>
    <w:rsid w:val="00F1063D"/>
    <w:rsid w:val="00F107A4"/>
    <w:rsid w:val="00F11FF0"/>
    <w:rsid w:val="00F123F3"/>
    <w:rsid w:val="00F12D02"/>
    <w:rsid w:val="00F12F33"/>
    <w:rsid w:val="00F13410"/>
    <w:rsid w:val="00F145BC"/>
    <w:rsid w:val="00F14A7A"/>
    <w:rsid w:val="00F1508D"/>
    <w:rsid w:val="00F1556C"/>
    <w:rsid w:val="00F15A62"/>
    <w:rsid w:val="00F15C1C"/>
    <w:rsid w:val="00F15ECC"/>
    <w:rsid w:val="00F16334"/>
    <w:rsid w:val="00F16852"/>
    <w:rsid w:val="00F16B14"/>
    <w:rsid w:val="00F174C1"/>
    <w:rsid w:val="00F17B70"/>
    <w:rsid w:val="00F2018E"/>
    <w:rsid w:val="00F201FE"/>
    <w:rsid w:val="00F20709"/>
    <w:rsid w:val="00F20A70"/>
    <w:rsid w:val="00F2141E"/>
    <w:rsid w:val="00F21F25"/>
    <w:rsid w:val="00F21FC5"/>
    <w:rsid w:val="00F220B9"/>
    <w:rsid w:val="00F22985"/>
    <w:rsid w:val="00F229F9"/>
    <w:rsid w:val="00F22A57"/>
    <w:rsid w:val="00F22C68"/>
    <w:rsid w:val="00F22F9D"/>
    <w:rsid w:val="00F22FC1"/>
    <w:rsid w:val="00F23364"/>
    <w:rsid w:val="00F239D6"/>
    <w:rsid w:val="00F23B1A"/>
    <w:rsid w:val="00F23D98"/>
    <w:rsid w:val="00F249A6"/>
    <w:rsid w:val="00F25206"/>
    <w:rsid w:val="00F25331"/>
    <w:rsid w:val="00F25B83"/>
    <w:rsid w:val="00F25E77"/>
    <w:rsid w:val="00F27D9B"/>
    <w:rsid w:val="00F3077D"/>
    <w:rsid w:val="00F307DA"/>
    <w:rsid w:val="00F30EA5"/>
    <w:rsid w:val="00F30FD1"/>
    <w:rsid w:val="00F317E7"/>
    <w:rsid w:val="00F32E57"/>
    <w:rsid w:val="00F33459"/>
    <w:rsid w:val="00F33582"/>
    <w:rsid w:val="00F3383E"/>
    <w:rsid w:val="00F33D9F"/>
    <w:rsid w:val="00F340D6"/>
    <w:rsid w:val="00F34F1C"/>
    <w:rsid w:val="00F350D8"/>
    <w:rsid w:val="00F36274"/>
    <w:rsid w:val="00F3639D"/>
    <w:rsid w:val="00F3656A"/>
    <w:rsid w:val="00F36851"/>
    <w:rsid w:val="00F36A0F"/>
    <w:rsid w:val="00F37100"/>
    <w:rsid w:val="00F37150"/>
    <w:rsid w:val="00F37632"/>
    <w:rsid w:val="00F37A9F"/>
    <w:rsid w:val="00F37BD1"/>
    <w:rsid w:val="00F402D1"/>
    <w:rsid w:val="00F41767"/>
    <w:rsid w:val="00F41A56"/>
    <w:rsid w:val="00F41CD9"/>
    <w:rsid w:val="00F41FFF"/>
    <w:rsid w:val="00F4252E"/>
    <w:rsid w:val="00F42913"/>
    <w:rsid w:val="00F42AF1"/>
    <w:rsid w:val="00F43358"/>
    <w:rsid w:val="00F43A1D"/>
    <w:rsid w:val="00F43BBB"/>
    <w:rsid w:val="00F446D2"/>
    <w:rsid w:val="00F44EEA"/>
    <w:rsid w:val="00F4585C"/>
    <w:rsid w:val="00F465A7"/>
    <w:rsid w:val="00F46646"/>
    <w:rsid w:val="00F467A5"/>
    <w:rsid w:val="00F477B8"/>
    <w:rsid w:val="00F47947"/>
    <w:rsid w:val="00F50387"/>
    <w:rsid w:val="00F50B7C"/>
    <w:rsid w:val="00F51234"/>
    <w:rsid w:val="00F5182A"/>
    <w:rsid w:val="00F51ACB"/>
    <w:rsid w:val="00F52A7C"/>
    <w:rsid w:val="00F52E5F"/>
    <w:rsid w:val="00F532CD"/>
    <w:rsid w:val="00F53484"/>
    <w:rsid w:val="00F53802"/>
    <w:rsid w:val="00F546D4"/>
    <w:rsid w:val="00F54B52"/>
    <w:rsid w:val="00F54B7E"/>
    <w:rsid w:val="00F550E6"/>
    <w:rsid w:val="00F567AA"/>
    <w:rsid w:val="00F568E3"/>
    <w:rsid w:val="00F5695F"/>
    <w:rsid w:val="00F57AF7"/>
    <w:rsid w:val="00F57B09"/>
    <w:rsid w:val="00F6004F"/>
    <w:rsid w:val="00F6009A"/>
    <w:rsid w:val="00F60E6E"/>
    <w:rsid w:val="00F6124F"/>
    <w:rsid w:val="00F61498"/>
    <w:rsid w:val="00F61F2E"/>
    <w:rsid w:val="00F61F56"/>
    <w:rsid w:val="00F626ED"/>
    <w:rsid w:val="00F6282C"/>
    <w:rsid w:val="00F629FF"/>
    <w:rsid w:val="00F62A1E"/>
    <w:rsid w:val="00F62B10"/>
    <w:rsid w:val="00F62F25"/>
    <w:rsid w:val="00F6300B"/>
    <w:rsid w:val="00F63201"/>
    <w:rsid w:val="00F63A0F"/>
    <w:rsid w:val="00F64355"/>
    <w:rsid w:val="00F64587"/>
    <w:rsid w:val="00F6510C"/>
    <w:rsid w:val="00F655B8"/>
    <w:rsid w:val="00F66141"/>
    <w:rsid w:val="00F6712A"/>
    <w:rsid w:val="00F67423"/>
    <w:rsid w:val="00F67A1D"/>
    <w:rsid w:val="00F700C9"/>
    <w:rsid w:val="00F70820"/>
    <w:rsid w:val="00F71736"/>
    <w:rsid w:val="00F71AE7"/>
    <w:rsid w:val="00F71D42"/>
    <w:rsid w:val="00F72197"/>
    <w:rsid w:val="00F72C7A"/>
    <w:rsid w:val="00F7339A"/>
    <w:rsid w:val="00F7367B"/>
    <w:rsid w:val="00F73B1D"/>
    <w:rsid w:val="00F73E51"/>
    <w:rsid w:val="00F74345"/>
    <w:rsid w:val="00F744DC"/>
    <w:rsid w:val="00F74693"/>
    <w:rsid w:val="00F74B69"/>
    <w:rsid w:val="00F74C44"/>
    <w:rsid w:val="00F754BD"/>
    <w:rsid w:val="00F755EB"/>
    <w:rsid w:val="00F7633F"/>
    <w:rsid w:val="00F76640"/>
    <w:rsid w:val="00F76900"/>
    <w:rsid w:val="00F76BCC"/>
    <w:rsid w:val="00F77193"/>
    <w:rsid w:val="00F77777"/>
    <w:rsid w:val="00F77B06"/>
    <w:rsid w:val="00F80A0A"/>
    <w:rsid w:val="00F8191B"/>
    <w:rsid w:val="00F8205E"/>
    <w:rsid w:val="00F82267"/>
    <w:rsid w:val="00F82957"/>
    <w:rsid w:val="00F82A3F"/>
    <w:rsid w:val="00F82B19"/>
    <w:rsid w:val="00F85075"/>
    <w:rsid w:val="00F857FD"/>
    <w:rsid w:val="00F86663"/>
    <w:rsid w:val="00F86F2A"/>
    <w:rsid w:val="00F8799B"/>
    <w:rsid w:val="00F87BB3"/>
    <w:rsid w:val="00F900B2"/>
    <w:rsid w:val="00F91057"/>
    <w:rsid w:val="00F92021"/>
    <w:rsid w:val="00F9212D"/>
    <w:rsid w:val="00F92544"/>
    <w:rsid w:val="00F92BC3"/>
    <w:rsid w:val="00F92E06"/>
    <w:rsid w:val="00F92F76"/>
    <w:rsid w:val="00F93277"/>
    <w:rsid w:val="00F93B59"/>
    <w:rsid w:val="00F944E5"/>
    <w:rsid w:val="00F9484C"/>
    <w:rsid w:val="00F9493D"/>
    <w:rsid w:val="00F95028"/>
    <w:rsid w:val="00F95639"/>
    <w:rsid w:val="00F957A5"/>
    <w:rsid w:val="00F95CA1"/>
    <w:rsid w:val="00F965DA"/>
    <w:rsid w:val="00F970F6"/>
    <w:rsid w:val="00F97E0A"/>
    <w:rsid w:val="00FA036E"/>
    <w:rsid w:val="00FA0488"/>
    <w:rsid w:val="00FA066A"/>
    <w:rsid w:val="00FA0A6C"/>
    <w:rsid w:val="00FA20FD"/>
    <w:rsid w:val="00FA27FC"/>
    <w:rsid w:val="00FA281E"/>
    <w:rsid w:val="00FA35DA"/>
    <w:rsid w:val="00FA3627"/>
    <w:rsid w:val="00FA380D"/>
    <w:rsid w:val="00FA38C3"/>
    <w:rsid w:val="00FA406A"/>
    <w:rsid w:val="00FA416B"/>
    <w:rsid w:val="00FA442C"/>
    <w:rsid w:val="00FA4992"/>
    <w:rsid w:val="00FA5955"/>
    <w:rsid w:val="00FA6BDE"/>
    <w:rsid w:val="00FA72A1"/>
    <w:rsid w:val="00FA77F5"/>
    <w:rsid w:val="00FA7B32"/>
    <w:rsid w:val="00FA7C5E"/>
    <w:rsid w:val="00FB011E"/>
    <w:rsid w:val="00FB0807"/>
    <w:rsid w:val="00FB109A"/>
    <w:rsid w:val="00FB11C5"/>
    <w:rsid w:val="00FB124D"/>
    <w:rsid w:val="00FB165A"/>
    <w:rsid w:val="00FB1989"/>
    <w:rsid w:val="00FB1B1B"/>
    <w:rsid w:val="00FB1F87"/>
    <w:rsid w:val="00FB21DE"/>
    <w:rsid w:val="00FB29D7"/>
    <w:rsid w:val="00FB30A8"/>
    <w:rsid w:val="00FB329B"/>
    <w:rsid w:val="00FB33D3"/>
    <w:rsid w:val="00FB3B17"/>
    <w:rsid w:val="00FB4495"/>
    <w:rsid w:val="00FB503A"/>
    <w:rsid w:val="00FB513C"/>
    <w:rsid w:val="00FB516C"/>
    <w:rsid w:val="00FB52F7"/>
    <w:rsid w:val="00FB586D"/>
    <w:rsid w:val="00FB5EF2"/>
    <w:rsid w:val="00FB6415"/>
    <w:rsid w:val="00FB710B"/>
    <w:rsid w:val="00FB7390"/>
    <w:rsid w:val="00FB7446"/>
    <w:rsid w:val="00FB7854"/>
    <w:rsid w:val="00FC0463"/>
    <w:rsid w:val="00FC0480"/>
    <w:rsid w:val="00FC070E"/>
    <w:rsid w:val="00FC0E75"/>
    <w:rsid w:val="00FC1308"/>
    <w:rsid w:val="00FC241D"/>
    <w:rsid w:val="00FC3102"/>
    <w:rsid w:val="00FC3152"/>
    <w:rsid w:val="00FC3521"/>
    <w:rsid w:val="00FC3531"/>
    <w:rsid w:val="00FC35CC"/>
    <w:rsid w:val="00FC3DB8"/>
    <w:rsid w:val="00FC3F74"/>
    <w:rsid w:val="00FC4323"/>
    <w:rsid w:val="00FC4BA5"/>
    <w:rsid w:val="00FC5B70"/>
    <w:rsid w:val="00FC5F15"/>
    <w:rsid w:val="00FC65DE"/>
    <w:rsid w:val="00FC67CF"/>
    <w:rsid w:val="00FC6C47"/>
    <w:rsid w:val="00FC6FBE"/>
    <w:rsid w:val="00FC6FCD"/>
    <w:rsid w:val="00FC70D4"/>
    <w:rsid w:val="00FC7670"/>
    <w:rsid w:val="00FC78A5"/>
    <w:rsid w:val="00FC7B2B"/>
    <w:rsid w:val="00FD0167"/>
    <w:rsid w:val="00FD0236"/>
    <w:rsid w:val="00FD02C1"/>
    <w:rsid w:val="00FD0896"/>
    <w:rsid w:val="00FD17F2"/>
    <w:rsid w:val="00FD18F4"/>
    <w:rsid w:val="00FD1A21"/>
    <w:rsid w:val="00FD1F4B"/>
    <w:rsid w:val="00FD26B5"/>
    <w:rsid w:val="00FD2879"/>
    <w:rsid w:val="00FD3A0E"/>
    <w:rsid w:val="00FD3C2E"/>
    <w:rsid w:val="00FD3F8D"/>
    <w:rsid w:val="00FD4A4C"/>
    <w:rsid w:val="00FD4ED3"/>
    <w:rsid w:val="00FD5246"/>
    <w:rsid w:val="00FD535A"/>
    <w:rsid w:val="00FD54DB"/>
    <w:rsid w:val="00FD619F"/>
    <w:rsid w:val="00FD6243"/>
    <w:rsid w:val="00FD658E"/>
    <w:rsid w:val="00FD66CC"/>
    <w:rsid w:val="00FD79ED"/>
    <w:rsid w:val="00FD7AD9"/>
    <w:rsid w:val="00FD7EF9"/>
    <w:rsid w:val="00FE0B58"/>
    <w:rsid w:val="00FE249B"/>
    <w:rsid w:val="00FE29BB"/>
    <w:rsid w:val="00FE2C48"/>
    <w:rsid w:val="00FE2FBF"/>
    <w:rsid w:val="00FE2FF7"/>
    <w:rsid w:val="00FE34A6"/>
    <w:rsid w:val="00FE36D6"/>
    <w:rsid w:val="00FE37F2"/>
    <w:rsid w:val="00FE3812"/>
    <w:rsid w:val="00FE3DB3"/>
    <w:rsid w:val="00FE5379"/>
    <w:rsid w:val="00FE5BF4"/>
    <w:rsid w:val="00FE713B"/>
    <w:rsid w:val="00FE7489"/>
    <w:rsid w:val="00FE7630"/>
    <w:rsid w:val="00FE7703"/>
    <w:rsid w:val="00FE7999"/>
    <w:rsid w:val="00FF118C"/>
    <w:rsid w:val="00FF119D"/>
    <w:rsid w:val="00FF1229"/>
    <w:rsid w:val="00FF1873"/>
    <w:rsid w:val="00FF1B0C"/>
    <w:rsid w:val="00FF1CA9"/>
    <w:rsid w:val="00FF1FAC"/>
    <w:rsid w:val="00FF2176"/>
    <w:rsid w:val="00FF22FB"/>
    <w:rsid w:val="00FF262E"/>
    <w:rsid w:val="00FF2729"/>
    <w:rsid w:val="00FF29DE"/>
    <w:rsid w:val="00FF332B"/>
    <w:rsid w:val="00FF37F9"/>
    <w:rsid w:val="00FF3864"/>
    <w:rsid w:val="00FF46C3"/>
    <w:rsid w:val="00FF476A"/>
    <w:rsid w:val="00FF5757"/>
    <w:rsid w:val="00FF5C0D"/>
    <w:rsid w:val="00FF5F2B"/>
    <w:rsid w:val="00FF6267"/>
    <w:rsid w:val="00FF75A8"/>
    <w:rsid w:val="00FF7665"/>
    <w:rsid w:val="00FF784D"/>
    <w:rsid w:val="00FF7A44"/>
    <w:rsid w:val="00FF7B04"/>
    <w:rsid w:val="00FF7B98"/>
    <w:rsid w:val="010448E5"/>
    <w:rsid w:val="01192C1F"/>
    <w:rsid w:val="012670EA"/>
    <w:rsid w:val="01290F7E"/>
    <w:rsid w:val="013B4D07"/>
    <w:rsid w:val="014545C7"/>
    <w:rsid w:val="015D1E09"/>
    <w:rsid w:val="0172767E"/>
    <w:rsid w:val="01774C5B"/>
    <w:rsid w:val="018519E1"/>
    <w:rsid w:val="018A58CB"/>
    <w:rsid w:val="019977FA"/>
    <w:rsid w:val="019A4749"/>
    <w:rsid w:val="01A52705"/>
    <w:rsid w:val="01A868D9"/>
    <w:rsid w:val="01AF066C"/>
    <w:rsid w:val="01B110AA"/>
    <w:rsid w:val="01B6046E"/>
    <w:rsid w:val="01CC5EE4"/>
    <w:rsid w:val="020B6A0C"/>
    <w:rsid w:val="0226634C"/>
    <w:rsid w:val="0227318B"/>
    <w:rsid w:val="022D66A7"/>
    <w:rsid w:val="023A530D"/>
    <w:rsid w:val="024B312D"/>
    <w:rsid w:val="024C492F"/>
    <w:rsid w:val="02557C87"/>
    <w:rsid w:val="02605B54"/>
    <w:rsid w:val="02697903"/>
    <w:rsid w:val="027125E7"/>
    <w:rsid w:val="027619AC"/>
    <w:rsid w:val="027A76EE"/>
    <w:rsid w:val="02985DC6"/>
    <w:rsid w:val="02A5720A"/>
    <w:rsid w:val="02A604E3"/>
    <w:rsid w:val="02BA21E0"/>
    <w:rsid w:val="02C030F6"/>
    <w:rsid w:val="02C1531D"/>
    <w:rsid w:val="02C57265"/>
    <w:rsid w:val="02CB1CF7"/>
    <w:rsid w:val="02CB524D"/>
    <w:rsid w:val="02F96569"/>
    <w:rsid w:val="02FE20CD"/>
    <w:rsid w:val="03271B8B"/>
    <w:rsid w:val="033E696D"/>
    <w:rsid w:val="03561F09"/>
    <w:rsid w:val="036115CE"/>
    <w:rsid w:val="0383240D"/>
    <w:rsid w:val="0394702E"/>
    <w:rsid w:val="03AA4003"/>
    <w:rsid w:val="03C01468"/>
    <w:rsid w:val="03C2134C"/>
    <w:rsid w:val="03C50B8A"/>
    <w:rsid w:val="03D42E2E"/>
    <w:rsid w:val="03DE3CAC"/>
    <w:rsid w:val="03EA7B21"/>
    <w:rsid w:val="03EC461B"/>
    <w:rsid w:val="03F05F53"/>
    <w:rsid w:val="03FE03D1"/>
    <w:rsid w:val="04074FB1"/>
    <w:rsid w:val="04090D29"/>
    <w:rsid w:val="04223B99"/>
    <w:rsid w:val="04272E41"/>
    <w:rsid w:val="04325B95"/>
    <w:rsid w:val="044779E7"/>
    <w:rsid w:val="045B70AB"/>
    <w:rsid w:val="04613C48"/>
    <w:rsid w:val="04642403"/>
    <w:rsid w:val="04644636"/>
    <w:rsid w:val="04736588"/>
    <w:rsid w:val="04A171B4"/>
    <w:rsid w:val="04AC06B1"/>
    <w:rsid w:val="04B327A2"/>
    <w:rsid w:val="04BA371A"/>
    <w:rsid w:val="04BF3ADE"/>
    <w:rsid w:val="04C954B6"/>
    <w:rsid w:val="04D73630"/>
    <w:rsid w:val="04E77D9E"/>
    <w:rsid w:val="04E86B91"/>
    <w:rsid w:val="04EB042F"/>
    <w:rsid w:val="04F33787"/>
    <w:rsid w:val="050339CA"/>
    <w:rsid w:val="050A034B"/>
    <w:rsid w:val="05212DAC"/>
    <w:rsid w:val="05341C63"/>
    <w:rsid w:val="053718C6"/>
    <w:rsid w:val="05656741"/>
    <w:rsid w:val="056621AB"/>
    <w:rsid w:val="0595609D"/>
    <w:rsid w:val="05B9052D"/>
    <w:rsid w:val="05E80E12"/>
    <w:rsid w:val="05F83EAE"/>
    <w:rsid w:val="05FE2CE1"/>
    <w:rsid w:val="060A0D89"/>
    <w:rsid w:val="060A6FDB"/>
    <w:rsid w:val="060E0879"/>
    <w:rsid w:val="063976EA"/>
    <w:rsid w:val="063A1FAE"/>
    <w:rsid w:val="063E7D85"/>
    <w:rsid w:val="06862B05"/>
    <w:rsid w:val="06922615"/>
    <w:rsid w:val="06A42F8B"/>
    <w:rsid w:val="06A44E95"/>
    <w:rsid w:val="06B62CBE"/>
    <w:rsid w:val="06ED4932"/>
    <w:rsid w:val="06FB6679"/>
    <w:rsid w:val="07293586"/>
    <w:rsid w:val="07295285"/>
    <w:rsid w:val="072D3043"/>
    <w:rsid w:val="0730481F"/>
    <w:rsid w:val="07516F96"/>
    <w:rsid w:val="07636392"/>
    <w:rsid w:val="076E445B"/>
    <w:rsid w:val="07770C56"/>
    <w:rsid w:val="0781151E"/>
    <w:rsid w:val="078608E3"/>
    <w:rsid w:val="078801B7"/>
    <w:rsid w:val="07974A63"/>
    <w:rsid w:val="07A56D47"/>
    <w:rsid w:val="07AD40C1"/>
    <w:rsid w:val="07B05960"/>
    <w:rsid w:val="07B0770E"/>
    <w:rsid w:val="07CC0E71"/>
    <w:rsid w:val="07CC279A"/>
    <w:rsid w:val="07D26499"/>
    <w:rsid w:val="07D4164E"/>
    <w:rsid w:val="07E775D3"/>
    <w:rsid w:val="080C703A"/>
    <w:rsid w:val="084A4320"/>
    <w:rsid w:val="08634780"/>
    <w:rsid w:val="08713341"/>
    <w:rsid w:val="08A07521"/>
    <w:rsid w:val="08AC4379"/>
    <w:rsid w:val="08B55224"/>
    <w:rsid w:val="08BB15FC"/>
    <w:rsid w:val="08BF5E5A"/>
    <w:rsid w:val="08DC4C5E"/>
    <w:rsid w:val="08E231CD"/>
    <w:rsid w:val="08E92ED7"/>
    <w:rsid w:val="08FB0D43"/>
    <w:rsid w:val="09063A89"/>
    <w:rsid w:val="090B5543"/>
    <w:rsid w:val="090E7D15"/>
    <w:rsid w:val="092217DD"/>
    <w:rsid w:val="092D54BA"/>
    <w:rsid w:val="09322AD0"/>
    <w:rsid w:val="093A7294"/>
    <w:rsid w:val="094A7889"/>
    <w:rsid w:val="098A46BA"/>
    <w:rsid w:val="099E3CC2"/>
    <w:rsid w:val="09A94D98"/>
    <w:rsid w:val="09B63701"/>
    <w:rsid w:val="09C37BCC"/>
    <w:rsid w:val="09C474A0"/>
    <w:rsid w:val="09C86F91"/>
    <w:rsid w:val="09D73678"/>
    <w:rsid w:val="09D9119E"/>
    <w:rsid w:val="09DA552E"/>
    <w:rsid w:val="09DB4F16"/>
    <w:rsid w:val="09EA5159"/>
    <w:rsid w:val="0A02730A"/>
    <w:rsid w:val="0A263993"/>
    <w:rsid w:val="0A2D3AC2"/>
    <w:rsid w:val="0A3714F7"/>
    <w:rsid w:val="0A466107"/>
    <w:rsid w:val="0A4A5BF8"/>
    <w:rsid w:val="0A544CC8"/>
    <w:rsid w:val="0A56459C"/>
    <w:rsid w:val="0A5D3B7D"/>
    <w:rsid w:val="0A654A16"/>
    <w:rsid w:val="0A842348"/>
    <w:rsid w:val="0A8C4462"/>
    <w:rsid w:val="0A8C710E"/>
    <w:rsid w:val="0A93759F"/>
    <w:rsid w:val="0AA608D1"/>
    <w:rsid w:val="0AA755DF"/>
    <w:rsid w:val="0AB55DE8"/>
    <w:rsid w:val="0ABC321E"/>
    <w:rsid w:val="0AC260D6"/>
    <w:rsid w:val="0AC534D0"/>
    <w:rsid w:val="0ACF5FA4"/>
    <w:rsid w:val="0AD6045E"/>
    <w:rsid w:val="0ADF4DDA"/>
    <w:rsid w:val="0AEA2F37"/>
    <w:rsid w:val="0AF52007"/>
    <w:rsid w:val="0AF97AFD"/>
    <w:rsid w:val="0B120D44"/>
    <w:rsid w:val="0B163D2C"/>
    <w:rsid w:val="0B39265C"/>
    <w:rsid w:val="0B6727D9"/>
    <w:rsid w:val="0B8D10DD"/>
    <w:rsid w:val="0BA63302"/>
    <w:rsid w:val="0BA648D7"/>
    <w:rsid w:val="0BAA1044"/>
    <w:rsid w:val="0BCB2D68"/>
    <w:rsid w:val="0BD074EE"/>
    <w:rsid w:val="0BD27BF6"/>
    <w:rsid w:val="0BD47E6F"/>
    <w:rsid w:val="0BD61B8C"/>
    <w:rsid w:val="0BE062BE"/>
    <w:rsid w:val="0BE36304"/>
    <w:rsid w:val="0BF216D1"/>
    <w:rsid w:val="0C0B7609"/>
    <w:rsid w:val="0C0D4E92"/>
    <w:rsid w:val="0C1E733C"/>
    <w:rsid w:val="0C1F782F"/>
    <w:rsid w:val="0C227252"/>
    <w:rsid w:val="0C321039"/>
    <w:rsid w:val="0C3B3C7D"/>
    <w:rsid w:val="0C60081E"/>
    <w:rsid w:val="0C653F5B"/>
    <w:rsid w:val="0C6A07D3"/>
    <w:rsid w:val="0C77195D"/>
    <w:rsid w:val="0C8005A6"/>
    <w:rsid w:val="0C955807"/>
    <w:rsid w:val="0C9B071A"/>
    <w:rsid w:val="0CAB2EAE"/>
    <w:rsid w:val="0CCD48BE"/>
    <w:rsid w:val="0CED022C"/>
    <w:rsid w:val="0CF91064"/>
    <w:rsid w:val="0CFD33F5"/>
    <w:rsid w:val="0D22380E"/>
    <w:rsid w:val="0D3C31FD"/>
    <w:rsid w:val="0D433548"/>
    <w:rsid w:val="0D5B011C"/>
    <w:rsid w:val="0D621C7D"/>
    <w:rsid w:val="0D6E60A1"/>
    <w:rsid w:val="0D7F4468"/>
    <w:rsid w:val="0DA10224"/>
    <w:rsid w:val="0DB046F0"/>
    <w:rsid w:val="0DBE5822"/>
    <w:rsid w:val="0DC42165"/>
    <w:rsid w:val="0DDD6D83"/>
    <w:rsid w:val="0DF35BE9"/>
    <w:rsid w:val="0E06774C"/>
    <w:rsid w:val="0E0C32A0"/>
    <w:rsid w:val="0E2844A2"/>
    <w:rsid w:val="0E2B3022"/>
    <w:rsid w:val="0E341099"/>
    <w:rsid w:val="0E3D3DDC"/>
    <w:rsid w:val="0E4017EB"/>
    <w:rsid w:val="0E47296E"/>
    <w:rsid w:val="0E6A2D0C"/>
    <w:rsid w:val="0E72571D"/>
    <w:rsid w:val="0E73034D"/>
    <w:rsid w:val="0E7904FF"/>
    <w:rsid w:val="0E835B7C"/>
    <w:rsid w:val="0E880421"/>
    <w:rsid w:val="0E975183"/>
    <w:rsid w:val="0E9B4435"/>
    <w:rsid w:val="0E9C1C2E"/>
    <w:rsid w:val="0E9D7B02"/>
    <w:rsid w:val="0F100642"/>
    <w:rsid w:val="0F13775A"/>
    <w:rsid w:val="0F256C33"/>
    <w:rsid w:val="0F4470B9"/>
    <w:rsid w:val="0F4C41C0"/>
    <w:rsid w:val="0F5F45FE"/>
    <w:rsid w:val="0F712210"/>
    <w:rsid w:val="0F8676D2"/>
    <w:rsid w:val="0F9A112B"/>
    <w:rsid w:val="0FA933C0"/>
    <w:rsid w:val="0FB27796"/>
    <w:rsid w:val="0FB57FB7"/>
    <w:rsid w:val="0FB73D2F"/>
    <w:rsid w:val="0FCD561B"/>
    <w:rsid w:val="0FE8213B"/>
    <w:rsid w:val="0FEB3209"/>
    <w:rsid w:val="0FF54858"/>
    <w:rsid w:val="10433815"/>
    <w:rsid w:val="105517FE"/>
    <w:rsid w:val="106D2F64"/>
    <w:rsid w:val="10741C20"/>
    <w:rsid w:val="107A5304"/>
    <w:rsid w:val="107F4121"/>
    <w:rsid w:val="10802373"/>
    <w:rsid w:val="108D4A90"/>
    <w:rsid w:val="10B63710"/>
    <w:rsid w:val="10DB1C9F"/>
    <w:rsid w:val="10E87F18"/>
    <w:rsid w:val="10F10820"/>
    <w:rsid w:val="10F266B9"/>
    <w:rsid w:val="10F4112A"/>
    <w:rsid w:val="11166833"/>
    <w:rsid w:val="111C2F7A"/>
    <w:rsid w:val="113413B0"/>
    <w:rsid w:val="11384CBC"/>
    <w:rsid w:val="11395C9D"/>
    <w:rsid w:val="11665CA1"/>
    <w:rsid w:val="116E2B13"/>
    <w:rsid w:val="11733C86"/>
    <w:rsid w:val="117B2B3A"/>
    <w:rsid w:val="11875983"/>
    <w:rsid w:val="118C2F9A"/>
    <w:rsid w:val="119278C4"/>
    <w:rsid w:val="119D0D03"/>
    <w:rsid w:val="11A648C9"/>
    <w:rsid w:val="11BD76CA"/>
    <w:rsid w:val="12376911"/>
    <w:rsid w:val="123F18BA"/>
    <w:rsid w:val="124675EC"/>
    <w:rsid w:val="126E269F"/>
    <w:rsid w:val="12B24C82"/>
    <w:rsid w:val="12B46931"/>
    <w:rsid w:val="12D1335A"/>
    <w:rsid w:val="12F86B39"/>
    <w:rsid w:val="130D1E57"/>
    <w:rsid w:val="13174AE5"/>
    <w:rsid w:val="13187189"/>
    <w:rsid w:val="13250FB0"/>
    <w:rsid w:val="132E255A"/>
    <w:rsid w:val="13441D7E"/>
    <w:rsid w:val="13472877"/>
    <w:rsid w:val="135E4481"/>
    <w:rsid w:val="1360204D"/>
    <w:rsid w:val="13741F37"/>
    <w:rsid w:val="137B1518"/>
    <w:rsid w:val="138443C5"/>
    <w:rsid w:val="138A3509"/>
    <w:rsid w:val="13951726"/>
    <w:rsid w:val="13AE6971"/>
    <w:rsid w:val="13B76BA2"/>
    <w:rsid w:val="13CE33F5"/>
    <w:rsid w:val="13F86D0A"/>
    <w:rsid w:val="14131750"/>
    <w:rsid w:val="141352AC"/>
    <w:rsid w:val="1418269F"/>
    <w:rsid w:val="14270D58"/>
    <w:rsid w:val="142F2DDA"/>
    <w:rsid w:val="1437543F"/>
    <w:rsid w:val="14396509"/>
    <w:rsid w:val="14540F42"/>
    <w:rsid w:val="14572C9C"/>
    <w:rsid w:val="14583197"/>
    <w:rsid w:val="14593607"/>
    <w:rsid w:val="146E6986"/>
    <w:rsid w:val="14A34FB4"/>
    <w:rsid w:val="14A979BF"/>
    <w:rsid w:val="14B52807"/>
    <w:rsid w:val="14CE4563"/>
    <w:rsid w:val="14D37DB8"/>
    <w:rsid w:val="14DD2C3C"/>
    <w:rsid w:val="14F90F02"/>
    <w:rsid w:val="15000D6C"/>
    <w:rsid w:val="150712B5"/>
    <w:rsid w:val="15177D84"/>
    <w:rsid w:val="151D2886"/>
    <w:rsid w:val="15211217"/>
    <w:rsid w:val="152534E9"/>
    <w:rsid w:val="155172F3"/>
    <w:rsid w:val="15610299"/>
    <w:rsid w:val="158C1DA8"/>
    <w:rsid w:val="15A703A2"/>
    <w:rsid w:val="15AB7C60"/>
    <w:rsid w:val="15C745A0"/>
    <w:rsid w:val="15D70000"/>
    <w:rsid w:val="15D942D4"/>
    <w:rsid w:val="15E518D3"/>
    <w:rsid w:val="15F31839"/>
    <w:rsid w:val="16087E1D"/>
    <w:rsid w:val="161B669A"/>
    <w:rsid w:val="162715EA"/>
    <w:rsid w:val="163A65CC"/>
    <w:rsid w:val="164D3B4F"/>
    <w:rsid w:val="16557DFE"/>
    <w:rsid w:val="166938A9"/>
    <w:rsid w:val="166B7621"/>
    <w:rsid w:val="166F34EE"/>
    <w:rsid w:val="1674297A"/>
    <w:rsid w:val="16753FFC"/>
    <w:rsid w:val="167575DE"/>
    <w:rsid w:val="167D1103"/>
    <w:rsid w:val="16816BC3"/>
    <w:rsid w:val="168A35FD"/>
    <w:rsid w:val="16A14DF1"/>
    <w:rsid w:val="16B70AB9"/>
    <w:rsid w:val="16B72867"/>
    <w:rsid w:val="16BD7EC5"/>
    <w:rsid w:val="16BF2BEC"/>
    <w:rsid w:val="16CF7BB0"/>
    <w:rsid w:val="16D344EE"/>
    <w:rsid w:val="17103469"/>
    <w:rsid w:val="17215F32"/>
    <w:rsid w:val="1740285C"/>
    <w:rsid w:val="17433E6C"/>
    <w:rsid w:val="174C51CF"/>
    <w:rsid w:val="17701D14"/>
    <w:rsid w:val="17735226"/>
    <w:rsid w:val="177B7D38"/>
    <w:rsid w:val="1780534F"/>
    <w:rsid w:val="179E7583"/>
    <w:rsid w:val="17A74689"/>
    <w:rsid w:val="17A76437"/>
    <w:rsid w:val="17C36FE9"/>
    <w:rsid w:val="17CF1E32"/>
    <w:rsid w:val="17D9696E"/>
    <w:rsid w:val="180970F2"/>
    <w:rsid w:val="1820443C"/>
    <w:rsid w:val="18240C92"/>
    <w:rsid w:val="18243F2C"/>
    <w:rsid w:val="18291542"/>
    <w:rsid w:val="18300B23"/>
    <w:rsid w:val="18387277"/>
    <w:rsid w:val="185C124C"/>
    <w:rsid w:val="187406FC"/>
    <w:rsid w:val="188E61A5"/>
    <w:rsid w:val="189A41EE"/>
    <w:rsid w:val="189D7BD5"/>
    <w:rsid w:val="189F624C"/>
    <w:rsid w:val="18B92B0B"/>
    <w:rsid w:val="18BD1C8B"/>
    <w:rsid w:val="18C41D9D"/>
    <w:rsid w:val="18C84063"/>
    <w:rsid w:val="18D314AE"/>
    <w:rsid w:val="18DE057F"/>
    <w:rsid w:val="18F00018"/>
    <w:rsid w:val="18F71640"/>
    <w:rsid w:val="19061883"/>
    <w:rsid w:val="190D49C0"/>
    <w:rsid w:val="191E097B"/>
    <w:rsid w:val="191F64A1"/>
    <w:rsid w:val="192E7E81"/>
    <w:rsid w:val="19310BF7"/>
    <w:rsid w:val="193163BA"/>
    <w:rsid w:val="193A5276"/>
    <w:rsid w:val="194E53C8"/>
    <w:rsid w:val="19573E8D"/>
    <w:rsid w:val="19574121"/>
    <w:rsid w:val="196238DD"/>
    <w:rsid w:val="198F3627"/>
    <w:rsid w:val="19B337B9"/>
    <w:rsid w:val="19B65058"/>
    <w:rsid w:val="19F908B3"/>
    <w:rsid w:val="19FA25FA"/>
    <w:rsid w:val="1A116EA2"/>
    <w:rsid w:val="1A1C66C0"/>
    <w:rsid w:val="1A42393B"/>
    <w:rsid w:val="1A5F124B"/>
    <w:rsid w:val="1A6920CA"/>
    <w:rsid w:val="1A807414"/>
    <w:rsid w:val="1AAD45DE"/>
    <w:rsid w:val="1AF35E37"/>
    <w:rsid w:val="1B046F80"/>
    <w:rsid w:val="1B3267B5"/>
    <w:rsid w:val="1B337178"/>
    <w:rsid w:val="1B3A3308"/>
    <w:rsid w:val="1B40161D"/>
    <w:rsid w:val="1B441859"/>
    <w:rsid w:val="1B656D35"/>
    <w:rsid w:val="1B6603B7"/>
    <w:rsid w:val="1B6606B1"/>
    <w:rsid w:val="1B723200"/>
    <w:rsid w:val="1B7A20B5"/>
    <w:rsid w:val="1B854CE1"/>
    <w:rsid w:val="1B910BFE"/>
    <w:rsid w:val="1BB11F7A"/>
    <w:rsid w:val="1BEA53DC"/>
    <w:rsid w:val="1BFE4A94"/>
    <w:rsid w:val="1C006A5E"/>
    <w:rsid w:val="1C257ADD"/>
    <w:rsid w:val="1C295ECB"/>
    <w:rsid w:val="1C5970A3"/>
    <w:rsid w:val="1C5E7925"/>
    <w:rsid w:val="1C6B5FFE"/>
    <w:rsid w:val="1C7C4570"/>
    <w:rsid w:val="1C8525E2"/>
    <w:rsid w:val="1C933922"/>
    <w:rsid w:val="1CAE0268"/>
    <w:rsid w:val="1CB03136"/>
    <w:rsid w:val="1CB25C77"/>
    <w:rsid w:val="1CB3762C"/>
    <w:rsid w:val="1CB76590"/>
    <w:rsid w:val="1CDC4DD5"/>
    <w:rsid w:val="1CEE68B6"/>
    <w:rsid w:val="1CF75960"/>
    <w:rsid w:val="1CFD070F"/>
    <w:rsid w:val="1D0F48C3"/>
    <w:rsid w:val="1D2D3883"/>
    <w:rsid w:val="1D3F5364"/>
    <w:rsid w:val="1D412E8A"/>
    <w:rsid w:val="1D526E45"/>
    <w:rsid w:val="1D5606BE"/>
    <w:rsid w:val="1D5A03F0"/>
    <w:rsid w:val="1D5F6196"/>
    <w:rsid w:val="1D6132A5"/>
    <w:rsid w:val="1D721295"/>
    <w:rsid w:val="1D7C2114"/>
    <w:rsid w:val="1D8E246F"/>
    <w:rsid w:val="1D8E3BF5"/>
    <w:rsid w:val="1D8E56D5"/>
    <w:rsid w:val="1D9838A2"/>
    <w:rsid w:val="1D992CC6"/>
    <w:rsid w:val="1D9D475C"/>
    <w:rsid w:val="1D9E066F"/>
    <w:rsid w:val="1DA13929"/>
    <w:rsid w:val="1DBA1560"/>
    <w:rsid w:val="1DF44011"/>
    <w:rsid w:val="1E067C30"/>
    <w:rsid w:val="1E200CF1"/>
    <w:rsid w:val="1E2028F0"/>
    <w:rsid w:val="1E2527AC"/>
    <w:rsid w:val="1E2806C6"/>
    <w:rsid w:val="1E430E84"/>
    <w:rsid w:val="1E5B61CE"/>
    <w:rsid w:val="1E620845"/>
    <w:rsid w:val="1E6432D4"/>
    <w:rsid w:val="1E712E04"/>
    <w:rsid w:val="1E7A43DA"/>
    <w:rsid w:val="1E817283"/>
    <w:rsid w:val="1E864856"/>
    <w:rsid w:val="1E982F7E"/>
    <w:rsid w:val="1EA71413"/>
    <w:rsid w:val="1EAE09F3"/>
    <w:rsid w:val="1EDD751C"/>
    <w:rsid w:val="1EE44415"/>
    <w:rsid w:val="1F016D75"/>
    <w:rsid w:val="1F03118A"/>
    <w:rsid w:val="1F240CB5"/>
    <w:rsid w:val="1F3A327E"/>
    <w:rsid w:val="1F3C3308"/>
    <w:rsid w:val="1F5C052B"/>
    <w:rsid w:val="1F5D299B"/>
    <w:rsid w:val="1F7462E5"/>
    <w:rsid w:val="1F896D6A"/>
    <w:rsid w:val="1F902012"/>
    <w:rsid w:val="1F9E2816"/>
    <w:rsid w:val="1FA37E2C"/>
    <w:rsid w:val="1FA4287D"/>
    <w:rsid w:val="1FB218EC"/>
    <w:rsid w:val="1FB21E1D"/>
    <w:rsid w:val="1FCD6C57"/>
    <w:rsid w:val="1FE7539E"/>
    <w:rsid w:val="1FFC2926"/>
    <w:rsid w:val="20671BE0"/>
    <w:rsid w:val="206D3F96"/>
    <w:rsid w:val="20963CB8"/>
    <w:rsid w:val="20994D8B"/>
    <w:rsid w:val="20A81A1B"/>
    <w:rsid w:val="20B07FB6"/>
    <w:rsid w:val="20B646FB"/>
    <w:rsid w:val="20CC5E68"/>
    <w:rsid w:val="20CD54C9"/>
    <w:rsid w:val="20DB35F6"/>
    <w:rsid w:val="20F052F3"/>
    <w:rsid w:val="211014F1"/>
    <w:rsid w:val="21115269"/>
    <w:rsid w:val="211E386E"/>
    <w:rsid w:val="213571AA"/>
    <w:rsid w:val="213B74B1"/>
    <w:rsid w:val="215A2310"/>
    <w:rsid w:val="215E2E47"/>
    <w:rsid w:val="21601B61"/>
    <w:rsid w:val="216C24A0"/>
    <w:rsid w:val="21771570"/>
    <w:rsid w:val="217C094C"/>
    <w:rsid w:val="21871088"/>
    <w:rsid w:val="218C23A0"/>
    <w:rsid w:val="219D08AB"/>
    <w:rsid w:val="21D544E9"/>
    <w:rsid w:val="21DE318A"/>
    <w:rsid w:val="21EF5B80"/>
    <w:rsid w:val="21FE0433"/>
    <w:rsid w:val="2211698F"/>
    <w:rsid w:val="22372AAE"/>
    <w:rsid w:val="22576990"/>
    <w:rsid w:val="225B0A68"/>
    <w:rsid w:val="226F3FF6"/>
    <w:rsid w:val="2277734E"/>
    <w:rsid w:val="228F4698"/>
    <w:rsid w:val="229D5007"/>
    <w:rsid w:val="22BB4222"/>
    <w:rsid w:val="22BD2749"/>
    <w:rsid w:val="22D87DED"/>
    <w:rsid w:val="22E542B8"/>
    <w:rsid w:val="22EA5D72"/>
    <w:rsid w:val="22F47480"/>
    <w:rsid w:val="22F66F83"/>
    <w:rsid w:val="230D7DB3"/>
    <w:rsid w:val="23275DF3"/>
    <w:rsid w:val="233D0598"/>
    <w:rsid w:val="237750EB"/>
    <w:rsid w:val="237F470C"/>
    <w:rsid w:val="23863CED"/>
    <w:rsid w:val="23953F30"/>
    <w:rsid w:val="23957A8C"/>
    <w:rsid w:val="23CF11A5"/>
    <w:rsid w:val="23D06D16"/>
    <w:rsid w:val="23DE1C48"/>
    <w:rsid w:val="23E539DD"/>
    <w:rsid w:val="23EB7FF4"/>
    <w:rsid w:val="240210CD"/>
    <w:rsid w:val="241A5123"/>
    <w:rsid w:val="242552B4"/>
    <w:rsid w:val="242E1784"/>
    <w:rsid w:val="2432352D"/>
    <w:rsid w:val="243629A0"/>
    <w:rsid w:val="243F3E9B"/>
    <w:rsid w:val="244829CE"/>
    <w:rsid w:val="246B6A3F"/>
    <w:rsid w:val="247B1377"/>
    <w:rsid w:val="2492221D"/>
    <w:rsid w:val="24B677D2"/>
    <w:rsid w:val="24BD0832"/>
    <w:rsid w:val="24BF09F7"/>
    <w:rsid w:val="24DD56B0"/>
    <w:rsid w:val="24EE1B49"/>
    <w:rsid w:val="24F42ED8"/>
    <w:rsid w:val="24F44C86"/>
    <w:rsid w:val="2507454D"/>
    <w:rsid w:val="251470D6"/>
    <w:rsid w:val="25164BFC"/>
    <w:rsid w:val="252B269C"/>
    <w:rsid w:val="252D53FE"/>
    <w:rsid w:val="254E4396"/>
    <w:rsid w:val="259124D5"/>
    <w:rsid w:val="25B83F05"/>
    <w:rsid w:val="25D35D0F"/>
    <w:rsid w:val="25DB7E88"/>
    <w:rsid w:val="25E66CC5"/>
    <w:rsid w:val="25EC2D81"/>
    <w:rsid w:val="26024D4E"/>
    <w:rsid w:val="26040EF9"/>
    <w:rsid w:val="26185F6F"/>
    <w:rsid w:val="261E6F13"/>
    <w:rsid w:val="26325A66"/>
    <w:rsid w:val="263848E2"/>
    <w:rsid w:val="26404627"/>
    <w:rsid w:val="2640518B"/>
    <w:rsid w:val="26630315"/>
    <w:rsid w:val="26667998"/>
    <w:rsid w:val="268110EB"/>
    <w:rsid w:val="268A6D0C"/>
    <w:rsid w:val="26914E82"/>
    <w:rsid w:val="26920BFA"/>
    <w:rsid w:val="26AD0802"/>
    <w:rsid w:val="26B134AE"/>
    <w:rsid w:val="26B741BD"/>
    <w:rsid w:val="26C37006"/>
    <w:rsid w:val="26CF59AB"/>
    <w:rsid w:val="26D82684"/>
    <w:rsid w:val="26DB60FD"/>
    <w:rsid w:val="26EB3E67"/>
    <w:rsid w:val="27181100"/>
    <w:rsid w:val="271D04C4"/>
    <w:rsid w:val="276365F0"/>
    <w:rsid w:val="276D792E"/>
    <w:rsid w:val="277057A2"/>
    <w:rsid w:val="2782010E"/>
    <w:rsid w:val="27A75FE0"/>
    <w:rsid w:val="27AC6324"/>
    <w:rsid w:val="27C70430"/>
    <w:rsid w:val="27E45FCB"/>
    <w:rsid w:val="281407C4"/>
    <w:rsid w:val="281D44F4"/>
    <w:rsid w:val="281E2746"/>
    <w:rsid w:val="28213FE4"/>
    <w:rsid w:val="28243AD4"/>
    <w:rsid w:val="283E135A"/>
    <w:rsid w:val="284B3B99"/>
    <w:rsid w:val="289245B8"/>
    <w:rsid w:val="28AB18F1"/>
    <w:rsid w:val="28BA7195"/>
    <w:rsid w:val="28C013B8"/>
    <w:rsid w:val="28CF57EE"/>
    <w:rsid w:val="28EB0DF4"/>
    <w:rsid w:val="290244A0"/>
    <w:rsid w:val="291309CF"/>
    <w:rsid w:val="29146F2D"/>
    <w:rsid w:val="29162832"/>
    <w:rsid w:val="29181BE3"/>
    <w:rsid w:val="29206EB8"/>
    <w:rsid w:val="29336C44"/>
    <w:rsid w:val="29345C93"/>
    <w:rsid w:val="29595666"/>
    <w:rsid w:val="295B1D24"/>
    <w:rsid w:val="296A19BB"/>
    <w:rsid w:val="297168A5"/>
    <w:rsid w:val="297B340B"/>
    <w:rsid w:val="297D16EE"/>
    <w:rsid w:val="29874881"/>
    <w:rsid w:val="29930F11"/>
    <w:rsid w:val="29A0718A"/>
    <w:rsid w:val="29A8408B"/>
    <w:rsid w:val="29AF0E04"/>
    <w:rsid w:val="29B56850"/>
    <w:rsid w:val="29B72D20"/>
    <w:rsid w:val="29C235A5"/>
    <w:rsid w:val="29C42E79"/>
    <w:rsid w:val="29DF7CB3"/>
    <w:rsid w:val="29E325E0"/>
    <w:rsid w:val="29EC7621"/>
    <w:rsid w:val="29F67E81"/>
    <w:rsid w:val="2A0D6239"/>
    <w:rsid w:val="2A1C134D"/>
    <w:rsid w:val="2A222295"/>
    <w:rsid w:val="2A293624"/>
    <w:rsid w:val="2A452503"/>
    <w:rsid w:val="2A497822"/>
    <w:rsid w:val="2A53244F"/>
    <w:rsid w:val="2A587A65"/>
    <w:rsid w:val="2A5F146F"/>
    <w:rsid w:val="2A60739C"/>
    <w:rsid w:val="2A636B36"/>
    <w:rsid w:val="2A7307D4"/>
    <w:rsid w:val="2A810D6A"/>
    <w:rsid w:val="2A8E2A71"/>
    <w:rsid w:val="2AB624C2"/>
    <w:rsid w:val="2ACB7982"/>
    <w:rsid w:val="2AE06B47"/>
    <w:rsid w:val="2AE31A25"/>
    <w:rsid w:val="2AE83824"/>
    <w:rsid w:val="2AF83C8E"/>
    <w:rsid w:val="2AFB4397"/>
    <w:rsid w:val="2AFC0D9C"/>
    <w:rsid w:val="2B193698"/>
    <w:rsid w:val="2B222FB9"/>
    <w:rsid w:val="2B243FAA"/>
    <w:rsid w:val="2B54647E"/>
    <w:rsid w:val="2B5C6960"/>
    <w:rsid w:val="2B5E554F"/>
    <w:rsid w:val="2B6D12EE"/>
    <w:rsid w:val="2B7D3C27"/>
    <w:rsid w:val="2B966A97"/>
    <w:rsid w:val="2BA936A8"/>
    <w:rsid w:val="2BC27DAE"/>
    <w:rsid w:val="2BEF15E9"/>
    <w:rsid w:val="2BF51A0F"/>
    <w:rsid w:val="2C0A60EE"/>
    <w:rsid w:val="2C146970"/>
    <w:rsid w:val="2C1C51EE"/>
    <w:rsid w:val="2C300C99"/>
    <w:rsid w:val="2C315A5A"/>
    <w:rsid w:val="2C3F0EDD"/>
    <w:rsid w:val="2C4B1C25"/>
    <w:rsid w:val="2C563A15"/>
    <w:rsid w:val="2C6B600B"/>
    <w:rsid w:val="2C6E6B28"/>
    <w:rsid w:val="2C7D1787"/>
    <w:rsid w:val="2C82701B"/>
    <w:rsid w:val="2C9B7A28"/>
    <w:rsid w:val="2CA60F5C"/>
    <w:rsid w:val="2CAB0320"/>
    <w:rsid w:val="2CB56AC5"/>
    <w:rsid w:val="2CC567B5"/>
    <w:rsid w:val="2CCE400E"/>
    <w:rsid w:val="2CCF04B2"/>
    <w:rsid w:val="2CDF7FCA"/>
    <w:rsid w:val="2CEF5816"/>
    <w:rsid w:val="2CF5641F"/>
    <w:rsid w:val="2D040005"/>
    <w:rsid w:val="2D113AB0"/>
    <w:rsid w:val="2D1C7470"/>
    <w:rsid w:val="2D2D1B82"/>
    <w:rsid w:val="2D5C161A"/>
    <w:rsid w:val="2D825525"/>
    <w:rsid w:val="2D8C1F00"/>
    <w:rsid w:val="2D967FF4"/>
    <w:rsid w:val="2D9E56F5"/>
    <w:rsid w:val="2DA620AB"/>
    <w:rsid w:val="2DA84860"/>
    <w:rsid w:val="2DD13DB6"/>
    <w:rsid w:val="2E093082"/>
    <w:rsid w:val="2E1754F4"/>
    <w:rsid w:val="2E1B3283"/>
    <w:rsid w:val="2E1B7727"/>
    <w:rsid w:val="2E232138"/>
    <w:rsid w:val="2E3B3314"/>
    <w:rsid w:val="2E4935A6"/>
    <w:rsid w:val="2E667F96"/>
    <w:rsid w:val="2E786928"/>
    <w:rsid w:val="2E821554"/>
    <w:rsid w:val="2E8226AB"/>
    <w:rsid w:val="2E8C1789"/>
    <w:rsid w:val="2EA9010F"/>
    <w:rsid w:val="2EAE2349"/>
    <w:rsid w:val="2EBC2DF9"/>
    <w:rsid w:val="2EFC4E63"/>
    <w:rsid w:val="2F0D7070"/>
    <w:rsid w:val="2F10522B"/>
    <w:rsid w:val="2F1105A0"/>
    <w:rsid w:val="2F155F25"/>
    <w:rsid w:val="2F631386"/>
    <w:rsid w:val="2F7470EF"/>
    <w:rsid w:val="2F804A8F"/>
    <w:rsid w:val="2F9A414A"/>
    <w:rsid w:val="2FC00586"/>
    <w:rsid w:val="2FC5794B"/>
    <w:rsid w:val="2FD065E6"/>
    <w:rsid w:val="2FD361A8"/>
    <w:rsid w:val="2FD96870"/>
    <w:rsid w:val="2FDE0A0C"/>
    <w:rsid w:val="2FDE6C5E"/>
    <w:rsid w:val="301461DC"/>
    <w:rsid w:val="30224D9D"/>
    <w:rsid w:val="30273D1D"/>
    <w:rsid w:val="30304270"/>
    <w:rsid w:val="303111DD"/>
    <w:rsid w:val="3051171C"/>
    <w:rsid w:val="30580BC9"/>
    <w:rsid w:val="30703D5A"/>
    <w:rsid w:val="307C6B9E"/>
    <w:rsid w:val="30847806"/>
    <w:rsid w:val="309A3FE2"/>
    <w:rsid w:val="30A532D8"/>
    <w:rsid w:val="30B5176D"/>
    <w:rsid w:val="30CB0F91"/>
    <w:rsid w:val="30CE6CD3"/>
    <w:rsid w:val="30F20144"/>
    <w:rsid w:val="30F74BFC"/>
    <w:rsid w:val="311E2ED7"/>
    <w:rsid w:val="311F12DD"/>
    <w:rsid w:val="313528AE"/>
    <w:rsid w:val="3139239E"/>
    <w:rsid w:val="315619EE"/>
    <w:rsid w:val="315C42DF"/>
    <w:rsid w:val="315C449C"/>
    <w:rsid w:val="31760343"/>
    <w:rsid w:val="317F484D"/>
    <w:rsid w:val="318F2B68"/>
    <w:rsid w:val="31943F2B"/>
    <w:rsid w:val="319E66A5"/>
    <w:rsid w:val="31B82709"/>
    <w:rsid w:val="31CA749A"/>
    <w:rsid w:val="31D05482"/>
    <w:rsid w:val="31F44517"/>
    <w:rsid w:val="320D7387"/>
    <w:rsid w:val="32132BEF"/>
    <w:rsid w:val="321D3A6E"/>
    <w:rsid w:val="321E232C"/>
    <w:rsid w:val="322272B1"/>
    <w:rsid w:val="32400B34"/>
    <w:rsid w:val="324C6C98"/>
    <w:rsid w:val="32582CF8"/>
    <w:rsid w:val="325F4087"/>
    <w:rsid w:val="326A47D9"/>
    <w:rsid w:val="32902492"/>
    <w:rsid w:val="329A50BF"/>
    <w:rsid w:val="329E6876"/>
    <w:rsid w:val="32A001FB"/>
    <w:rsid w:val="32B86201"/>
    <w:rsid w:val="32EF18BE"/>
    <w:rsid w:val="32F524CB"/>
    <w:rsid w:val="33093135"/>
    <w:rsid w:val="33152F0A"/>
    <w:rsid w:val="33180BF7"/>
    <w:rsid w:val="332E0024"/>
    <w:rsid w:val="333015F2"/>
    <w:rsid w:val="334B6320"/>
    <w:rsid w:val="33512ED6"/>
    <w:rsid w:val="3371728B"/>
    <w:rsid w:val="33742B8C"/>
    <w:rsid w:val="3381627F"/>
    <w:rsid w:val="33883169"/>
    <w:rsid w:val="33C7466E"/>
    <w:rsid w:val="33C85C5B"/>
    <w:rsid w:val="33CF2B46"/>
    <w:rsid w:val="33D934D4"/>
    <w:rsid w:val="33FE2F6A"/>
    <w:rsid w:val="34034EE6"/>
    <w:rsid w:val="34083C5D"/>
    <w:rsid w:val="340A3924"/>
    <w:rsid w:val="340E07E5"/>
    <w:rsid w:val="34140EA1"/>
    <w:rsid w:val="34235BF7"/>
    <w:rsid w:val="3425595B"/>
    <w:rsid w:val="343D2AF7"/>
    <w:rsid w:val="344267BA"/>
    <w:rsid w:val="34481365"/>
    <w:rsid w:val="345474EF"/>
    <w:rsid w:val="345614B9"/>
    <w:rsid w:val="34592CE5"/>
    <w:rsid w:val="3489363D"/>
    <w:rsid w:val="348C7AC7"/>
    <w:rsid w:val="34923EBA"/>
    <w:rsid w:val="34967B41"/>
    <w:rsid w:val="34A915E9"/>
    <w:rsid w:val="34B34216"/>
    <w:rsid w:val="34BB756E"/>
    <w:rsid w:val="34D01D12"/>
    <w:rsid w:val="34E15F2A"/>
    <w:rsid w:val="34E46AC5"/>
    <w:rsid w:val="351429B9"/>
    <w:rsid w:val="351A24E7"/>
    <w:rsid w:val="35223149"/>
    <w:rsid w:val="35647C06"/>
    <w:rsid w:val="356F4220"/>
    <w:rsid w:val="3575596F"/>
    <w:rsid w:val="358C5FA8"/>
    <w:rsid w:val="358F6E79"/>
    <w:rsid w:val="35AB1391"/>
    <w:rsid w:val="35C15DF1"/>
    <w:rsid w:val="35C271DD"/>
    <w:rsid w:val="35CB558F"/>
    <w:rsid w:val="35D501BC"/>
    <w:rsid w:val="35DC154A"/>
    <w:rsid w:val="35F26FC0"/>
    <w:rsid w:val="36074A7F"/>
    <w:rsid w:val="360A3C9A"/>
    <w:rsid w:val="36154A5C"/>
    <w:rsid w:val="3623361D"/>
    <w:rsid w:val="363D46DF"/>
    <w:rsid w:val="36581519"/>
    <w:rsid w:val="36683C05"/>
    <w:rsid w:val="36923549"/>
    <w:rsid w:val="36A90AF9"/>
    <w:rsid w:val="36B75FBF"/>
    <w:rsid w:val="36BD0C45"/>
    <w:rsid w:val="36BF3346"/>
    <w:rsid w:val="36D63AD4"/>
    <w:rsid w:val="36DB7A54"/>
    <w:rsid w:val="36E724CA"/>
    <w:rsid w:val="36EF34FF"/>
    <w:rsid w:val="37076A9B"/>
    <w:rsid w:val="372A4537"/>
    <w:rsid w:val="372C02AF"/>
    <w:rsid w:val="37384EA6"/>
    <w:rsid w:val="37543B31"/>
    <w:rsid w:val="37775226"/>
    <w:rsid w:val="37865C12"/>
    <w:rsid w:val="37976071"/>
    <w:rsid w:val="37AB1B1C"/>
    <w:rsid w:val="37B207B5"/>
    <w:rsid w:val="37BC5AD7"/>
    <w:rsid w:val="37CB2F5F"/>
    <w:rsid w:val="37E00298"/>
    <w:rsid w:val="37E1109A"/>
    <w:rsid w:val="37E50AE3"/>
    <w:rsid w:val="37F04371"/>
    <w:rsid w:val="37FA03AE"/>
    <w:rsid w:val="38060B00"/>
    <w:rsid w:val="38166895"/>
    <w:rsid w:val="3825367C"/>
    <w:rsid w:val="38352216"/>
    <w:rsid w:val="383733B0"/>
    <w:rsid w:val="383C6738"/>
    <w:rsid w:val="384D2BD3"/>
    <w:rsid w:val="385B52F0"/>
    <w:rsid w:val="38671231"/>
    <w:rsid w:val="387B7A80"/>
    <w:rsid w:val="3891486E"/>
    <w:rsid w:val="38B302F9"/>
    <w:rsid w:val="38B33B51"/>
    <w:rsid w:val="38C42C1C"/>
    <w:rsid w:val="38DA279F"/>
    <w:rsid w:val="38EC419A"/>
    <w:rsid w:val="38F12CD3"/>
    <w:rsid w:val="38F94775"/>
    <w:rsid w:val="391777D7"/>
    <w:rsid w:val="3922196A"/>
    <w:rsid w:val="392971ED"/>
    <w:rsid w:val="392B2AB6"/>
    <w:rsid w:val="39325651"/>
    <w:rsid w:val="393B3584"/>
    <w:rsid w:val="394E09B1"/>
    <w:rsid w:val="395714A0"/>
    <w:rsid w:val="39662ED0"/>
    <w:rsid w:val="397228F1"/>
    <w:rsid w:val="39727572"/>
    <w:rsid w:val="3975518D"/>
    <w:rsid w:val="39785A2E"/>
    <w:rsid w:val="398A2824"/>
    <w:rsid w:val="39AB7BB1"/>
    <w:rsid w:val="39BA7DF4"/>
    <w:rsid w:val="39C27DF2"/>
    <w:rsid w:val="39D877FB"/>
    <w:rsid w:val="39DF5AAD"/>
    <w:rsid w:val="39EF0558"/>
    <w:rsid w:val="3A144E8D"/>
    <w:rsid w:val="3A3A5696"/>
    <w:rsid w:val="3A444AE5"/>
    <w:rsid w:val="3A4A561C"/>
    <w:rsid w:val="3A4D6DF3"/>
    <w:rsid w:val="3A5B15D7"/>
    <w:rsid w:val="3A614714"/>
    <w:rsid w:val="3A635435"/>
    <w:rsid w:val="3A663AD8"/>
    <w:rsid w:val="3A6B5D97"/>
    <w:rsid w:val="3A6D4088"/>
    <w:rsid w:val="3A775CE5"/>
    <w:rsid w:val="3A781208"/>
    <w:rsid w:val="3A872856"/>
    <w:rsid w:val="3A8E2212"/>
    <w:rsid w:val="3A946897"/>
    <w:rsid w:val="3AAA60BB"/>
    <w:rsid w:val="3AC84793"/>
    <w:rsid w:val="3AE113B1"/>
    <w:rsid w:val="3B0A4DAB"/>
    <w:rsid w:val="3B3763D1"/>
    <w:rsid w:val="3B3D0CDD"/>
    <w:rsid w:val="3B40040D"/>
    <w:rsid w:val="3B4B61A3"/>
    <w:rsid w:val="3B5B266B"/>
    <w:rsid w:val="3B5C3550"/>
    <w:rsid w:val="3B5F0C53"/>
    <w:rsid w:val="3B762441"/>
    <w:rsid w:val="3B9305A4"/>
    <w:rsid w:val="3B942198"/>
    <w:rsid w:val="3B942EED"/>
    <w:rsid w:val="3BA0301A"/>
    <w:rsid w:val="3BC211E2"/>
    <w:rsid w:val="3BC82C9D"/>
    <w:rsid w:val="3BD5678A"/>
    <w:rsid w:val="3BDC12B7"/>
    <w:rsid w:val="3BDD601C"/>
    <w:rsid w:val="3BF64EA9"/>
    <w:rsid w:val="3BF67902"/>
    <w:rsid w:val="3C1F309D"/>
    <w:rsid w:val="3C2F6E1E"/>
    <w:rsid w:val="3C395A2A"/>
    <w:rsid w:val="3C460065"/>
    <w:rsid w:val="3C4D13F4"/>
    <w:rsid w:val="3C4F64BA"/>
    <w:rsid w:val="3C5C43B0"/>
    <w:rsid w:val="3C5C5193"/>
    <w:rsid w:val="3C6B7ACC"/>
    <w:rsid w:val="3C8B3CCA"/>
    <w:rsid w:val="3CB94393"/>
    <w:rsid w:val="3CBE5970"/>
    <w:rsid w:val="3CD92EE6"/>
    <w:rsid w:val="3CDA245A"/>
    <w:rsid w:val="3CDA57C3"/>
    <w:rsid w:val="3CED04E1"/>
    <w:rsid w:val="3CED6733"/>
    <w:rsid w:val="3CF74EBC"/>
    <w:rsid w:val="3D1C4922"/>
    <w:rsid w:val="3D1E06B7"/>
    <w:rsid w:val="3D271C45"/>
    <w:rsid w:val="3D3B1DBB"/>
    <w:rsid w:val="3D42082D"/>
    <w:rsid w:val="3D6764E5"/>
    <w:rsid w:val="3D7604D6"/>
    <w:rsid w:val="3D84381D"/>
    <w:rsid w:val="3D956BAE"/>
    <w:rsid w:val="3D9D1F07"/>
    <w:rsid w:val="3DB1150E"/>
    <w:rsid w:val="3DB42DAD"/>
    <w:rsid w:val="3DB878CA"/>
    <w:rsid w:val="3DC456E6"/>
    <w:rsid w:val="3DC94AAA"/>
    <w:rsid w:val="3DE418E4"/>
    <w:rsid w:val="3DEA14FB"/>
    <w:rsid w:val="3DEB0EC4"/>
    <w:rsid w:val="3DF0662A"/>
    <w:rsid w:val="3DF80EEB"/>
    <w:rsid w:val="3E0D35E4"/>
    <w:rsid w:val="3E135D25"/>
    <w:rsid w:val="3E2241BA"/>
    <w:rsid w:val="3E2B6F65"/>
    <w:rsid w:val="3E515386"/>
    <w:rsid w:val="3E6415B0"/>
    <w:rsid w:val="3E667536"/>
    <w:rsid w:val="3E6E1261"/>
    <w:rsid w:val="3E9173A4"/>
    <w:rsid w:val="3EC60FE9"/>
    <w:rsid w:val="3ECA0ADA"/>
    <w:rsid w:val="3ECD2C57"/>
    <w:rsid w:val="3EDA0523"/>
    <w:rsid w:val="3EEA0F3D"/>
    <w:rsid w:val="3F0A537A"/>
    <w:rsid w:val="3F0C10F2"/>
    <w:rsid w:val="3F2266ED"/>
    <w:rsid w:val="3F35076B"/>
    <w:rsid w:val="3F463CE0"/>
    <w:rsid w:val="3F4B4DBD"/>
    <w:rsid w:val="3F626F64"/>
    <w:rsid w:val="3F6B149A"/>
    <w:rsid w:val="3F80388E"/>
    <w:rsid w:val="3F827606"/>
    <w:rsid w:val="3F8F1F95"/>
    <w:rsid w:val="3FA550A3"/>
    <w:rsid w:val="3FCA5C1C"/>
    <w:rsid w:val="3FCA68B7"/>
    <w:rsid w:val="3FCE72B4"/>
    <w:rsid w:val="3FD12164"/>
    <w:rsid w:val="3FD31C10"/>
    <w:rsid w:val="3FF652F8"/>
    <w:rsid w:val="400A3D6D"/>
    <w:rsid w:val="402A3539"/>
    <w:rsid w:val="403E49C9"/>
    <w:rsid w:val="404A7267"/>
    <w:rsid w:val="40703903"/>
    <w:rsid w:val="407A6407"/>
    <w:rsid w:val="4081341A"/>
    <w:rsid w:val="408C1BEA"/>
    <w:rsid w:val="409741F1"/>
    <w:rsid w:val="40984D90"/>
    <w:rsid w:val="40D774DE"/>
    <w:rsid w:val="40FB566E"/>
    <w:rsid w:val="40FE1B91"/>
    <w:rsid w:val="41160006"/>
    <w:rsid w:val="411C3143"/>
    <w:rsid w:val="412732FD"/>
    <w:rsid w:val="412D2A38"/>
    <w:rsid w:val="41387DDF"/>
    <w:rsid w:val="41434B73"/>
    <w:rsid w:val="41474664"/>
    <w:rsid w:val="416C5E78"/>
    <w:rsid w:val="418E2292"/>
    <w:rsid w:val="41BE18F4"/>
    <w:rsid w:val="4200449D"/>
    <w:rsid w:val="420C1409"/>
    <w:rsid w:val="420E5181"/>
    <w:rsid w:val="421E3839"/>
    <w:rsid w:val="4230334A"/>
    <w:rsid w:val="42324F5C"/>
    <w:rsid w:val="423A3BCC"/>
    <w:rsid w:val="424C5D66"/>
    <w:rsid w:val="424E57D2"/>
    <w:rsid w:val="42625A84"/>
    <w:rsid w:val="4271167E"/>
    <w:rsid w:val="42731488"/>
    <w:rsid w:val="427D6BF1"/>
    <w:rsid w:val="428471F1"/>
    <w:rsid w:val="4286740D"/>
    <w:rsid w:val="428C42F8"/>
    <w:rsid w:val="428E62C2"/>
    <w:rsid w:val="4292190E"/>
    <w:rsid w:val="429C09DF"/>
    <w:rsid w:val="42B26C49"/>
    <w:rsid w:val="43000F6E"/>
    <w:rsid w:val="43216835"/>
    <w:rsid w:val="432602A9"/>
    <w:rsid w:val="432F47B6"/>
    <w:rsid w:val="433230F1"/>
    <w:rsid w:val="433A6FE6"/>
    <w:rsid w:val="43421586"/>
    <w:rsid w:val="43430E64"/>
    <w:rsid w:val="43480868"/>
    <w:rsid w:val="4348746D"/>
    <w:rsid w:val="4350713C"/>
    <w:rsid w:val="435412BA"/>
    <w:rsid w:val="435A58FA"/>
    <w:rsid w:val="435E60F6"/>
    <w:rsid w:val="436653E0"/>
    <w:rsid w:val="43737FAC"/>
    <w:rsid w:val="4379487C"/>
    <w:rsid w:val="43AA1DD7"/>
    <w:rsid w:val="43B34232"/>
    <w:rsid w:val="43BC0A1A"/>
    <w:rsid w:val="43C4431A"/>
    <w:rsid w:val="43CA642F"/>
    <w:rsid w:val="43DE580C"/>
    <w:rsid w:val="43E02B4D"/>
    <w:rsid w:val="43E77A38"/>
    <w:rsid w:val="43EC14F2"/>
    <w:rsid w:val="43F90615"/>
    <w:rsid w:val="44055D98"/>
    <w:rsid w:val="44550E45"/>
    <w:rsid w:val="446B61D6"/>
    <w:rsid w:val="446B68BB"/>
    <w:rsid w:val="446C0F34"/>
    <w:rsid w:val="447461EC"/>
    <w:rsid w:val="4476700E"/>
    <w:rsid w:val="44775DE2"/>
    <w:rsid w:val="448C05DF"/>
    <w:rsid w:val="449450A2"/>
    <w:rsid w:val="44A92FC5"/>
    <w:rsid w:val="44AB4F09"/>
    <w:rsid w:val="44AF7030"/>
    <w:rsid w:val="44B179B7"/>
    <w:rsid w:val="44B951CC"/>
    <w:rsid w:val="44C935E1"/>
    <w:rsid w:val="44CD14E0"/>
    <w:rsid w:val="44D37FBC"/>
    <w:rsid w:val="44DE708D"/>
    <w:rsid w:val="44E156B8"/>
    <w:rsid w:val="44EB6D91"/>
    <w:rsid w:val="44F20B0B"/>
    <w:rsid w:val="44FC4FD6"/>
    <w:rsid w:val="45034D69"/>
    <w:rsid w:val="451F76A5"/>
    <w:rsid w:val="452627E2"/>
    <w:rsid w:val="452E5F4C"/>
    <w:rsid w:val="45474CD1"/>
    <w:rsid w:val="454D5FC1"/>
    <w:rsid w:val="45612018"/>
    <w:rsid w:val="4573762A"/>
    <w:rsid w:val="4575131D"/>
    <w:rsid w:val="45774DEB"/>
    <w:rsid w:val="45793E0E"/>
    <w:rsid w:val="457E261E"/>
    <w:rsid w:val="45833617"/>
    <w:rsid w:val="458946E9"/>
    <w:rsid w:val="45A47C0E"/>
    <w:rsid w:val="45D95AA6"/>
    <w:rsid w:val="45EC3A2B"/>
    <w:rsid w:val="45F20D2F"/>
    <w:rsid w:val="45F4468E"/>
    <w:rsid w:val="45FE72BB"/>
    <w:rsid w:val="460674A4"/>
    <w:rsid w:val="46577FD6"/>
    <w:rsid w:val="46593F5D"/>
    <w:rsid w:val="465B470D"/>
    <w:rsid w:val="466F1003"/>
    <w:rsid w:val="46885927"/>
    <w:rsid w:val="469B2D5C"/>
    <w:rsid w:val="46BE64B0"/>
    <w:rsid w:val="46D15567"/>
    <w:rsid w:val="46D63D94"/>
    <w:rsid w:val="46D955A7"/>
    <w:rsid w:val="46DA6ABA"/>
    <w:rsid w:val="46DB13AA"/>
    <w:rsid w:val="47035D6E"/>
    <w:rsid w:val="47080D12"/>
    <w:rsid w:val="470923BB"/>
    <w:rsid w:val="47133957"/>
    <w:rsid w:val="47150D60"/>
    <w:rsid w:val="471D091C"/>
    <w:rsid w:val="47215957"/>
    <w:rsid w:val="4740402F"/>
    <w:rsid w:val="4740673B"/>
    <w:rsid w:val="474E655E"/>
    <w:rsid w:val="47517078"/>
    <w:rsid w:val="4755140A"/>
    <w:rsid w:val="4760647F"/>
    <w:rsid w:val="477C6B53"/>
    <w:rsid w:val="479223B1"/>
    <w:rsid w:val="47961EA1"/>
    <w:rsid w:val="479E2B03"/>
    <w:rsid w:val="47A07E0C"/>
    <w:rsid w:val="47A65651"/>
    <w:rsid w:val="47A82317"/>
    <w:rsid w:val="47B20D1A"/>
    <w:rsid w:val="47B642F1"/>
    <w:rsid w:val="47BB36B5"/>
    <w:rsid w:val="47C3256A"/>
    <w:rsid w:val="47DD06C2"/>
    <w:rsid w:val="47DE1660"/>
    <w:rsid w:val="47ED3A8B"/>
    <w:rsid w:val="47F17FC8"/>
    <w:rsid w:val="480542FE"/>
    <w:rsid w:val="48086415"/>
    <w:rsid w:val="4813099A"/>
    <w:rsid w:val="482D69B4"/>
    <w:rsid w:val="482F19AD"/>
    <w:rsid w:val="4870272E"/>
    <w:rsid w:val="48710218"/>
    <w:rsid w:val="4876000D"/>
    <w:rsid w:val="48877E2D"/>
    <w:rsid w:val="48AA4D31"/>
    <w:rsid w:val="48B14AB8"/>
    <w:rsid w:val="48CB5887"/>
    <w:rsid w:val="48D03190"/>
    <w:rsid w:val="48F13107"/>
    <w:rsid w:val="49103FC0"/>
    <w:rsid w:val="49284D7B"/>
    <w:rsid w:val="49290AF3"/>
    <w:rsid w:val="496B2DEF"/>
    <w:rsid w:val="49883A6B"/>
    <w:rsid w:val="49AF2130"/>
    <w:rsid w:val="49D00F6E"/>
    <w:rsid w:val="49DC7715"/>
    <w:rsid w:val="49EE6CD1"/>
    <w:rsid w:val="49F90946"/>
    <w:rsid w:val="4A023139"/>
    <w:rsid w:val="4A1B668D"/>
    <w:rsid w:val="4A36413A"/>
    <w:rsid w:val="4A4C4A99"/>
    <w:rsid w:val="4A633B90"/>
    <w:rsid w:val="4A685366"/>
    <w:rsid w:val="4A69564B"/>
    <w:rsid w:val="4A695CE9"/>
    <w:rsid w:val="4A783D80"/>
    <w:rsid w:val="4A7B576F"/>
    <w:rsid w:val="4A9D2055"/>
    <w:rsid w:val="4AA46683"/>
    <w:rsid w:val="4AB16FF2"/>
    <w:rsid w:val="4ABA4870"/>
    <w:rsid w:val="4AC705C3"/>
    <w:rsid w:val="4ACE3700"/>
    <w:rsid w:val="4AD131F0"/>
    <w:rsid w:val="4AE61FD9"/>
    <w:rsid w:val="4AF550ED"/>
    <w:rsid w:val="4AF561A9"/>
    <w:rsid w:val="4AFD3FE5"/>
    <w:rsid w:val="4B007631"/>
    <w:rsid w:val="4B0233A9"/>
    <w:rsid w:val="4B3C643F"/>
    <w:rsid w:val="4B3D6AD7"/>
    <w:rsid w:val="4B425E94"/>
    <w:rsid w:val="4B53630D"/>
    <w:rsid w:val="4B5452DF"/>
    <w:rsid w:val="4B55797D"/>
    <w:rsid w:val="4B5A712B"/>
    <w:rsid w:val="4B645E12"/>
    <w:rsid w:val="4B6F20E6"/>
    <w:rsid w:val="4B834443"/>
    <w:rsid w:val="4B8F50B8"/>
    <w:rsid w:val="4B920F18"/>
    <w:rsid w:val="4BB260DE"/>
    <w:rsid w:val="4BBA3C84"/>
    <w:rsid w:val="4BBC5C4E"/>
    <w:rsid w:val="4BC36FDC"/>
    <w:rsid w:val="4BEF7DD1"/>
    <w:rsid w:val="4C013661"/>
    <w:rsid w:val="4C0B2731"/>
    <w:rsid w:val="4C15535E"/>
    <w:rsid w:val="4C235CCD"/>
    <w:rsid w:val="4C365A00"/>
    <w:rsid w:val="4C40066C"/>
    <w:rsid w:val="4C4A0649"/>
    <w:rsid w:val="4C4C5224"/>
    <w:rsid w:val="4C516396"/>
    <w:rsid w:val="4C563ECE"/>
    <w:rsid w:val="4C5D709C"/>
    <w:rsid w:val="4C6D6F48"/>
    <w:rsid w:val="4C746529"/>
    <w:rsid w:val="4C756ED3"/>
    <w:rsid w:val="4C7E5ECA"/>
    <w:rsid w:val="4C876AA5"/>
    <w:rsid w:val="4C92075D"/>
    <w:rsid w:val="4CB30DFF"/>
    <w:rsid w:val="4CC44A4F"/>
    <w:rsid w:val="4CCC31EB"/>
    <w:rsid w:val="4CDC3ABD"/>
    <w:rsid w:val="4CED056F"/>
    <w:rsid w:val="4CEE0089"/>
    <w:rsid w:val="4CF11E01"/>
    <w:rsid w:val="4D027691"/>
    <w:rsid w:val="4D0E00FB"/>
    <w:rsid w:val="4D0E6A50"/>
    <w:rsid w:val="4D176606"/>
    <w:rsid w:val="4D1D6555"/>
    <w:rsid w:val="4D3B2BA3"/>
    <w:rsid w:val="4D44414D"/>
    <w:rsid w:val="4D4C59B5"/>
    <w:rsid w:val="4D5D0BAF"/>
    <w:rsid w:val="4D6640C3"/>
    <w:rsid w:val="4D7A36CB"/>
    <w:rsid w:val="4D812AEE"/>
    <w:rsid w:val="4D8409ED"/>
    <w:rsid w:val="4D9F3131"/>
    <w:rsid w:val="4DB72B71"/>
    <w:rsid w:val="4DDC25D7"/>
    <w:rsid w:val="4DDE110F"/>
    <w:rsid w:val="4DEC4FB0"/>
    <w:rsid w:val="4DF523A6"/>
    <w:rsid w:val="4E075D8A"/>
    <w:rsid w:val="4E1D67DC"/>
    <w:rsid w:val="4E223A1D"/>
    <w:rsid w:val="4E5C1022"/>
    <w:rsid w:val="4E5E3241"/>
    <w:rsid w:val="4E7B76FB"/>
    <w:rsid w:val="4EBC01AF"/>
    <w:rsid w:val="4EC00FAD"/>
    <w:rsid w:val="4ED137BE"/>
    <w:rsid w:val="4ED84B4D"/>
    <w:rsid w:val="4EDA07B4"/>
    <w:rsid w:val="4EF31987"/>
    <w:rsid w:val="4F043B94"/>
    <w:rsid w:val="4F195165"/>
    <w:rsid w:val="4F2066D0"/>
    <w:rsid w:val="4F360202"/>
    <w:rsid w:val="4F3D70A6"/>
    <w:rsid w:val="4F44293C"/>
    <w:rsid w:val="4F6C1739"/>
    <w:rsid w:val="4F7D6837"/>
    <w:rsid w:val="4F8B1BBF"/>
    <w:rsid w:val="4F9843DC"/>
    <w:rsid w:val="4FAB7A87"/>
    <w:rsid w:val="4FC62A8C"/>
    <w:rsid w:val="4FD56BB1"/>
    <w:rsid w:val="4FE20F0D"/>
    <w:rsid w:val="4FE51552"/>
    <w:rsid w:val="4FE94B38"/>
    <w:rsid w:val="50011E81"/>
    <w:rsid w:val="50067C12"/>
    <w:rsid w:val="500C10C1"/>
    <w:rsid w:val="500E459E"/>
    <w:rsid w:val="501C6CBB"/>
    <w:rsid w:val="50203FF1"/>
    <w:rsid w:val="50237773"/>
    <w:rsid w:val="502F4C40"/>
    <w:rsid w:val="502F5D8C"/>
    <w:rsid w:val="50406E4E"/>
    <w:rsid w:val="504C214F"/>
    <w:rsid w:val="50504C4B"/>
    <w:rsid w:val="505843D2"/>
    <w:rsid w:val="505A4E4D"/>
    <w:rsid w:val="50616DC4"/>
    <w:rsid w:val="50854279"/>
    <w:rsid w:val="509B64B2"/>
    <w:rsid w:val="509C6E7C"/>
    <w:rsid w:val="50B52C6C"/>
    <w:rsid w:val="50D94BAC"/>
    <w:rsid w:val="50DB705E"/>
    <w:rsid w:val="50DD23FB"/>
    <w:rsid w:val="50F81776"/>
    <w:rsid w:val="51024103"/>
    <w:rsid w:val="51191F35"/>
    <w:rsid w:val="5153670D"/>
    <w:rsid w:val="5162104E"/>
    <w:rsid w:val="517A37CC"/>
    <w:rsid w:val="518B66FF"/>
    <w:rsid w:val="51941E0B"/>
    <w:rsid w:val="51956D25"/>
    <w:rsid w:val="51BC6F0F"/>
    <w:rsid w:val="51CE0489"/>
    <w:rsid w:val="51D610EC"/>
    <w:rsid w:val="51E71B9C"/>
    <w:rsid w:val="51EB2DE9"/>
    <w:rsid w:val="51EC1BD3"/>
    <w:rsid w:val="51F162B1"/>
    <w:rsid w:val="52043EAB"/>
    <w:rsid w:val="520619D1"/>
    <w:rsid w:val="520B2E8D"/>
    <w:rsid w:val="520D7203"/>
    <w:rsid w:val="52151C14"/>
    <w:rsid w:val="521B6489"/>
    <w:rsid w:val="522105B9"/>
    <w:rsid w:val="52263E21"/>
    <w:rsid w:val="524C3BDA"/>
    <w:rsid w:val="526A6404"/>
    <w:rsid w:val="527032EE"/>
    <w:rsid w:val="5272350A"/>
    <w:rsid w:val="527414FE"/>
    <w:rsid w:val="5283454F"/>
    <w:rsid w:val="52A02732"/>
    <w:rsid w:val="52A03BD4"/>
    <w:rsid w:val="52B4767F"/>
    <w:rsid w:val="52B70F1D"/>
    <w:rsid w:val="52B729E6"/>
    <w:rsid w:val="52CF270B"/>
    <w:rsid w:val="53000B16"/>
    <w:rsid w:val="5305612D"/>
    <w:rsid w:val="530D05A7"/>
    <w:rsid w:val="53285BE5"/>
    <w:rsid w:val="532F6D06"/>
    <w:rsid w:val="533B3458"/>
    <w:rsid w:val="533D4589"/>
    <w:rsid w:val="53504404"/>
    <w:rsid w:val="53545FFA"/>
    <w:rsid w:val="536E5A80"/>
    <w:rsid w:val="537A2677"/>
    <w:rsid w:val="538967B2"/>
    <w:rsid w:val="53962412"/>
    <w:rsid w:val="53A039CC"/>
    <w:rsid w:val="53A1505A"/>
    <w:rsid w:val="53A414A2"/>
    <w:rsid w:val="53AC0356"/>
    <w:rsid w:val="53B042EA"/>
    <w:rsid w:val="53E47AF0"/>
    <w:rsid w:val="53F11E25"/>
    <w:rsid w:val="53F817ED"/>
    <w:rsid w:val="53F9578E"/>
    <w:rsid w:val="54063E08"/>
    <w:rsid w:val="540A5398"/>
    <w:rsid w:val="541E4343"/>
    <w:rsid w:val="54224ABC"/>
    <w:rsid w:val="543437E8"/>
    <w:rsid w:val="543C16DA"/>
    <w:rsid w:val="54436F0C"/>
    <w:rsid w:val="544D38E7"/>
    <w:rsid w:val="54574A01"/>
    <w:rsid w:val="546B6463"/>
    <w:rsid w:val="54A11E85"/>
    <w:rsid w:val="54A31C4C"/>
    <w:rsid w:val="54A60BFF"/>
    <w:rsid w:val="54C2380D"/>
    <w:rsid w:val="54EA382C"/>
    <w:rsid w:val="54EF499E"/>
    <w:rsid w:val="54F73313"/>
    <w:rsid w:val="54F80955"/>
    <w:rsid w:val="54FE1085"/>
    <w:rsid w:val="55012924"/>
    <w:rsid w:val="5539030F"/>
    <w:rsid w:val="554747DA"/>
    <w:rsid w:val="555170A7"/>
    <w:rsid w:val="5563538C"/>
    <w:rsid w:val="556829A3"/>
    <w:rsid w:val="556E620B"/>
    <w:rsid w:val="5587536D"/>
    <w:rsid w:val="55933E69"/>
    <w:rsid w:val="559B174B"/>
    <w:rsid w:val="55A25CD9"/>
    <w:rsid w:val="55A57753"/>
    <w:rsid w:val="55CE0CF4"/>
    <w:rsid w:val="56010E2D"/>
    <w:rsid w:val="56116B96"/>
    <w:rsid w:val="56336B0D"/>
    <w:rsid w:val="563B5477"/>
    <w:rsid w:val="56440D1A"/>
    <w:rsid w:val="565A053D"/>
    <w:rsid w:val="56821842"/>
    <w:rsid w:val="56876E58"/>
    <w:rsid w:val="568B4B9B"/>
    <w:rsid w:val="56B22A9C"/>
    <w:rsid w:val="56B55774"/>
    <w:rsid w:val="56C134B9"/>
    <w:rsid w:val="56C62E14"/>
    <w:rsid w:val="56CD0D0F"/>
    <w:rsid w:val="56D51C18"/>
    <w:rsid w:val="56F00EA2"/>
    <w:rsid w:val="570C5CDB"/>
    <w:rsid w:val="5710681C"/>
    <w:rsid w:val="573214BA"/>
    <w:rsid w:val="575C02E5"/>
    <w:rsid w:val="57711FE2"/>
    <w:rsid w:val="57770C7B"/>
    <w:rsid w:val="577E200A"/>
    <w:rsid w:val="57827D4C"/>
    <w:rsid w:val="578810DA"/>
    <w:rsid w:val="579B3D40"/>
    <w:rsid w:val="57B72A76"/>
    <w:rsid w:val="57C3426C"/>
    <w:rsid w:val="57C40364"/>
    <w:rsid w:val="57CE1F93"/>
    <w:rsid w:val="57F40CD0"/>
    <w:rsid w:val="58097470"/>
    <w:rsid w:val="580A1AEF"/>
    <w:rsid w:val="580E7831"/>
    <w:rsid w:val="58247055"/>
    <w:rsid w:val="5835250E"/>
    <w:rsid w:val="58370D38"/>
    <w:rsid w:val="583B7EFB"/>
    <w:rsid w:val="58491876"/>
    <w:rsid w:val="584C035A"/>
    <w:rsid w:val="584F7F60"/>
    <w:rsid w:val="588418A2"/>
    <w:rsid w:val="58844C3D"/>
    <w:rsid w:val="588743D1"/>
    <w:rsid w:val="5887701A"/>
    <w:rsid w:val="588D4BFA"/>
    <w:rsid w:val="5895292F"/>
    <w:rsid w:val="58DE5456"/>
    <w:rsid w:val="58E06213"/>
    <w:rsid w:val="58E22101"/>
    <w:rsid w:val="58EF1411"/>
    <w:rsid w:val="58F5454D"/>
    <w:rsid w:val="5915699E"/>
    <w:rsid w:val="5919648E"/>
    <w:rsid w:val="59217B40"/>
    <w:rsid w:val="593F1DBC"/>
    <w:rsid w:val="59564FC1"/>
    <w:rsid w:val="596A0A97"/>
    <w:rsid w:val="59710078"/>
    <w:rsid w:val="59723DF0"/>
    <w:rsid w:val="597436C4"/>
    <w:rsid w:val="597E610F"/>
    <w:rsid w:val="599A4DDB"/>
    <w:rsid w:val="59AB1EEB"/>
    <w:rsid w:val="59B4078E"/>
    <w:rsid w:val="59B77A55"/>
    <w:rsid w:val="59C0439F"/>
    <w:rsid w:val="59D339F0"/>
    <w:rsid w:val="59DC100D"/>
    <w:rsid w:val="59EE16C8"/>
    <w:rsid w:val="5A025174"/>
    <w:rsid w:val="5A070CCB"/>
    <w:rsid w:val="5A26772E"/>
    <w:rsid w:val="5A355A42"/>
    <w:rsid w:val="5A494D86"/>
    <w:rsid w:val="5A5906B0"/>
    <w:rsid w:val="5A5A0B0C"/>
    <w:rsid w:val="5A5A4FB0"/>
    <w:rsid w:val="5A6C4CE3"/>
    <w:rsid w:val="5A6E45B7"/>
    <w:rsid w:val="5AA63D51"/>
    <w:rsid w:val="5ABE2233"/>
    <w:rsid w:val="5ACD39D4"/>
    <w:rsid w:val="5ACE5056"/>
    <w:rsid w:val="5AD71C43"/>
    <w:rsid w:val="5AED7A02"/>
    <w:rsid w:val="5AF42587"/>
    <w:rsid w:val="5AF64B0A"/>
    <w:rsid w:val="5B056A50"/>
    <w:rsid w:val="5B332973"/>
    <w:rsid w:val="5B40505E"/>
    <w:rsid w:val="5B4F263B"/>
    <w:rsid w:val="5B61236E"/>
    <w:rsid w:val="5B751975"/>
    <w:rsid w:val="5B8F0C89"/>
    <w:rsid w:val="5BB029AE"/>
    <w:rsid w:val="5BB046AB"/>
    <w:rsid w:val="5BDE751B"/>
    <w:rsid w:val="5BDF5D95"/>
    <w:rsid w:val="5BEA5669"/>
    <w:rsid w:val="5BEF2740"/>
    <w:rsid w:val="5BFE7528"/>
    <w:rsid w:val="5C1C68C8"/>
    <w:rsid w:val="5C1F025F"/>
    <w:rsid w:val="5C2E2250"/>
    <w:rsid w:val="5C366A56"/>
    <w:rsid w:val="5C392920"/>
    <w:rsid w:val="5C557765"/>
    <w:rsid w:val="5C5679F9"/>
    <w:rsid w:val="5C593045"/>
    <w:rsid w:val="5C6C4B26"/>
    <w:rsid w:val="5C6E089F"/>
    <w:rsid w:val="5C743411"/>
    <w:rsid w:val="5C910A31"/>
    <w:rsid w:val="5CD34BA6"/>
    <w:rsid w:val="5CD460C1"/>
    <w:rsid w:val="5CFF3BED"/>
    <w:rsid w:val="5D06302E"/>
    <w:rsid w:val="5D0B07E3"/>
    <w:rsid w:val="5D1761F3"/>
    <w:rsid w:val="5D1A6C78"/>
    <w:rsid w:val="5D1D4073"/>
    <w:rsid w:val="5D213B63"/>
    <w:rsid w:val="5D215911"/>
    <w:rsid w:val="5D253F74"/>
    <w:rsid w:val="5D2B43BC"/>
    <w:rsid w:val="5D504448"/>
    <w:rsid w:val="5D715850"/>
    <w:rsid w:val="5D735E6C"/>
    <w:rsid w:val="5D755C5D"/>
    <w:rsid w:val="5D7C523D"/>
    <w:rsid w:val="5D973E25"/>
    <w:rsid w:val="5D9C768D"/>
    <w:rsid w:val="5DAD18E5"/>
    <w:rsid w:val="5DC307FA"/>
    <w:rsid w:val="5DF50B4C"/>
    <w:rsid w:val="5DFB43B4"/>
    <w:rsid w:val="5E082F75"/>
    <w:rsid w:val="5E0A5CF8"/>
    <w:rsid w:val="5E197728"/>
    <w:rsid w:val="5E20206C"/>
    <w:rsid w:val="5E2467F1"/>
    <w:rsid w:val="5E84365A"/>
    <w:rsid w:val="5E93283E"/>
    <w:rsid w:val="5E9B51F7"/>
    <w:rsid w:val="5E9F7435"/>
    <w:rsid w:val="5EB86749"/>
    <w:rsid w:val="5EBD78BB"/>
    <w:rsid w:val="5EE66E12"/>
    <w:rsid w:val="5EFF7ED4"/>
    <w:rsid w:val="5F032DEC"/>
    <w:rsid w:val="5F1A2B43"/>
    <w:rsid w:val="5F225ABD"/>
    <w:rsid w:val="5F245B8C"/>
    <w:rsid w:val="5F465B03"/>
    <w:rsid w:val="5F555D46"/>
    <w:rsid w:val="5F812499"/>
    <w:rsid w:val="5F8A5D47"/>
    <w:rsid w:val="5F8B5C0B"/>
    <w:rsid w:val="5FB0088B"/>
    <w:rsid w:val="5FB42CE6"/>
    <w:rsid w:val="5FB60C32"/>
    <w:rsid w:val="5FB641C3"/>
    <w:rsid w:val="5FB837BB"/>
    <w:rsid w:val="5FBF7663"/>
    <w:rsid w:val="5FCB0F15"/>
    <w:rsid w:val="603943E8"/>
    <w:rsid w:val="60716BAF"/>
    <w:rsid w:val="60944B00"/>
    <w:rsid w:val="609805E0"/>
    <w:rsid w:val="60A52614"/>
    <w:rsid w:val="60B66CA1"/>
    <w:rsid w:val="60C969EB"/>
    <w:rsid w:val="60CC405A"/>
    <w:rsid w:val="60D23403"/>
    <w:rsid w:val="60E74791"/>
    <w:rsid w:val="61073070"/>
    <w:rsid w:val="612147E3"/>
    <w:rsid w:val="61355E2F"/>
    <w:rsid w:val="61693C8A"/>
    <w:rsid w:val="61881C02"/>
    <w:rsid w:val="619F599E"/>
    <w:rsid w:val="61AA2758"/>
    <w:rsid w:val="61AC2B03"/>
    <w:rsid w:val="61B825BC"/>
    <w:rsid w:val="61CA2054"/>
    <w:rsid w:val="61E215D8"/>
    <w:rsid w:val="61E82692"/>
    <w:rsid w:val="61F41846"/>
    <w:rsid w:val="621B3775"/>
    <w:rsid w:val="622637C5"/>
    <w:rsid w:val="62364782"/>
    <w:rsid w:val="623A512E"/>
    <w:rsid w:val="623C31ED"/>
    <w:rsid w:val="62685514"/>
    <w:rsid w:val="626D33A6"/>
    <w:rsid w:val="62747A70"/>
    <w:rsid w:val="62797F9D"/>
    <w:rsid w:val="6296706C"/>
    <w:rsid w:val="6297662A"/>
    <w:rsid w:val="62AF39BF"/>
    <w:rsid w:val="62B56907"/>
    <w:rsid w:val="62BE1E54"/>
    <w:rsid w:val="62D11B87"/>
    <w:rsid w:val="62E713AB"/>
    <w:rsid w:val="62F23F48"/>
    <w:rsid w:val="62F24B90"/>
    <w:rsid w:val="62F34242"/>
    <w:rsid w:val="63182FEF"/>
    <w:rsid w:val="631A0987"/>
    <w:rsid w:val="632A628A"/>
    <w:rsid w:val="6347009B"/>
    <w:rsid w:val="63690012"/>
    <w:rsid w:val="63827325"/>
    <w:rsid w:val="6394356A"/>
    <w:rsid w:val="63A46EF2"/>
    <w:rsid w:val="63A63014"/>
    <w:rsid w:val="63A80D4A"/>
    <w:rsid w:val="63BF5E84"/>
    <w:rsid w:val="63C61B2C"/>
    <w:rsid w:val="63D40BE9"/>
    <w:rsid w:val="63D731CD"/>
    <w:rsid w:val="63E458E8"/>
    <w:rsid w:val="63F83144"/>
    <w:rsid w:val="63FC0134"/>
    <w:rsid w:val="64013788"/>
    <w:rsid w:val="640146EE"/>
    <w:rsid w:val="64033FC2"/>
    <w:rsid w:val="640D3093"/>
    <w:rsid w:val="64102431"/>
    <w:rsid w:val="641C0181"/>
    <w:rsid w:val="64216B3E"/>
    <w:rsid w:val="642E7722"/>
    <w:rsid w:val="64414AEB"/>
    <w:rsid w:val="646D768E"/>
    <w:rsid w:val="64760C38"/>
    <w:rsid w:val="64882719"/>
    <w:rsid w:val="648A4342"/>
    <w:rsid w:val="648E0390"/>
    <w:rsid w:val="64A5243A"/>
    <w:rsid w:val="64A62BA0"/>
    <w:rsid w:val="64B27D9B"/>
    <w:rsid w:val="64B715AC"/>
    <w:rsid w:val="64BE61B5"/>
    <w:rsid w:val="64D4770D"/>
    <w:rsid w:val="64D87C17"/>
    <w:rsid w:val="64E262CE"/>
    <w:rsid w:val="64EC06E2"/>
    <w:rsid w:val="64F531DE"/>
    <w:rsid w:val="65037FF2"/>
    <w:rsid w:val="65046244"/>
    <w:rsid w:val="650A312E"/>
    <w:rsid w:val="653528A1"/>
    <w:rsid w:val="65373578"/>
    <w:rsid w:val="653B778C"/>
    <w:rsid w:val="6546685C"/>
    <w:rsid w:val="65817895"/>
    <w:rsid w:val="6587477F"/>
    <w:rsid w:val="658B24C1"/>
    <w:rsid w:val="65982872"/>
    <w:rsid w:val="659A6BA8"/>
    <w:rsid w:val="65B3649A"/>
    <w:rsid w:val="65B5753E"/>
    <w:rsid w:val="65B87FA0"/>
    <w:rsid w:val="65BF216B"/>
    <w:rsid w:val="65D33E68"/>
    <w:rsid w:val="65D87976"/>
    <w:rsid w:val="65E14B73"/>
    <w:rsid w:val="65E163CC"/>
    <w:rsid w:val="65E24F49"/>
    <w:rsid w:val="65EB2F60"/>
    <w:rsid w:val="65F53DDF"/>
    <w:rsid w:val="65FE0EE5"/>
    <w:rsid w:val="661A6960"/>
    <w:rsid w:val="663E5786"/>
    <w:rsid w:val="6640264D"/>
    <w:rsid w:val="6656448E"/>
    <w:rsid w:val="66612AFE"/>
    <w:rsid w:val="66613222"/>
    <w:rsid w:val="666A5D16"/>
    <w:rsid w:val="666E427B"/>
    <w:rsid w:val="667473F9"/>
    <w:rsid w:val="667C0D9B"/>
    <w:rsid w:val="66811B16"/>
    <w:rsid w:val="668A4527"/>
    <w:rsid w:val="66A016B9"/>
    <w:rsid w:val="66A15D14"/>
    <w:rsid w:val="66A51361"/>
    <w:rsid w:val="66AA20F9"/>
    <w:rsid w:val="66AD290B"/>
    <w:rsid w:val="66B61C28"/>
    <w:rsid w:val="66BC66AA"/>
    <w:rsid w:val="66CA1787"/>
    <w:rsid w:val="66CB2414"/>
    <w:rsid w:val="66E63727"/>
    <w:rsid w:val="66E70330"/>
    <w:rsid w:val="66F04290"/>
    <w:rsid w:val="670C5884"/>
    <w:rsid w:val="671B1623"/>
    <w:rsid w:val="671F124A"/>
    <w:rsid w:val="67462C8B"/>
    <w:rsid w:val="677A33C6"/>
    <w:rsid w:val="67A45B43"/>
    <w:rsid w:val="67A4786A"/>
    <w:rsid w:val="67A755AC"/>
    <w:rsid w:val="67BF6452"/>
    <w:rsid w:val="67D14378"/>
    <w:rsid w:val="67E4410B"/>
    <w:rsid w:val="67E92CE5"/>
    <w:rsid w:val="68092F51"/>
    <w:rsid w:val="680E73DA"/>
    <w:rsid w:val="68176DEC"/>
    <w:rsid w:val="681C38A5"/>
    <w:rsid w:val="681F6961"/>
    <w:rsid w:val="682D4F2F"/>
    <w:rsid w:val="684C30B4"/>
    <w:rsid w:val="68610A2F"/>
    <w:rsid w:val="68681EE3"/>
    <w:rsid w:val="68805514"/>
    <w:rsid w:val="688431F8"/>
    <w:rsid w:val="68955405"/>
    <w:rsid w:val="68A815DC"/>
    <w:rsid w:val="68AB7066"/>
    <w:rsid w:val="68D4417F"/>
    <w:rsid w:val="68DC3034"/>
    <w:rsid w:val="68E819D9"/>
    <w:rsid w:val="68EC06AA"/>
    <w:rsid w:val="692C5D69"/>
    <w:rsid w:val="69316E2F"/>
    <w:rsid w:val="6933534A"/>
    <w:rsid w:val="694E2071"/>
    <w:rsid w:val="695A25BD"/>
    <w:rsid w:val="69603C65"/>
    <w:rsid w:val="69676DA1"/>
    <w:rsid w:val="69766163"/>
    <w:rsid w:val="697A3B33"/>
    <w:rsid w:val="69D118EF"/>
    <w:rsid w:val="69D44760"/>
    <w:rsid w:val="69FB6C4A"/>
    <w:rsid w:val="6A0C7949"/>
    <w:rsid w:val="6A364619"/>
    <w:rsid w:val="6A4B0471"/>
    <w:rsid w:val="6A520EC7"/>
    <w:rsid w:val="6A58340D"/>
    <w:rsid w:val="6A7B243E"/>
    <w:rsid w:val="6A8219B9"/>
    <w:rsid w:val="6A843983"/>
    <w:rsid w:val="6A892C36"/>
    <w:rsid w:val="6AA87C08"/>
    <w:rsid w:val="6AB630E4"/>
    <w:rsid w:val="6AC10733"/>
    <w:rsid w:val="6AC65D4A"/>
    <w:rsid w:val="6AD22940"/>
    <w:rsid w:val="6AF208ED"/>
    <w:rsid w:val="6AF87E20"/>
    <w:rsid w:val="6B15282D"/>
    <w:rsid w:val="6B217424"/>
    <w:rsid w:val="6B322639"/>
    <w:rsid w:val="6B4F3F91"/>
    <w:rsid w:val="6B547AC3"/>
    <w:rsid w:val="6B573AF3"/>
    <w:rsid w:val="6B6251AF"/>
    <w:rsid w:val="6B6932A5"/>
    <w:rsid w:val="6B735ED1"/>
    <w:rsid w:val="6B947BF6"/>
    <w:rsid w:val="6B956C06"/>
    <w:rsid w:val="6BA41DC0"/>
    <w:rsid w:val="6BB405F4"/>
    <w:rsid w:val="6BBD539F"/>
    <w:rsid w:val="6BD10B8D"/>
    <w:rsid w:val="6BD36970"/>
    <w:rsid w:val="6BD72DB0"/>
    <w:rsid w:val="6BD90EEB"/>
    <w:rsid w:val="6BDF70C3"/>
    <w:rsid w:val="6BE272A9"/>
    <w:rsid w:val="6BEF47FD"/>
    <w:rsid w:val="6BF3491C"/>
    <w:rsid w:val="6BFB5EC7"/>
    <w:rsid w:val="6C0E5BFA"/>
    <w:rsid w:val="6C112D58"/>
    <w:rsid w:val="6C1256EA"/>
    <w:rsid w:val="6C186A79"/>
    <w:rsid w:val="6C2373DC"/>
    <w:rsid w:val="6C5001CC"/>
    <w:rsid w:val="6C613F7C"/>
    <w:rsid w:val="6C636C38"/>
    <w:rsid w:val="6C714AE5"/>
    <w:rsid w:val="6C727F37"/>
    <w:rsid w:val="6C7B05E2"/>
    <w:rsid w:val="6CA92C27"/>
    <w:rsid w:val="6CC30793"/>
    <w:rsid w:val="6CCB4D19"/>
    <w:rsid w:val="6CCF5389"/>
    <w:rsid w:val="6CD356B6"/>
    <w:rsid w:val="6CE66A13"/>
    <w:rsid w:val="6D033285"/>
    <w:rsid w:val="6D0668D1"/>
    <w:rsid w:val="6D0936FF"/>
    <w:rsid w:val="6D176091"/>
    <w:rsid w:val="6D342CCC"/>
    <w:rsid w:val="6D394EF9"/>
    <w:rsid w:val="6D5E04BB"/>
    <w:rsid w:val="6D6D06FE"/>
    <w:rsid w:val="6D714C37"/>
    <w:rsid w:val="6D7777CF"/>
    <w:rsid w:val="6D793547"/>
    <w:rsid w:val="6D8C0420"/>
    <w:rsid w:val="6D995997"/>
    <w:rsid w:val="6DB34098"/>
    <w:rsid w:val="6DB545B6"/>
    <w:rsid w:val="6DB77BCC"/>
    <w:rsid w:val="6DBB76BC"/>
    <w:rsid w:val="6DBC33AB"/>
    <w:rsid w:val="6DC72505"/>
    <w:rsid w:val="6DD644F6"/>
    <w:rsid w:val="6DE02FB4"/>
    <w:rsid w:val="6DE76703"/>
    <w:rsid w:val="6DEA1D4F"/>
    <w:rsid w:val="6DF80910"/>
    <w:rsid w:val="6DFA4688"/>
    <w:rsid w:val="6E080427"/>
    <w:rsid w:val="6E0E0133"/>
    <w:rsid w:val="6E2A65EF"/>
    <w:rsid w:val="6E393DD6"/>
    <w:rsid w:val="6E4B4EE4"/>
    <w:rsid w:val="6E514CED"/>
    <w:rsid w:val="6E573888"/>
    <w:rsid w:val="6E7855AD"/>
    <w:rsid w:val="6E7B47DB"/>
    <w:rsid w:val="6E7C32EF"/>
    <w:rsid w:val="6E865F1C"/>
    <w:rsid w:val="6E921CAE"/>
    <w:rsid w:val="6E9404C0"/>
    <w:rsid w:val="6E9A79E9"/>
    <w:rsid w:val="6E9F0D8B"/>
    <w:rsid w:val="6EAC5256"/>
    <w:rsid w:val="6EB234C5"/>
    <w:rsid w:val="6EB563D5"/>
    <w:rsid w:val="6EBD0F25"/>
    <w:rsid w:val="6ECB7DD2"/>
    <w:rsid w:val="6ECC3702"/>
    <w:rsid w:val="6ED92677"/>
    <w:rsid w:val="6EDA1DC4"/>
    <w:rsid w:val="6EDD3662"/>
    <w:rsid w:val="6EFC61DE"/>
    <w:rsid w:val="6EFF5CCE"/>
    <w:rsid w:val="6F0E6B0E"/>
    <w:rsid w:val="6F143527"/>
    <w:rsid w:val="6F225983"/>
    <w:rsid w:val="6F2A3B95"/>
    <w:rsid w:val="6F2B6AC3"/>
    <w:rsid w:val="6F616041"/>
    <w:rsid w:val="6F667AFB"/>
    <w:rsid w:val="6F6A0F1A"/>
    <w:rsid w:val="6F891E77"/>
    <w:rsid w:val="6F8A09AF"/>
    <w:rsid w:val="6FAC7C04"/>
    <w:rsid w:val="6FB504F7"/>
    <w:rsid w:val="6FE4739E"/>
    <w:rsid w:val="6FFA2C86"/>
    <w:rsid w:val="6FFC5590"/>
    <w:rsid w:val="6FFF26AD"/>
    <w:rsid w:val="70113542"/>
    <w:rsid w:val="70222181"/>
    <w:rsid w:val="703F2826"/>
    <w:rsid w:val="704B1666"/>
    <w:rsid w:val="704E2A69"/>
    <w:rsid w:val="706D1DD0"/>
    <w:rsid w:val="707120B4"/>
    <w:rsid w:val="70733469"/>
    <w:rsid w:val="70856B87"/>
    <w:rsid w:val="70966212"/>
    <w:rsid w:val="70A408DB"/>
    <w:rsid w:val="70AA3CDC"/>
    <w:rsid w:val="70B2124A"/>
    <w:rsid w:val="70B76860"/>
    <w:rsid w:val="70C44AD9"/>
    <w:rsid w:val="70CC1BE0"/>
    <w:rsid w:val="70D04C58"/>
    <w:rsid w:val="70D2143C"/>
    <w:rsid w:val="70D527EE"/>
    <w:rsid w:val="70D7003D"/>
    <w:rsid w:val="70D80585"/>
    <w:rsid w:val="70E21403"/>
    <w:rsid w:val="70FD7FEB"/>
    <w:rsid w:val="71193077"/>
    <w:rsid w:val="712612F0"/>
    <w:rsid w:val="713F0604"/>
    <w:rsid w:val="714D04D7"/>
    <w:rsid w:val="715B5300"/>
    <w:rsid w:val="7164006A"/>
    <w:rsid w:val="71687B5B"/>
    <w:rsid w:val="717402AD"/>
    <w:rsid w:val="71763CC6"/>
    <w:rsid w:val="71775FF0"/>
    <w:rsid w:val="717A3533"/>
    <w:rsid w:val="7192492D"/>
    <w:rsid w:val="719548BD"/>
    <w:rsid w:val="71A03995"/>
    <w:rsid w:val="71A212BE"/>
    <w:rsid w:val="71AD37BF"/>
    <w:rsid w:val="71B153DF"/>
    <w:rsid w:val="71BA7C8A"/>
    <w:rsid w:val="71C16EF7"/>
    <w:rsid w:val="71C54FAD"/>
    <w:rsid w:val="71CA7D6E"/>
    <w:rsid w:val="71CC00E9"/>
    <w:rsid w:val="71CF7BDA"/>
    <w:rsid w:val="71D27F8A"/>
    <w:rsid w:val="71DD6189"/>
    <w:rsid w:val="721D41FF"/>
    <w:rsid w:val="72270127"/>
    <w:rsid w:val="722A12B4"/>
    <w:rsid w:val="722F0678"/>
    <w:rsid w:val="72553024"/>
    <w:rsid w:val="72625753"/>
    <w:rsid w:val="72695938"/>
    <w:rsid w:val="726C367A"/>
    <w:rsid w:val="727442DD"/>
    <w:rsid w:val="727B0AAB"/>
    <w:rsid w:val="7289422C"/>
    <w:rsid w:val="728C3273"/>
    <w:rsid w:val="72A72905"/>
    <w:rsid w:val="72CC5A1D"/>
    <w:rsid w:val="72E871A5"/>
    <w:rsid w:val="72EF7CA5"/>
    <w:rsid w:val="73007A0C"/>
    <w:rsid w:val="730D6C0C"/>
    <w:rsid w:val="73122968"/>
    <w:rsid w:val="731F5D5E"/>
    <w:rsid w:val="73440153"/>
    <w:rsid w:val="73504D4A"/>
    <w:rsid w:val="7352461E"/>
    <w:rsid w:val="735E1F1E"/>
    <w:rsid w:val="736B1B84"/>
    <w:rsid w:val="73880040"/>
    <w:rsid w:val="73B01E4B"/>
    <w:rsid w:val="73C51AD5"/>
    <w:rsid w:val="73F92CEC"/>
    <w:rsid w:val="740117C0"/>
    <w:rsid w:val="740873D3"/>
    <w:rsid w:val="741B7106"/>
    <w:rsid w:val="741C69DA"/>
    <w:rsid w:val="741E6BF6"/>
    <w:rsid w:val="741E793C"/>
    <w:rsid w:val="742779EC"/>
    <w:rsid w:val="742E508B"/>
    <w:rsid w:val="743C0E2B"/>
    <w:rsid w:val="74446CA4"/>
    <w:rsid w:val="74547836"/>
    <w:rsid w:val="745E3944"/>
    <w:rsid w:val="74827185"/>
    <w:rsid w:val="74AD7F8A"/>
    <w:rsid w:val="74B66E2F"/>
    <w:rsid w:val="74BD01BD"/>
    <w:rsid w:val="74C54BB1"/>
    <w:rsid w:val="74CA4688"/>
    <w:rsid w:val="74D75BAD"/>
    <w:rsid w:val="74E50F73"/>
    <w:rsid w:val="74F811F5"/>
    <w:rsid w:val="74FB2A94"/>
    <w:rsid w:val="74FC0CE6"/>
    <w:rsid w:val="74FC6F38"/>
    <w:rsid w:val="751D0C5C"/>
    <w:rsid w:val="75246879"/>
    <w:rsid w:val="753C7334"/>
    <w:rsid w:val="75463985"/>
    <w:rsid w:val="75464B2E"/>
    <w:rsid w:val="75475CD9"/>
    <w:rsid w:val="754E0D90"/>
    <w:rsid w:val="75720FA8"/>
    <w:rsid w:val="7576231F"/>
    <w:rsid w:val="757A60AE"/>
    <w:rsid w:val="75880E08"/>
    <w:rsid w:val="75B0672C"/>
    <w:rsid w:val="75BB5C17"/>
    <w:rsid w:val="75E1612D"/>
    <w:rsid w:val="75E9227F"/>
    <w:rsid w:val="76037AC6"/>
    <w:rsid w:val="7621652A"/>
    <w:rsid w:val="762F50EB"/>
    <w:rsid w:val="7635099D"/>
    <w:rsid w:val="763B583E"/>
    <w:rsid w:val="76571F4C"/>
    <w:rsid w:val="766A1C7F"/>
    <w:rsid w:val="76883A57"/>
    <w:rsid w:val="768C03AE"/>
    <w:rsid w:val="768C42EB"/>
    <w:rsid w:val="76AD312F"/>
    <w:rsid w:val="76B25806"/>
    <w:rsid w:val="76E23F0B"/>
    <w:rsid w:val="76E926FE"/>
    <w:rsid w:val="770B3462"/>
    <w:rsid w:val="77364257"/>
    <w:rsid w:val="77443A25"/>
    <w:rsid w:val="7770053A"/>
    <w:rsid w:val="77762421"/>
    <w:rsid w:val="778D7747"/>
    <w:rsid w:val="77A2369A"/>
    <w:rsid w:val="77A47413"/>
    <w:rsid w:val="77B56B1F"/>
    <w:rsid w:val="77EA1B7E"/>
    <w:rsid w:val="780F09F4"/>
    <w:rsid w:val="782E0D99"/>
    <w:rsid w:val="78393FFF"/>
    <w:rsid w:val="78470047"/>
    <w:rsid w:val="786C6182"/>
    <w:rsid w:val="786D42B6"/>
    <w:rsid w:val="78A90480"/>
    <w:rsid w:val="78AD0549"/>
    <w:rsid w:val="78B038C2"/>
    <w:rsid w:val="78CE0391"/>
    <w:rsid w:val="78E30F27"/>
    <w:rsid w:val="78E35D19"/>
    <w:rsid w:val="78EC02B4"/>
    <w:rsid w:val="79065AB5"/>
    <w:rsid w:val="790A14F7"/>
    <w:rsid w:val="791F1447"/>
    <w:rsid w:val="79226841"/>
    <w:rsid w:val="792918C8"/>
    <w:rsid w:val="79444A09"/>
    <w:rsid w:val="7949720E"/>
    <w:rsid w:val="7956298E"/>
    <w:rsid w:val="79570BE0"/>
    <w:rsid w:val="795E27B4"/>
    <w:rsid w:val="795F169C"/>
    <w:rsid w:val="798412AA"/>
    <w:rsid w:val="799615B8"/>
    <w:rsid w:val="79984052"/>
    <w:rsid w:val="79CB1052"/>
    <w:rsid w:val="79CD0EA3"/>
    <w:rsid w:val="79D42231"/>
    <w:rsid w:val="79E166FC"/>
    <w:rsid w:val="79EE2DCB"/>
    <w:rsid w:val="79F006ED"/>
    <w:rsid w:val="79F71A7C"/>
    <w:rsid w:val="7A146AD1"/>
    <w:rsid w:val="7A364017"/>
    <w:rsid w:val="7A432F13"/>
    <w:rsid w:val="7A61783D"/>
    <w:rsid w:val="7A676456"/>
    <w:rsid w:val="7A6F3D08"/>
    <w:rsid w:val="7A7632E8"/>
    <w:rsid w:val="7A8265E1"/>
    <w:rsid w:val="7A9F4E9E"/>
    <w:rsid w:val="7AB364C5"/>
    <w:rsid w:val="7AB931D5"/>
    <w:rsid w:val="7AC21FB4"/>
    <w:rsid w:val="7AE364A4"/>
    <w:rsid w:val="7AEC35AA"/>
    <w:rsid w:val="7AFE508C"/>
    <w:rsid w:val="7B072192"/>
    <w:rsid w:val="7B117621"/>
    <w:rsid w:val="7B1C3D58"/>
    <w:rsid w:val="7B4038F6"/>
    <w:rsid w:val="7B4A5FB2"/>
    <w:rsid w:val="7B5A5093"/>
    <w:rsid w:val="7B686D42"/>
    <w:rsid w:val="7B6964C7"/>
    <w:rsid w:val="7B841746"/>
    <w:rsid w:val="7B8C61F4"/>
    <w:rsid w:val="7B95154C"/>
    <w:rsid w:val="7BA07391"/>
    <w:rsid w:val="7BBC2F7D"/>
    <w:rsid w:val="7BC167E5"/>
    <w:rsid w:val="7BC63DFB"/>
    <w:rsid w:val="7BDC34AC"/>
    <w:rsid w:val="7BDD1E8F"/>
    <w:rsid w:val="7BE14791"/>
    <w:rsid w:val="7C136915"/>
    <w:rsid w:val="7C1D11E6"/>
    <w:rsid w:val="7C376AA7"/>
    <w:rsid w:val="7C3E7E36"/>
    <w:rsid w:val="7C43188B"/>
    <w:rsid w:val="7C431A41"/>
    <w:rsid w:val="7C4B4301"/>
    <w:rsid w:val="7C514589"/>
    <w:rsid w:val="7C541407"/>
    <w:rsid w:val="7C570EF7"/>
    <w:rsid w:val="7C6C5AC7"/>
    <w:rsid w:val="7C705B15"/>
    <w:rsid w:val="7C8C1127"/>
    <w:rsid w:val="7C8D4118"/>
    <w:rsid w:val="7C923CDE"/>
    <w:rsid w:val="7C945CA8"/>
    <w:rsid w:val="7C9E7D0F"/>
    <w:rsid w:val="7CA26617"/>
    <w:rsid w:val="7CC16371"/>
    <w:rsid w:val="7CC6544B"/>
    <w:rsid w:val="7CF77FE5"/>
    <w:rsid w:val="7CFE1373"/>
    <w:rsid w:val="7D0239FF"/>
    <w:rsid w:val="7D0F187B"/>
    <w:rsid w:val="7D2E02E7"/>
    <w:rsid w:val="7D497CCB"/>
    <w:rsid w:val="7D5E19E0"/>
    <w:rsid w:val="7D5E40CD"/>
    <w:rsid w:val="7D6733BC"/>
    <w:rsid w:val="7D87352C"/>
    <w:rsid w:val="7D8C2E23"/>
    <w:rsid w:val="7D9D762B"/>
    <w:rsid w:val="7DAF3557"/>
    <w:rsid w:val="7DB163E5"/>
    <w:rsid w:val="7DCD56F2"/>
    <w:rsid w:val="7DD24CD9"/>
    <w:rsid w:val="7DE60785"/>
    <w:rsid w:val="7DF84014"/>
    <w:rsid w:val="7DFB58B2"/>
    <w:rsid w:val="7E0E55E6"/>
    <w:rsid w:val="7E144221"/>
    <w:rsid w:val="7E2C77D6"/>
    <w:rsid w:val="7E2D1F10"/>
    <w:rsid w:val="7E372D8F"/>
    <w:rsid w:val="7E4B05E8"/>
    <w:rsid w:val="7E576F8D"/>
    <w:rsid w:val="7E7062A0"/>
    <w:rsid w:val="7E74183B"/>
    <w:rsid w:val="7E7F64E4"/>
    <w:rsid w:val="7E8B7A87"/>
    <w:rsid w:val="7E8E6727"/>
    <w:rsid w:val="7E9523A1"/>
    <w:rsid w:val="7EAF6DC9"/>
    <w:rsid w:val="7EC55BB5"/>
    <w:rsid w:val="7EF1384F"/>
    <w:rsid w:val="7EF61719"/>
    <w:rsid w:val="7EF70770"/>
    <w:rsid w:val="7F001CE7"/>
    <w:rsid w:val="7F0D1E4F"/>
    <w:rsid w:val="7F13096B"/>
    <w:rsid w:val="7F144E7E"/>
    <w:rsid w:val="7F3B065C"/>
    <w:rsid w:val="7F401C7A"/>
    <w:rsid w:val="7F792F33"/>
    <w:rsid w:val="7FB36445"/>
    <w:rsid w:val="7FB8464D"/>
    <w:rsid w:val="7FC27FEF"/>
    <w:rsid w:val="7FD36AE7"/>
    <w:rsid w:val="7FE47E50"/>
    <w:rsid w:val="7FEA389A"/>
    <w:rsid w:val="7FF339A6"/>
    <w:rsid w:val="7FF5027D"/>
    <w:rsid w:val="7FFE0AAD"/>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iPriority="0" w:semiHidden="0" w:name="heading 4"/>
    <w:lsdException w:qFormat="1" w:unhideWhenUsed="0" w:uiPriority="99"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qFormat="1"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qFormat="1" w:unhideWhenUsed="0" w:uiPriority="0" w:semiHidden="0" w:name="HTML Cite"/>
    <w:lsdException w:unhideWhenUsed="0" w:uiPriority="0" w:semiHidden="0" w:name="HTML Code"/>
    <w:lsdException w:unhideWhenUsed="0" w:uiPriority="0" w:semiHidden="0" w:name="HTML Definition"/>
    <w:lsdException w:uiPriority="0" w:name="HTML Keyboard"/>
    <w:lsdException w:qFormat="1" w:uiPriority="99"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71"/>
    <w:qFormat/>
    <w:uiPriority w:val="0"/>
    <w:pPr>
      <w:keepNext/>
      <w:overflowPunct w:val="0"/>
      <w:snapToGrid w:val="0"/>
      <w:spacing w:before="120" w:after="160" w:line="259" w:lineRule="auto"/>
      <w:ind w:left="432" w:hanging="432"/>
      <w:outlineLvl w:val="0"/>
    </w:pPr>
    <w:rPr>
      <w:rFonts w:eastAsia="黑体"/>
      <w:b/>
      <w:bCs/>
      <w:color w:val="000000"/>
      <w:kern w:val="44"/>
      <w:sz w:val="30"/>
      <w:szCs w:val="30"/>
    </w:rPr>
  </w:style>
  <w:style w:type="paragraph" w:styleId="4">
    <w:name w:val="heading 2"/>
    <w:basedOn w:val="1"/>
    <w:next w:val="1"/>
    <w:link w:val="48"/>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2">
    <w:name w:val="heading 3"/>
    <w:basedOn w:val="1"/>
    <w:next w:val="1"/>
    <w:link w:val="49"/>
    <w:qFormat/>
    <w:uiPriority w:val="0"/>
    <w:pPr>
      <w:keepNext/>
      <w:keepLines/>
      <w:spacing w:before="260" w:after="260" w:line="416" w:lineRule="auto"/>
      <w:outlineLvl w:val="2"/>
    </w:pPr>
    <w:rPr>
      <w:b/>
      <w:bCs/>
      <w:sz w:val="32"/>
      <w:szCs w:val="32"/>
    </w:rPr>
  </w:style>
  <w:style w:type="paragraph" w:styleId="5">
    <w:name w:val="heading 4"/>
    <w:basedOn w:val="1"/>
    <w:next w:val="1"/>
    <w:link w:val="50"/>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64"/>
    <w:qFormat/>
    <w:uiPriority w:val="99"/>
    <w:pPr>
      <w:keepNext/>
      <w:keepLines/>
      <w:spacing w:before="280" w:after="290" w:line="376" w:lineRule="auto"/>
      <w:outlineLvl w:val="4"/>
    </w:pPr>
    <w:rPr>
      <w:b/>
      <w:bCs/>
      <w:sz w:val="28"/>
      <w:szCs w:val="28"/>
      <w:lang w:val="zh-CN"/>
    </w:rPr>
  </w:style>
  <w:style w:type="paragraph" w:styleId="7">
    <w:name w:val="heading 6"/>
    <w:basedOn w:val="1"/>
    <w:next w:val="1"/>
    <w:link w:val="247"/>
    <w:qFormat/>
    <w:uiPriority w:val="0"/>
    <w:pPr>
      <w:keepNext/>
      <w:keepLines/>
      <w:spacing w:before="240" w:after="64" w:line="320" w:lineRule="auto"/>
      <w:outlineLvl w:val="5"/>
    </w:pPr>
    <w:rPr>
      <w:rFonts w:ascii="Arial" w:hAnsi="Arial" w:eastAsia="黑体"/>
      <w:b/>
      <w:bCs/>
      <w:sz w:val="24"/>
      <w:lang w:val="zh-CN"/>
    </w:rPr>
  </w:style>
  <w:style w:type="paragraph" w:styleId="8">
    <w:name w:val="heading 7"/>
    <w:basedOn w:val="1"/>
    <w:next w:val="1"/>
    <w:link w:val="257"/>
    <w:qFormat/>
    <w:uiPriority w:val="0"/>
    <w:pPr>
      <w:keepNext/>
      <w:keepLines/>
      <w:spacing w:before="240" w:after="64" w:line="320" w:lineRule="auto"/>
      <w:outlineLvl w:val="6"/>
    </w:pPr>
    <w:rPr>
      <w:b/>
      <w:bCs/>
      <w:sz w:val="24"/>
      <w:lang w:val="zh-CN"/>
    </w:rPr>
  </w:style>
  <w:style w:type="paragraph" w:styleId="9">
    <w:name w:val="heading 8"/>
    <w:basedOn w:val="1"/>
    <w:next w:val="1"/>
    <w:link w:val="256"/>
    <w:qFormat/>
    <w:uiPriority w:val="0"/>
    <w:pPr>
      <w:keepNext/>
      <w:keepLines/>
      <w:spacing w:before="240" w:after="64" w:line="320" w:lineRule="auto"/>
      <w:outlineLvl w:val="7"/>
    </w:pPr>
    <w:rPr>
      <w:rFonts w:ascii="Arial" w:hAnsi="Arial" w:eastAsia="黑体"/>
      <w:sz w:val="24"/>
      <w:lang w:val="zh-CN"/>
    </w:rPr>
  </w:style>
  <w:style w:type="paragraph" w:styleId="10">
    <w:name w:val="heading 9"/>
    <w:basedOn w:val="1"/>
    <w:next w:val="1"/>
    <w:link w:val="270"/>
    <w:qFormat/>
    <w:uiPriority w:val="0"/>
    <w:pPr>
      <w:keepNext/>
      <w:keepLines/>
      <w:spacing w:before="240" w:after="64" w:line="320" w:lineRule="auto"/>
      <w:outlineLvl w:val="8"/>
    </w:pPr>
    <w:rPr>
      <w:rFonts w:ascii="Arial" w:hAnsi="Arial" w:eastAsia="黑体"/>
      <w:szCs w:val="21"/>
      <w:lang w:val="zh-CN"/>
    </w:rPr>
  </w:style>
  <w:style w:type="character" w:default="1" w:styleId="39">
    <w:name w:val="Default Paragraph Font"/>
    <w:semiHidden/>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next w:val="12"/>
    <w:link w:val="51"/>
    <w:qFormat/>
    <w:uiPriority w:val="0"/>
    <w:pPr>
      <w:ind w:firstLine="200" w:firstLineChars="200"/>
    </w:pPr>
    <w:rPr>
      <w:sz w:val="28"/>
      <w:szCs w:val="20"/>
    </w:rPr>
  </w:style>
  <w:style w:type="paragraph" w:styleId="12">
    <w:name w:val="Body Text First Indent 2"/>
    <w:basedOn w:val="13"/>
    <w:next w:val="14"/>
    <w:link w:val="64"/>
    <w:qFormat/>
    <w:uiPriority w:val="0"/>
    <w:pPr>
      <w:ind w:firstLine="420" w:firstLineChars="200"/>
    </w:pPr>
    <w:rPr>
      <w:kern w:val="2"/>
      <w:sz w:val="21"/>
    </w:rPr>
  </w:style>
  <w:style w:type="paragraph" w:styleId="13">
    <w:name w:val="Body Text Indent"/>
    <w:basedOn w:val="1"/>
    <w:link w:val="55"/>
    <w:qFormat/>
    <w:uiPriority w:val="0"/>
    <w:pPr>
      <w:spacing w:after="120"/>
      <w:ind w:left="420" w:leftChars="200"/>
    </w:pPr>
    <w:rPr>
      <w:kern w:val="0"/>
      <w:sz w:val="24"/>
      <w:szCs w:val="20"/>
    </w:rPr>
  </w:style>
  <w:style w:type="paragraph" w:styleId="14">
    <w:name w:val="Body Text First Indent"/>
    <w:basedOn w:val="15"/>
    <w:next w:val="1"/>
    <w:link w:val="63"/>
    <w:qFormat/>
    <w:uiPriority w:val="0"/>
    <w:pPr>
      <w:widowControl w:val="0"/>
      <w:snapToGrid/>
      <w:spacing w:before="0" w:after="120" w:line="240" w:lineRule="auto"/>
      <w:ind w:right="0" w:firstLine="420" w:firstLineChars="100"/>
    </w:pPr>
    <w:rPr>
      <w:kern w:val="2"/>
      <w:sz w:val="21"/>
    </w:rPr>
  </w:style>
  <w:style w:type="paragraph" w:styleId="15">
    <w:name w:val="Body Text"/>
    <w:basedOn w:val="1"/>
    <w:next w:val="1"/>
    <w:link w:val="54"/>
    <w:qFormat/>
    <w:uiPriority w:val="0"/>
    <w:pPr>
      <w:widowControl/>
      <w:snapToGrid w:val="0"/>
      <w:spacing w:before="60" w:after="160" w:line="259" w:lineRule="auto"/>
      <w:ind w:right="113"/>
    </w:pPr>
    <w:rPr>
      <w:kern w:val="0"/>
      <w:sz w:val="18"/>
      <w:szCs w:val="20"/>
    </w:rPr>
  </w:style>
  <w:style w:type="paragraph" w:styleId="16">
    <w:name w:val="caption"/>
    <w:basedOn w:val="1"/>
    <w:next w:val="1"/>
    <w:link w:val="52"/>
    <w:qFormat/>
    <w:uiPriority w:val="0"/>
    <w:pPr>
      <w:keepNext/>
      <w:spacing w:beforeLines="50"/>
      <w:jc w:val="center"/>
    </w:pPr>
    <w:rPr>
      <w:rFonts w:eastAsia="黑体"/>
      <w:szCs w:val="20"/>
    </w:rPr>
  </w:style>
  <w:style w:type="paragraph" w:styleId="17">
    <w:name w:val="Document Map"/>
    <w:basedOn w:val="1"/>
    <w:link w:val="239"/>
    <w:qFormat/>
    <w:uiPriority w:val="0"/>
    <w:pPr>
      <w:shd w:val="clear" w:color="auto" w:fill="000080"/>
    </w:pPr>
    <w:rPr>
      <w:szCs w:val="20"/>
      <w:lang w:val="zh-CN"/>
    </w:rPr>
  </w:style>
  <w:style w:type="paragraph" w:styleId="18">
    <w:name w:val="toa heading"/>
    <w:basedOn w:val="1"/>
    <w:next w:val="1"/>
    <w:qFormat/>
    <w:uiPriority w:val="0"/>
    <w:pPr>
      <w:spacing w:before="120"/>
    </w:pPr>
    <w:rPr>
      <w:rFonts w:ascii="Arial" w:hAnsi="Arial" w:cs="Arial"/>
      <w:sz w:val="24"/>
    </w:rPr>
  </w:style>
  <w:style w:type="paragraph" w:styleId="19">
    <w:name w:val="annotation text"/>
    <w:basedOn w:val="1"/>
    <w:link w:val="53"/>
    <w:qFormat/>
    <w:uiPriority w:val="0"/>
    <w:pPr>
      <w:jc w:val="left"/>
    </w:pPr>
    <w:rPr>
      <w:kern w:val="0"/>
      <w:sz w:val="24"/>
      <w:szCs w:val="20"/>
    </w:rPr>
  </w:style>
  <w:style w:type="paragraph" w:styleId="20">
    <w:name w:val="index 6"/>
    <w:basedOn w:val="1"/>
    <w:next w:val="1"/>
    <w:qFormat/>
    <w:uiPriority w:val="0"/>
    <w:pPr>
      <w:ind w:left="2100"/>
    </w:pPr>
  </w:style>
  <w:style w:type="paragraph" w:styleId="21">
    <w:name w:val="Body Text 3"/>
    <w:basedOn w:val="1"/>
    <w:link w:val="181"/>
    <w:qFormat/>
    <w:uiPriority w:val="0"/>
    <w:rPr>
      <w:rFonts w:ascii="宋体"/>
      <w:szCs w:val="20"/>
    </w:rPr>
  </w:style>
  <w:style w:type="paragraph" w:styleId="22">
    <w:name w:val="List 2"/>
    <w:basedOn w:val="1"/>
    <w:qFormat/>
    <w:uiPriority w:val="0"/>
    <w:pPr>
      <w:ind w:left="100" w:leftChars="200" w:hanging="200" w:hangingChars="200"/>
    </w:pPr>
    <w:rPr>
      <w:szCs w:val="20"/>
    </w:rPr>
  </w:style>
  <w:style w:type="paragraph" w:styleId="23">
    <w:name w:val="Block Text"/>
    <w:basedOn w:val="1"/>
    <w:qFormat/>
    <w:uiPriority w:val="0"/>
    <w:pPr>
      <w:spacing w:line="300" w:lineRule="exact"/>
      <w:ind w:left="-96" w:leftChars="-40" w:right="-16" w:firstLine="482" w:firstLineChars="200"/>
    </w:pPr>
    <w:rPr>
      <w:rFonts w:ascii="宋体" w:hAnsi="宋体"/>
    </w:rPr>
  </w:style>
  <w:style w:type="paragraph" w:styleId="24">
    <w:name w:val="Plain Text"/>
    <w:basedOn w:val="1"/>
    <w:link w:val="56"/>
    <w:qFormat/>
    <w:uiPriority w:val="0"/>
    <w:rPr>
      <w:rFonts w:ascii="宋体" w:hAnsi="Courier New"/>
      <w:sz w:val="20"/>
      <w:szCs w:val="20"/>
    </w:rPr>
  </w:style>
  <w:style w:type="paragraph" w:styleId="25">
    <w:name w:val="List Bullet 5"/>
    <w:basedOn w:val="1"/>
    <w:qFormat/>
    <w:uiPriority w:val="0"/>
    <w:pPr>
      <w:numPr>
        <w:ilvl w:val="0"/>
        <w:numId w:val="1"/>
      </w:numPr>
      <w:tabs>
        <w:tab w:val="left" w:pos="2040"/>
      </w:tabs>
    </w:pPr>
  </w:style>
  <w:style w:type="paragraph" w:styleId="26">
    <w:name w:val="Date"/>
    <w:basedOn w:val="1"/>
    <w:next w:val="1"/>
    <w:link w:val="57"/>
    <w:qFormat/>
    <w:uiPriority w:val="0"/>
    <w:pPr>
      <w:ind w:left="100" w:leftChars="2500"/>
    </w:pPr>
    <w:rPr>
      <w:kern w:val="0"/>
      <w:sz w:val="24"/>
      <w:szCs w:val="20"/>
    </w:rPr>
  </w:style>
  <w:style w:type="paragraph" w:styleId="27">
    <w:name w:val="Body Text Indent 2"/>
    <w:basedOn w:val="1"/>
    <w:next w:val="12"/>
    <w:link w:val="139"/>
    <w:qFormat/>
    <w:uiPriority w:val="0"/>
    <w:pPr>
      <w:spacing w:line="360" w:lineRule="auto"/>
      <w:ind w:firstLine="480" w:firstLineChars="200"/>
    </w:pPr>
    <w:rPr>
      <w:color w:val="000000"/>
      <w:sz w:val="24"/>
    </w:rPr>
  </w:style>
  <w:style w:type="paragraph" w:styleId="28">
    <w:name w:val="Balloon Text"/>
    <w:basedOn w:val="1"/>
    <w:link w:val="58"/>
    <w:semiHidden/>
    <w:qFormat/>
    <w:uiPriority w:val="0"/>
    <w:rPr>
      <w:kern w:val="0"/>
      <w:sz w:val="18"/>
      <w:szCs w:val="20"/>
    </w:rPr>
  </w:style>
  <w:style w:type="paragraph" w:styleId="29">
    <w:name w:val="footer"/>
    <w:basedOn w:val="1"/>
    <w:link w:val="59"/>
    <w:qFormat/>
    <w:uiPriority w:val="99"/>
    <w:pPr>
      <w:tabs>
        <w:tab w:val="center" w:pos="4153"/>
        <w:tab w:val="right" w:pos="8306"/>
      </w:tabs>
      <w:snapToGrid w:val="0"/>
      <w:jc w:val="left"/>
    </w:pPr>
    <w:rPr>
      <w:kern w:val="0"/>
      <w:sz w:val="18"/>
      <w:szCs w:val="20"/>
    </w:rPr>
  </w:style>
  <w:style w:type="paragraph" w:styleId="30">
    <w:name w:val="header"/>
    <w:basedOn w:val="1"/>
    <w:link w:val="60"/>
    <w:qFormat/>
    <w:uiPriority w:val="99"/>
    <w:pPr>
      <w:pBdr>
        <w:bottom w:val="single" w:color="auto" w:sz="6" w:space="1"/>
      </w:pBdr>
      <w:tabs>
        <w:tab w:val="center" w:pos="4153"/>
        <w:tab w:val="right" w:pos="8306"/>
      </w:tabs>
      <w:snapToGrid w:val="0"/>
      <w:jc w:val="center"/>
    </w:pPr>
    <w:rPr>
      <w:kern w:val="0"/>
      <w:sz w:val="18"/>
      <w:szCs w:val="20"/>
    </w:rPr>
  </w:style>
  <w:style w:type="paragraph" w:styleId="31">
    <w:name w:val="List"/>
    <w:basedOn w:val="1"/>
    <w:link w:val="241"/>
    <w:qFormat/>
    <w:uiPriority w:val="0"/>
    <w:pPr>
      <w:spacing w:line="360" w:lineRule="exact"/>
      <w:jc w:val="center"/>
    </w:pPr>
    <w:rPr>
      <w:rFonts w:ascii="仿宋_GB2312" w:eastAsia="仿宋_GB2312"/>
      <w:sz w:val="28"/>
      <w:szCs w:val="20"/>
      <w:lang w:val="zh-CN"/>
    </w:rPr>
  </w:style>
  <w:style w:type="paragraph" w:styleId="32">
    <w:name w:val="Body Text Indent 3"/>
    <w:basedOn w:val="1"/>
    <w:link w:val="142"/>
    <w:qFormat/>
    <w:uiPriority w:val="0"/>
    <w:pPr>
      <w:tabs>
        <w:tab w:val="left" w:pos="604"/>
      </w:tabs>
      <w:spacing w:line="360" w:lineRule="auto"/>
      <w:ind w:firstLine="600"/>
    </w:pPr>
    <w:rPr>
      <w:sz w:val="24"/>
    </w:rPr>
  </w:style>
  <w:style w:type="paragraph" w:styleId="33">
    <w:name w:val="Body Text 2"/>
    <w:basedOn w:val="1"/>
    <w:link w:val="133"/>
    <w:qFormat/>
    <w:uiPriority w:val="0"/>
    <w:pPr>
      <w:spacing w:after="120" w:line="480" w:lineRule="auto"/>
    </w:pPr>
  </w:style>
  <w:style w:type="paragraph" w:styleId="34">
    <w:name w:val="HTML Preformatted"/>
    <w:basedOn w:val="1"/>
    <w:link w:val="248"/>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kern w:val="0"/>
      <w:sz w:val="20"/>
      <w:szCs w:val="20"/>
    </w:rPr>
  </w:style>
  <w:style w:type="paragraph" w:styleId="35">
    <w:name w:val="Normal (Web)"/>
    <w:basedOn w:val="1"/>
    <w:link w:val="61"/>
    <w:qFormat/>
    <w:uiPriority w:val="99"/>
    <w:pPr>
      <w:widowControl/>
      <w:spacing w:before="100" w:beforeAutospacing="1" w:after="100" w:afterAutospacing="1"/>
      <w:jc w:val="left"/>
    </w:pPr>
    <w:rPr>
      <w:rFonts w:ascii="宋体" w:hAnsi="宋体"/>
      <w:kern w:val="0"/>
      <w:sz w:val="24"/>
      <w:szCs w:val="20"/>
    </w:rPr>
  </w:style>
  <w:style w:type="paragraph" w:styleId="36">
    <w:name w:val="annotation subject"/>
    <w:basedOn w:val="19"/>
    <w:next w:val="19"/>
    <w:link w:val="62"/>
    <w:semiHidden/>
    <w:qFormat/>
    <w:uiPriority w:val="0"/>
    <w:rPr>
      <w:b/>
    </w:rPr>
  </w:style>
  <w:style w:type="table" w:styleId="38">
    <w:name w:val="Table Grid"/>
    <w:basedOn w:val="3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0">
    <w:name w:val="Strong"/>
    <w:qFormat/>
    <w:uiPriority w:val="0"/>
    <w:rPr>
      <w:b/>
      <w:bCs/>
    </w:rPr>
  </w:style>
  <w:style w:type="character" w:styleId="41">
    <w:name w:val="page number"/>
    <w:basedOn w:val="39"/>
    <w:qFormat/>
    <w:uiPriority w:val="0"/>
  </w:style>
  <w:style w:type="character" w:styleId="42">
    <w:name w:val="FollowedHyperlink"/>
    <w:qFormat/>
    <w:uiPriority w:val="99"/>
    <w:rPr>
      <w:color w:val="800080"/>
      <w:u w:val="single"/>
    </w:rPr>
  </w:style>
  <w:style w:type="character" w:styleId="43">
    <w:name w:val="Emphasis"/>
    <w:qFormat/>
    <w:uiPriority w:val="0"/>
    <w:rPr>
      <w:color w:val="CC0000"/>
      <w:sz w:val="24"/>
      <w:szCs w:val="24"/>
    </w:rPr>
  </w:style>
  <w:style w:type="character" w:styleId="44">
    <w:name w:val="Hyperlink"/>
    <w:unhideWhenUsed/>
    <w:qFormat/>
    <w:uiPriority w:val="99"/>
    <w:rPr>
      <w:color w:val="0000FF"/>
      <w:u w:val="single"/>
    </w:rPr>
  </w:style>
  <w:style w:type="character" w:styleId="45">
    <w:name w:val="annotation reference"/>
    <w:basedOn w:val="39"/>
    <w:qFormat/>
    <w:uiPriority w:val="0"/>
    <w:rPr>
      <w:sz w:val="21"/>
    </w:rPr>
  </w:style>
  <w:style w:type="character" w:styleId="46">
    <w:name w:val="HTML Cite"/>
    <w:qFormat/>
    <w:uiPriority w:val="0"/>
    <w:rPr>
      <w:sz w:val="24"/>
      <w:szCs w:val="24"/>
    </w:rPr>
  </w:style>
  <w:style w:type="paragraph" w:customStyle="1" w:styleId="47">
    <w:name w:val="Default1"/>
    <w:qFormat/>
    <w:uiPriority w:val="99"/>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8">
    <w:name w:val="标题 2 字符"/>
    <w:basedOn w:val="39"/>
    <w:link w:val="4"/>
    <w:semiHidden/>
    <w:qFormat/>
    <w:uiPriority w:val="0"/>
    <w:rPr>
      <w:rFonts w:asciiTheme="majorHAnsi" w:hAnsiTheme="majorHAnsi" w:eastAsiaTheme="majorEastAsia" w:cstheme="majorBidi"/>
      <w:b/>
      <w:bCs/>
      <w:kern w:val="2"/>
      <w:sz w:val="32"/>
      <w:szCs w:val="32"/>
    </w:rPr>
  </w:style>
  <w:style w:type="character" w:customStyle="1" w:styleId="49">
    <w:name w:val="标题 3 字符1"/>
    <w:link w:val="2"/>
    <w:semiHidden/>
    <w:qFormat/>
    <w:uiPriority w:val="0"/>
    <w:rPr>
      <w:b/>
      <w:bCs/>
      <w:kern w:val="2"/>
      <w:sz w:val="32"/>
      <w:szCs w:val="32"/>
    </w:rPr>
  </w:style>
  <w:style w:type="character" w:customStyle="1" w:styleId="50">
    <w:name w:val="标题 4 字符"/>
    <w:basedOn w:val="39"/>
    <w:link w:val="5"/>
    <w:qFormat/>
    <w:uiPriority w:val="0"/>
    <w:rPr>
      <w:rFonts w:asciiTheme="majorHAnsi" w:hAnsiTheme="majorHAnsi" w:eastAsiaTheme="majorEastAsia" w:cstheme="majorBidi"/>
      <w:b/>
      <w:bCs/>
      <w:kern w:val="2"/>
      <w:sz w:val="28"/>
      <w:szCs w:val="28"/>
    </w:rPr>
  </w:style>
  <w:style w:type="character" w:customStyle="1" w:styleId="51">
    <w:name w:val="正文缩进 字符2"/>
    <w:link w:val="11"/>
    <w:qFormat/>
    <w:uiPriority w:val="0"/>
    <w:rPr>
      <w:kern w:val="2"/>
      <w:sz w:val="28"/>
    </w:rPr>
  </w:style>
  <w:style w:type="character" w:customStyle="1" w:styleId="52">
    <w:name w:val="题注 字符1"/>
    <w:link w:val="16"/>
    <w:qFormat/>
    <w:uiPriority w:val="0"/>
    <w:rPr>
      <w:rFonts w:eastAsia="黑体"/>
      <w:kern w:val="2"/>
      <w:sz w:val="21"/>
    </w:rPr>
  </w:style>
  <w:style w:type="character" w:customStyle="1" w:styleId="53">
    <w:name w:val="批注文字 字符2"/>
    <w:link w:val="19"/>
    <w:qFormat/>
    <w:uiPriority w:val="99"/>
    <w:rPr>
      <w:rFonts w:ascii="Times New Roman" w:hAnsi="Times New Roman" w:eastAsia="宋体"/>
      <w:sz w:val="24"/>
    </w:rPr>
  </w:style>
  <w:style w:type="character" w:customStyle="1" w:styleId="54">
    <w:name w:val="正文文本 字符2"/>
    <w:link w:val="15"/>
    <w:qFormat/>
    <w:uiPriority w:val="0"/>
    <w:rPr>
      <w:sz w:val="18"/>
    </w:rPr>
  </w:style>
  <w:style w:type="character" w:customStyle="1" w:styleId="55">
    <w:name w:val="正文文本缩进 字符"/>
    <w:link w:val="13"/>
    <w:qFormat/>
    <w:uiPriority w:val="0"/>
    <w:rPr>
      <w:rFonts w:ascii="Times New Roman" w:hAnsi="Times New Roman" w:eastAsia="宋体"/>
      <w:sz w:val="24"/>
    </w:rPr>
  </w:style>
  <w:style w:type="character" w:customStyle="1" w:styleId="56">
    <w:name w:val="纯文本 字符2"/>
    <w:link w:val="24"/>
    <w:qFormat/>
    <w:uiPriority w:val="0"/>
    <w:rPr>
      <w:rFonts w:ascii="宋体" w:hAnsi="Courier New"/>
      <w:kern w:val="2"/>
    </w:rPr>
  </w:style>
  <w:style w:type="character" w:customStyle="1" w:styleId="57">
    <w:name w:val="日期 字符2"/>
    <w:link w:val="26"/>
    <w:qFormat/>
    <w:uiPriority w:val="0"/>
    <w:rPr>
      <w:rFonts w:ascii="Times New Roman" w:hAnsi="Times New Roman" w:eastAsia="宋体"/>
      <w:sz w:val="24"/>
    </w:rPr>
  </w:style>
  <w:style w:type="character" w:customStyle="1" w:styleId="58">
    <w:name w:val="批注框文本 字符"/>
    <w:link w:val="28"/>
    <w:semiHidden/>
    <w:qFormat/>
    <w:uiPriority w:val="0"/>
    <w:rPr>
      <w:rFonts w:ascii="Times New Roman" w:hAnsi="Times New Roman" w:eastAsia="宋体"/>
      <w:sz w:val="18"/>
    </w:rPr>
  </w:style>
  <w:style w:type="character" w:customStyle="1" w:styleId="59">
    <w:name w:val="页脚 字符2"/>
    <w:link w:val="29"/>
    <w:qFormat/>
    <w:uiPriority w:val="99"/>
    <w:rPr>
      <w:sz w:val="18"/>
    </w:rPr>
  </w:style>
  <w:style w:type="character" w:customStyle="1" w:styleId="60">
    <w:name w:val="页眉 字符1"/>
    <w:link w:val="30"/>
    <w:qFormat/>
    <w:uiPriority w:val="0"/>
    <w:rPr>
      <w:sz w:val="18"/>
    </w:rPr>
  </w:style>
  <w:style w:type="character" w:customStyle="1" w:styleId="61">
    <w:name w:val="普通(网站) 字符1"/>
    <w:link w:val="35"/>
    <w:qFormat/>
    <w:uiPriority w:val="0"/>
    <w:rPr>
      <w:rFonts w:ascii="宋体" w:hAnsi="宋体" w:eastAsia="宋体"/>
      <w:sz w:val="24"/>
    </w:rPr>
  </w:style>
  <w:style w:type="character" w:customStyle="1" w:styleId="62">
    <w:name w:val="批注主题 字符"/>
    <w:link w:val="36"/>
    <w:semiHidden/>
    <w:qFormat/>
    <w:uiPriority w:val="0"/>
    <w:rPr>
      <w:rFonts w:ascii="Times New Roman" w:hAnsi="Times New Roman" w:eastAsia="宋体"/>
      <w:b/>
      <w:kern w:val="2"/>
      <w:sz w:val="24"/>
    </w:rPr>
  </w:style>
  <w:style w:type="character" w:customStyle="1" w:styleId="63">
    <w:name w:val="正文文本首行缩进 字符"/>
    <w:link w:val="14"/>
    <w:qFormat/>
    <w:uiPriority w:val="0"/>
    <w:rPr>
      <w:kern w:val="2"/>
      <w:sz w:val="21"/>
    </w:rPr>
  </w:style>
  <w:style w:type="character" w:customStyle="1" w:styleId="64">
    <w:name w:val="正文文本首行缩进 2 字符"/>
    <w:link w:val="12"/>
    <w:qFormat/>
    <w:uiPriority w:val="0"/>
    <w:rPr>
      <w:rFonts w:ascii="Times New Roman" w:hAnsi="Times New Roman" w:eastAsia="宋体"/>
      <w:kern w:val="2"/>
      <w:sz w:val="21"/>
    </w:rPr>
  </w:style>
  <w:style w:type="character" w:customStyle="1" w:styleId="65">
    <w:name w:val="正文文本 字符1"/>
    <w:semiHidden/>
    <w:qFormat/>
    <w:uiPriority w:val="0"/>
    <w:rPr>
      <w:rFonts w:ascii="Times New Roman" w:hAnsi="Times New Roman" w:eastAsia="宋体"/>
      <w:sz w:val="24"/>
    </w:rPr>
  </w:style>
  <w:style w:type="character" w:customStyle="1" w:styleId="66">
    <w:name w:val="表标题 Char"/>
    <w:link w:val="67"/>
    <w:qFormat/>
    <w:uiPriority w:val="0"/>
    <w:rPr>
      <w:b/>
      <w:kern w:val="2"/>
      <w:sz w:val="24"/>
      <w:szCs w:val="24"/>
    </w:rPr>
  </w:style>
  <w:style w:type="paragraph" w:customStyle="1" w:styleId="67">
    <w:name w:val="表标题"/>
    <w:next w:val="1"/>
    <w:link w:val="66"/>
    <w:qFormat/>
    <w:uiPriority w:val="0"/>
    <w:pPr>
      <w:spacing w:before="60"/>
      <w:jc w:val="center"/>
    </w:pPr>
    <w:rPr>
      <w:rFonts w:ascii="Times New Roman" w:hAnsi="Times New Roman" w:eastAsia="宋体" w:cs="Times New Roman"/>
      <w:b/>
      <w:kern w:val="2"/>
      <w:sz w:val="24"/>
      <w:szCs w:val="24"/>
      <w:lang w:val="en-US" w:eastAsia="zh-CN" w:bidi="ar-SA"/>
    </w:rPr>
  </w:style>
  <w:style w:type="character" w:customStyle="1" w:styleId="68">
    <w:name w:val="表格文字 Char"/>
    <w:link w:val="69"/>
    <w:qFormat/>
    <w:uiPriority w:val="0"/>
    <w:rPr>
      <w:rFonts w:ascii="仿宋_GB2312" w:hAnsi="Arial Black" w:eastAsia="仿宋_GB2312"/>
      <w:kern w:val="44"/>
      <w:sz w:val="24"/>
    </w:rPr>
  </w:style>
  <w:style w:type="paragraph" w:customStyle="1" w:styleId="69">
    <w:name w:val="表格文字"/>
    <w:basedOn w:val="1"/>
    <w:link w:val="68"/>
    <w:qFormat/>
    <w:uiPriority w:val="0"/>
    <w:pPr>
      <w:jc w:val="center"/>
    </w:pPr>
    <w:rPr>
      <w:rFonts w:ascii="仿宋_GB2312" w:hAnsi="Arial Black" w:eastAsia="仿宋_GB2312"/>
      <w:kern w:val="44"/>
      <w:sz w:val="24"/>
      <w:szCs w:val="20"/>
    </w:rPr>
  </w:style>
  <w:style w:type="character" w:customStyle="1" w:styleId="70">
    <w:name w:val="1.....正文 Char"/>
    <w:link w:val="71"/>
    <w:qFormat/>
    <w:uiPriority w:val="0"/>
    <w:rPr>
      <w:rFonts w:ascii="仿宋_GB2312" w:eastAsia="仿宋_GB2312"/>
      <w:kern w:val="2"/>
      <w:sz w:val="28"/>
      <w:szCs w:val="28"/>
    </w:rPr>
  </w:style>
  <w:style w:type="paragraph" w:customStyle="1" w:styleId="71">
    <w:name w:val="1.....正文"/>
    <w:basedOn w:val="1"/>
    <w:link w:val="70"/>
    <w:qFormat/>
    <w:uiPriority w:val="0"/>
    <w:pPr>
      <w:adjustRightInd w:val="0"/>
      <w:snapToGrid w:val="0"/>
      <w:ind w:firstLine="560" w:firstLineChars="200"/>
    </w:pPr>
    <w:rPr>
      <w:rFonts w:ascii="仿宋_GB2312" w:eastAsia="仿宋_GB2312"/>
      <w:sz w:val="28"/>
      <w:szCs w:val="28"/>
    </w:rPr>
  </w:style>
  <w:style w:type="character" w:customStyle="1" w:styleId="72">
    <w:name w:val="1 正文 Char"/>
    <w:link w:val="73"/>
    <w:qFormat/>
    <w:uiPriority w:val="0"/>
    <w:rPr>
      <w:sz w:val="24"/>
    </w:rPr>
  </w:style>
  <w:style w:type="paragraph" w:customStyle="1" w:styleId="73">
    <w:name w:val="1 正文"/>
    <w:basedOn w:val="1"/>
    <w:link w:val="72"/>
    <w:qFormat/>
    <w:uiPriority w:val="0"/>
    <w:pPr>
      <w:adjustRightInd w:val="0"/>
      <w:snapToGrid w:val="0"/>
      <w:spacing w:line="360" w:lineRule="auto"/>
      <w:ind w:firstLine="200" w:firstLineChars="200"/>
    </w:pPr>
    <w:rPr>
      <w:kern w:val="0"/>
      <w:sz w:val="24"/>
      <w:szCs w:val="20"/>
    </w:rPr>
  </w:style>
  <w:style w:type="character" w:customStyle="1" w:styleId="74">
    <w:name w:val="批注文字 字符1"/>
    <w:semiHidden/>
    <w:qFormat/>
    <w:uiPriority w:val="0"/>
    <w:rPr>
      <w:rFonts w:ascii="Times New Roman" w:hAnsi="Times New Roman" w:eastAsia="宋体"/>
      <w:sz w:val="24"/>
    </w:rPr>
  </w:style>
  <w:style w:type="character" w:customStyle="1" w:styleId="75">
    <w:name w:val="表格 Char"/>
    <w:link w:val="76"/>
    <w:qFormat/>
    <w:uiPriority w:val="0"/>
    <w:rPr>
      <w:rFonts w:ascii="宋体"/>
      <w:sz w:val="21"/>
    </w:rPr>
  </w:style>
  <w:style w:type="paragraph" w:customStyle="1" w:styleId="76">
    <w:name w:val="表格"/>
    <w:basedOn w:val="1"/>
    <w:next w:val="1"/>
    <w:link w:val="75"/>
    <w:qFormat/>
    <w:uiPriority w:val="0"/>
    <w:pPr>
      <w:adjustRightInd w:val="0"/>
      <w:snapToGrid w:val="0"/>
      <w:spacing w:beforeLines="10" w:afterLines="10" w:line="259" w:lineRule="auto"/>
      <w:jc w:val="center"/>
    </w:pPr>
    <w:rPr>
      <w:rFonts w:ascii="宋体"/>
      <w:kern w:val="0"/>
      <w:szCs w:val="20"/>
    </w:rPr>
  </w:style>
  <w:style w:type="character" w:customStyle="1" w:styleId="77">
    <w:name w:val="YY表格正文 字符"/>
    <w:link w:val="78"/>
    <w:qFormat/>
    <w:uiPriority w:val="0"/>
    <w:rPr>
      <w:color w:val="000000"/>
      <w:kern w:val="2"/>
      <w:sz w:val="21"/>
      <w:szCs w:val="24"/>
    </w:rPr>
  </w:style>
  <w:style w:type="paragraph" w:customStyle="1" w:styleId="78">
    <w:name w:val="YY表格正文"/>
    <w:basedOn w:val="1"/>
    <w:link w:val="77"/>
    <w:qFormat/>
    <w:uiPriority w:val="0"/>
    <w:pPr>
      <w:tabs>
        <w:tab w:val="left" w:pos="0"/>
      </w:tabs>
      <w:adjustRightInd w:val="0"/>
      <w:snapToGrid w:val="0"/>
      <w:jc w:val="center"/>
    </w:pPr>
    <w:rPr>
      <w:color w:val="000000"/>
    </w:rPr>
  </w:style>
  <w:style w:type="character" w:customStyle="1" w:styleId="79">
    <w:name w:val="页脚 字符"/>
    <w:basedOn w:val="39"/>
    <w:qFormat/>
    <w:uiPriority w:val="99"/>
  </w:style>
  <w:style w:type="character" w:customStyle="1" w:styleId="80">
    <w:name w:val="纯文本 字符1"/>
    <w:qFormat/>
    <w:uiPriority w:val="0"/>
    <w:rPr>
      <w:rFonts w:ascii="宋体" w:hAnsi="Courier New" w:cs="Courier New"/>
      <w:kern w:val="2"/>
      <w:sz w:val="21"/>
      <w:szCs w:val="21"/>
    </w:rPr>
  </w:style>
  <w:style w:type="character" w:customStyle="1" w:styleId="81">
    <w:name w:val="日期 字符"/>
    <w:semiHidden/>
    <w:qFormat/>
    <w:uiPriority w:val="0"/>
    <w:rPr>
      <w:rFonts w:ascii="Times New Roman" w:hAnsi="Times New Roman" w:eastAsia="宋体"/>
      <w:sz w:val="24"/>
    </w:rPr>
  </w:style>
  <w:style w:type="character" w:customStyle="1" w:styleId="82">
    <w:name w:val="表格内容 Char"/>
    <w:link w:val="83"/>
    <w:qFormat/>
    <w:uiPriority w:val="0"/>
    <w:rPr>
      <w:rFonts w:ascii="Arial" w:hAnsi="Arial" w:eastAsia="仿宋_GB2312"/>
      <w:sz w:val="24"/>
    </w:rPr>
  </w:style>
  <w:style w:type="paragraph" w:customStyle="1" w:styleId="83">
    <w:name w:val="表格内容"/>
    <w:basedOn w:val="1"/>
    <w:link w:val="82"/>
    <w:qFormat/>
    <w:uiPriority w:val="0"/>
    <w:pPr>
      <w:overflowPunct w:val="0"/>
      <w:spacing w:before="40" w:after="60" w:line="200" w:lineRule="atLeast"/>
      <w:textAlignment w:val="baseline"/>
    </w:pPr>
    <w:rPr>
      <w:rFonts w:ascii="Arial" w:hAnsi="Arial" w:eastAsia="仿宋_GB2312"/>
      <w:kern w:val="0"/>
      <w:sz w:val="24"/>
      <w:szCs w:val="20"/>
    </w:rPr>
  </w:style>
  <w:style w:type="character" w:customStyle="1" w:styleId="84">
    <w:name w:val="1表格 Char"/>
    <w:link w:val="85"/>
    <w:qFormat/>
    <w:uiPriority w:val="0"/>
    <w:rPr>
      <w:spacing w:val="4"/>
      <w:szCs w:val="24"/>
    </w:rPr>
  </w:style>
  <w:style w:type="paragraph" w:customStyle="1" w:styleId="85">
    <w:name w:val="1表格"/>
    <w:basedOn w:val="1"/>
    <w:link w:val="84"/>
    <w:qFormat/>
    <w:uiPriority w:val="0"/>
    <w:pPr>
      <w:adjustRightInd w:val="0"/>
      <w:snapToGrid w:val="0"/>
      <w:jc w:val="center"/>
    </w:pPr>
    <w:rPr>
      <w:spacing w:val="4"/>
      <w:kern w:val="0"/>
      <w:sz w:val="20"/>
    </w:rPr>
  </w:style>
  <w:style w:type="character" w:customStyle="1" w:styleId="86">
    <w:name w:val="表内表 字符"/>
    <w:link w:val="87"/>
    <w:qFormat/>
    <w:uiPriority w:val="0"/>
    <w:rPr>
      <w:bCs/>
      <w:kern w:val="2"/>
      <w:sz w:val="21"/>
      <w:szCs w:val="21"/>
    </w:rPr>
  </w:style>
  <w:style w:type="paragraph" w:customStyle="1" w:styleId="87">
    <w:name w:val="表内表"/>
    <w:basedOn w:val="1"/>
    <w:link w:val="86"/>
    <w:qFormat/>
    <w:uiPriority w:val="0"/>
    <w:pPr>
      <w:spacing w:line="240" w:lineRule="atLeast"/>
      <w:jc w:val="center"/>
    </w:pPr>
    <w:rPr>
      <w:bCs/>
      <w:szCs w:val="21"/>
    </w:rPr>
  </w:style>
  <w:style w:type="character" w:customStyle="1" w:styleId="88">
    <w:name w:val="111正文 Char"/>
    <w:link w:val="89"/>
    <w:qFormat/>
    <w:uiPriority w:val="0"/>
    <w:rPr>
      <w:rFonts w:ascii="Calibri" w:hAnsi="Calibri"/>
      <w:kern w:val="0"/>
      <w:sz w:val="24"/>
    </w:rPr>
  </w:style>
  <w:style w:type="paragraph" w:customStyle="1" w:styleId="89">
    <w:name w:val="111正文"/>
    <w:basedOn w:val="1"/>
    <w:link w:val="88"/>
    <w:qFormat/>
    <w:uiPriority w:val="0"/>
    <w:pPr>
      <w:tabs>
        <w:tab w:val="left" w:pos="600"/>
      </w:tabs>
      <w:spacing w:line="360" w:lineRule="auto"/>
      <w:ind w:firstLine="200" w:firstLineChars="200"/>
    </w:pPr>
    <w:rPr>
      <w:rFonts w:ascii="Calibri" w:hAnsi="Calibri"/>
      <w:kern w:val="0"/>
      <w:sz w:val="24"/>
    </w:rPr>
  </w:style>
  <w:style w:type="character" w:customStyle="1" w:styleId="90">
    <w:name w:val="1正文 Char"/>
    <w:link w:val="91"/>
    <w:qFormat/>
    <w:uiPriority w:val="0"/>
    <w:rPr>
      <w:rFonts w:cs="宋体"/>
      <w:kern w:val="2"/>
      <w:sz w:val="24"/>
    </w:rPr>
  </w:style>
  <w:style w:type="paragraph" w:customStyle="1" w:styleId="91">
    <w:name w:val="1正文"/>
    <w:basedOn w:val="1"/>
    <w:link w:val="90"/>
    <w:qFormat/>
    <w:uiPriority w:val="0"/>
    <w:pPr>
      <w:spacing w:line="360" w:lineRule="auto"/>
      <w:ind w:firstLine="200" w:firstLineChars="200"/>
    </w:pPr>
    <w:rPr>
      <w:rFonts w:cs="宋体"/>
      <w:sz w:val="24"/>
      <w:szCs w:val="20"/>
    </w:rPr>
  </w:style>
  <w:style w:type="character" w:customStyle="1" w:styleId="92">
    <w:name w:val="A表格 Char"/>
    <w:link w:val="93"/>
    <w:qFormat/>
    <w:uiPriority w:val="0"/>
    <w:rPr>
      <w:kern w:val="2"/>
      <w:sz w:val="21"/>
      <w:szCs w:val="21"/>
    </w:rPr>
  </w:style>
  <w:style w:type="paragraph" w:customStyle="1" w:styleId="93">
    <w:name w:val="A表格"/>
    <w:basedOn w:val="1"/>
    <w:link w:val="92"/>
    <w:qFormat/>
    <w:uiPriority w:val="0"/>
    <w:pPr>
      <w:jc w:val="center"/>
    </w:pPr>
    <w:rPr>
      <w:szCs w:val="21"/>
    </w:rPr>
  </w:style>
  <w:style w:type="character" w:customStyle="1" w:styleId="94">
    <w:name w:val="题注 字符"/>
    <w:qFormat/>
    <w:uiPriority w:val="0"/>
    <w:rPr>
      <w:rFonts w:eastAsia="黑体"/>
      <w:kern w:val="2"/>
      <w:sz w:val="21"/>
    </w:rPr>
  </w:style>
  <w:style w:type="paragraph" w:customStyle="1" w:styleId="95">
    <w:name w:val="正文4号"/>
    <w:basedOn w:val="1"/>
    <w:qFormat/>
    <w:uiPriority w:val="0"/>
    <w:pPr>
      <w:adjustRightInd w:val="0"/>
      <w:snapToGrid w:val="0"/>
      <w:spacing w:line="360" w:lineRule="auto"/>
      <w:ind w:firstLine="200" w:firstLineChars="200"/>
    </w:pPr>
    <w:rPr>
      <w:sz w:val="24"/>
    </w:rPr>
  </w:style>
  <w:style w:type="paragraph" w:customStyle="1" w:styleId="96">
    <w:name w:val="正文_10"/>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97">
    <w:name w:val="List Paragraph"/>
    <w:basedOn w:val="1"/>
    <w:qFormat/>
    <w:uiPriority w:val="34"/>
    <w:rPr>
      <w:szCs w:val="28"/>
    </w:rPr>
  </w:style>
  <w:style w:type="paragraph" w:customStyle="1" w:styleId="98">
    <w:name w:val="Body Text 21"/>
    <w:basedOn w:val="1"/>
    <w:qFormat/>
    <w:uiPriority w:val="0"/>
    <w:pPr>
      <w:adjustRightInd w:val="0"/>
      <w:textAlignment w:val="baseline"/>
    </w:pPr>
    <w:rPr>
      <w:rFonts w:ascii="仿宋_GB2312" w:hAnsi="Calibri" w:eastAsia="仿宋体"/>
      <w:sz w:val="24"/>
      <w:szCs w:val="20"/>
    </w:rPr>
  </w:style>
  <w:style w:type="paragraph" w:customStyle="1" w:styleId="99">
    <w:name w:val="中文报告书样式"/>
    <w:basedOn w:val="1"/>
    <w:qFormat/>
    <w:uiPriority w:val="99"/>
    <w:pPr>
      <w:spacing w:line="360" w:lineRule="auto"/>
      <w:ind w:firstLine="480" w:firstLineChars="200"/>
      <w:textAlignment w:val="baseline"/>
    </w:pPr>
    <w:rPr>
      <w:kern w:val="24"/>
      <w:sz w:val="24"/>
      <w:szCs w:val="22"/>
    </w:rPr>
  </w:style>
  <w:style w:type="paragraph" w:customStyle="1" w:styleId="100">
    <w:name w:val="正文-lcc"/>
    <w:basedOn w:val="1"/>
    <w:qFormat/>
    <w:uiPriority w:val="0"/>
    <w:pPr>
      <w:snapToGrid w:val="0"/>
      <w:spacing w:line="360" w:lineRule="auto"/>
      <w:ind w:firstLine="200" w:firstLineChars="200"/>
    </w:pPr>
    <w:rPr>
      <w:rFonts w:ascii="等线" w:hAnsi="等线" w:eastAsia="仿宋"/>
      <w:color w:val="000000"/>
      <w:sz w:val="24"/>
      <w:szCs w:val="20"/>
    </w:rPr>
  </w:style>
  <w:style w:type="paragraph" w:customStyle="1" w:styleId="101">
    <w:name w:val="111表头"/>
    <w:basedOn w:val="1"/>
    <w:qFormat/>
    <w:uiPriority w:val="0"/>
    <w:pPr>
      <w:tabs>
        <w:tab w:val="left" w:pos="600"/>
      </w:tabs>
      <w:spacing w:line="400" w:lineRule="exact"/>
      <w:jc w:val="center"/>
    </w:pPr>
    <w:rPr>
      <w:rFonts w:ascii="Calibri" w:hAnsi="Calibri"/>
      <w:b/>
      <w:kern w:val="0"/>
      <w:sz w:val="24"/>
    </w:rPr>
  </w:style>
  <w:style w:type="paragraph" w:customStyle="1" w:styleId="102">
    <w:name w:val="普通(网站)2"/>
    <w:basedOn w:val="1"/>
    <w:qFormat/>
    <w:uiPriority w:val="0"/>
    <w:pPr>
      <w:widowControl/>
      <w:spacing w:before="100" w:beforeAutospacing="1" w:after="100" w:afterAutospacing="1"/>
      <w:jc w:val="left"/>
    </w:pPr>
    <w:rPr>
      <w:rFonts w:ascii="宋体" w:hAnsi="宋体"/>
      <w:sz w:val="24"/>
      <w:szCs w:val="20"/>
    </w:rPr>
  </w:style>
  <w:style w:type="paragraph" w:customStyle="1" w:styleId="103">
    <w:name w:val="表文字"/>
    <w:basedOn w:val="1"/>
    <w:qFormat/>
    <w:uiPriority w:val="0"/>
    <w:pPr>
      <w:widowControl/>
      <w:jc w:val="center"/>
    </w:pPr>
    <w:rPr>
      <w:kern w:val="0"/>
      <w:szCs w:val="21"/>
    </w:rPr>
  </w:style>
  <w:style w:type="paragraph" w:customStyle="1" w:styleId="104">
    <w:name w:val="Default"/>
    <w:basedOn w:val="105"/>
    <w:qFormat/>
    <w:uiPriority w:val="0"/>
    <w:pPr>
      <w:autoSpaceDE w:val="0"/>
      <w:autoSpaceDN w:val="0"/>
      <w:adjustRightInd w:val="0"/>
    </w:pPr>
    <w:rPr>
      <w:rFonts w:ascii="宋体" w:cs="宋体"/>
      <w:color w:val="000000"/>
      <w:sz w:val="24"/>
      <w:szCs w:val="24"/>
    </w:rPr>
  </w:style>
  <w:style w:type="paragraph" w:customStyle="1" w:styleId="105">
    <w:name w:val="表图"/>
    <w:basedOn w:val="1"/>
    <w:next w:val="1"/>
    <w:qFormat/>
    <w:uiPriority w:val="0"/>
    <w:pPr>
      <w:jc w:val="center"/>
    </w:pPr>
    <w:rPr>
      <w:kern w:val="0"/>
      <w:sz w:val="20"/>
      <w:szCs w:val="20"/>
    </w:rPr>
  </w:style>
  <w:style w:type="paragraph" w:customStyle="1" w:styleId="106">
    <w:name w:val="正文 首行缩进:  2 字符"/>
    <w:basedOn w:val="1"/>
    <w:qFormat/>
    <w:uiPriority w:val="99"/>
    <w:pPr>
      <w:ind w:firstLine="579" w:firstLineChars="200"/>
    </w:pPr>
    <w:rPr>
      <w:rFonts w:eastAsia="等线" w:cs="宋体"/>
      <w:szCs w:val="20"/>
    </w:rPr>
  </w:style>
  <w:style w:type="character" w:customStyle="1" w:styleId="107">
    <w:name w:val="批注文字 字符"/>
    <w:qFormat/>
    <w:uiPriority w:val="99"/>
    <w:rPr>
      <w:rFonts w:ascii="Times New Roman" w:hAnsi="Times New Roman" w:eastAsia="宋体"/>
      <w:sz w:val="24"/>
    </w:rPr>
  </w:style>
  <w:style w:type="paragraph" w:customStyle="1" w:styleId="108">
    <w:name w:val="Table Paragraph"/>
    <w:basedOn w:val="1"/>
    <w:qFormat/>
    <w:uiPriority w:val="0"/>
    <w:pPr>
      <w:jc w:val="left"/>
    </w:pPr>
    <w:rPr>
      <w:rFonts w:ascii="Calibri" w:hAnsi="Calibri"/>
      <w:kern w:val="0"/>
      <w:sz w:val="22"/>
      <w:szCs w:val="22"/>
      <w:lang w:eastAsia="en-US"/>
    </w:rPr>
  </w:style>
  <w:style w:type="character" w:customStyle="1" w:styleId="109">
    <w:name w:val="正文缩进 字符1"/>
    <w:qFormat/>
    <w:uiPriority w:val="0"/>
    <w:rPr>
      <w:kern w:val="2"/>
      <w:sz w:val="28"/>
    </w:rPr>
  </w:style>
  <w:style w:type="character" w:customStyle="1" w:styleId="110">
    <w:name w:val="标题 3 字符"/>
    <w:semiHidden/>
    <w:qFormat/>
    <w:uiPriority w:val="0"/>
    <w:rPr>
      <w:b/>
      <w:bCs/>
      <w:kern w:val="2"/>
      <w:sz w:val="32"/>
      <w:szCs w:val="32"/>
    </w:rPr>
  </w:style>
  <w:style w:type="character" w:customStyle="1" w:styleId="111">
    <w:name w:val="3 正文 Char"/>
    <w:link w:val="112"/>
    <w:qFormat/>
    <w:uiPriority w:val="0"/>
    <w:rPr>
      <w:kern w:val="2"/>
      <w:sz w:val="24"/>
      <w:szCs w:val="24"/>
      <w:lang w:val="zh-CN"/>
    </w:rPr>
  </w:style>
  <w:style w:type="paragraph" w:customStyle="1" w:styleId="112">
    <w:name w:val="3 正文"/>
    <w:basedOn w:val="1"/>
    <w:link w:val="111"/>
    <w:qFormat/>
    <w:uiPriority w:val="0"/>
    <w:pPr>
      <w:adjustRightInd w:val="0"/>
      <w:snapToGrid w:val="0"/>
      <w:spacing w:line="360" w:lineRule="auto"/>
      <w:ind w:firstLine="480" w:firstLineChars="200"/>
    </w:pPr>
    <w:rPr>
      <w:sz w:val="24"/>
      <w:lang w:val="zh-CN"/>
    </w:rPr>
  </w:style>
  <w:style w:type="character" w:customStyle="1" w:styleId="113">
    <w:name w:val="YY正文 字符"/>
    <w:link w:val="114"/>
    <w:qFormat/>
    <w:uiPriority w:val="0"/>
    <w:rPr>
      <w:kern w:val="2"/>
      <w:sz w:val="24"/>
      <w:szCs w:val="24"/>
      <w:lang w:val="zh-CN"/>
    </w:rPr>
  </w:style>
  <w:style w:type="paragraph" w:customStyle="1" w:styleId="114">
    <w:name w:val="YY正文"/>
    <w:basedOn w:val="1"/>
    <w:link w:val="113"/>
    <w:qFormat/>
    <w:uiPriority w:val="0"/>
    <w:pPr>
      <w:adjustRightInd w:val="0"/>
      <w:snapToGrid w:val="0"/>
      <w:spacing w:line="360" w:lineRule="auto"/>
      <w:ind w:firstLine="200" w:firstLineChars="200"/>
    </w:pPr>
    <w:rPr>
      <w:sz w:val="24"/>
      <w:lang w:val="zh-CN"/>
    </w:rPr>
  </w:style>
  <w:style w:type="character" w:customStyle="1" w:styleId="115">
    <w:name w:val="表、图标题 Char"/>
    <w:link w:val="116"/>
    <w:qFormat/>
    <w:uiPriority w:val="0"/>
    <w:rPr>
      <w:b/>
      <w:bCs/>
      <w:sz w:val="24"/>
      <w:szCs w:val="24"/>
    </w:rPr>
  </w:style>
  <w:style w:type="paragraph" w:customStyle="1" w:styleId="116">
    <w:name w:val="表、图标题"/>
    <w:basedOn w:val="1"/>
    <w:link w:val="115"/>
    <w:qFormat/>
    <w:uiPriority w:val="0"/>
    <w:pPr>
      <w:widowControl/>
      <w:adjustRightInd w:val="0"/>
      <w:snapToGrid w:val="0"/>
      <w:spacing w:line="360" w:lineRule="auto"/>
      <w:jc w:val="center"/>
    </w:pPr>
    <w:rPr>
      <w:b/>
      <w:bCs/>
      <w:kern w:val="0"/>
      <w:sz w:val="24"/>
    </w:rPr>
  </w:style>
  <w:style w:type="paragraph" w:customStyle="1" w:styleId="117">
    <w:name w:val="修订1"/>
    <w:hidden/>
    <w:semiHidden/>
    <w:qFormat/>
    <w:uiPriority w:val="99"/>
    <w:rPr>
      <w:rFonts w:ascii="Times New Roman" w:hAnsi="Times New Roman" w:eastAsia="宋体" w:cs="Times New Roman"/>
      <w:kern w:val="2"/>
      <w:sz w:val="21"/>
      <w:szCs w:val="24"/>
      <w:lang w:val="en-US" w:eastAsia="zh-CN" w:bidi="ar-SA"/>
    </w:rPr>
  </w:style>
  <w:style w:type="paragraph" w:customStyle="1" w:styleId="118">
    <w:name w:val="修订2"/>
    <w:hidden/>
    <w:semiHidden/>
    <w:qFormat/>
    <w:uiPriority w:val="99"/>
    <w:rPr>
      <w:rFonts w:ascii="Times New Roman" w:hAnsi="Times New Roman" w:eastAsia="宋体" w:cs="Times New Roman"/>
      <w:kern w:val="2"/>
      <w:sz w:val="21"/>
      <w:szCs w:val="24"/>
      <w:lang w:val="en-US" w:eastAsia="zh-CN" w:bidi="ar-SA"/>
    </w:rPr>
  </w:style>
  <w:style w:type="paragraph" w:customStyle="1" w:styleId="119">
    <w:name w:val="00正文"/>
    <w:basedOn w:val="1"/>
    <w:link w:val="120"/>
    <w:qFormat/>
    <w:uiPriority w:val="0"/>
    <w:pPr>
      <w:overflowPunct w:val="0"/>
      <w:spacing w:line="590" w:lineRule="exact"/>
      <w:ind w:firstLine="200" w:firstLineChars="200"/>
    </w:pPr>
    <w:rPr>
      <w:rFonts w:eastAsia="方正仿宋_GBK"/>
      <w:color w:val="000000"/>
      <w:sz w:val="32"/>
      <w:szCs w:val="32"/>
      <w:lang w:val="zh-CN"/>
    </w:rPr>
  </w:style>
  <w:style w:type="character" w:customStyle="1" w:styleId="120">
    <w:name w:val="00正文 字符"/>
    <w:link w:val="119"/>
    <w:qFormat/>
    <w:uiPriority w:val="0"/>
    <w:rPr>
      <w:rFonts w:eastAsia="方正仿宋_GBK"/>
      <w:color w:val="000000"/>
      <w:kern w:val="2"/>
      <w:sz w:val="32"/>
      <w:szCs w:val="32"/>
      <w:lang w:val="zh-CN" w:eastAsia="zh-CN"/>
    </w:rPr>
  </w:style>
  <w:style w:type="paragraph" w:customStyle="1" w:styleId="121">
    <w:name w:val="02楷体"/>
    <w:basedOn w:val="4"/>
    <w:link w:val="122"/>
    <w:qFormat/>
    <w:uiPriority w:val="0"/>
    <w:pPr>
      <w:keepNext w:val="0"/>
      <w:keepLines w:val="0"/>
      <w:overflowPunct w:val="0"/>
      <w:spacing w:before="0" w:after="0" w:line="590" w:lineRule="exact"/>
      <w:ind w:firstLine="200" w:firstLineChars="200"/>
      <w:outlineLvl w:val="2"/>
    </w:pPr>
    <w:rPr>
      <w:rFonts w:ascii="Calibri Light" w:hAnsi="Calibri Light" w:eastAsia="方正楷体_GBK" w:cs="Times New Roman"/>
      <w:b w:val="0"/>
      <w:color w:val="000000"/>
      <w:kern w:val="0"/>
      <w:lang w:val="zh-CN"/>
    </w:rPr>
  </w:style>
  <w:style w:type="character" w:customStyle="1" w:styleId="122">
    <w:name w:val="02楷体 字符"/>
    <w:link w:val="121"/>
    <w:qFormat/>
    <w:uiPriority w:val="0"/>
    <w:rPr>
      <w:rFonts w:ascii="Calibri Light" w:hAnsi="Calibri Light" w:eastAsia="方正楷体_GBK"/>
      <w:bCs/>
      <w:color w:val="000000"/>
      <w:sz w:val="32"/>
      <w:szCs w:val="32"/>
      <w:lang w:val="zh-CN" w:eastAsia="zh-CN"/>
    </w:rPr>
  </w:style>
  <w:style w:type="paragraph" w:customStyle="1" w:styleId="123">
    <w:name w:val="YY书正文"/>
    <w:basedOn w:val="1"/>
    <w:link w:val="124"/>
    <w:qFormat/>
    <w:uiPriority w:val="0"/>
    <w:pPr>
      <w:adjustRightInd w:val="0"/>
      <w:snapToGrid w:val="0"/>
      <w:spacing w:line="324" w:lineRule="auto"/>
      <w:ind w:firstLine="200" w:firstLineChars="200"/>
    </w:pPr>
    <w:rPr>
      <w:rFonts w:eastAsia="仿宋_GB2312"/>
      <w:sz w:val="24"/>
    </w:rPr>
  </w:style>
  <w:style w:type="character" w:customStyle="1" w:styleId="124">
    <w:name w:val="YY书正文 字符"/>
    <w:link w:val="123"/>
    <w:qFormat/>
    <w:uiPriority w:val="0"/>
    <w:rPr>
      <w:rFonts w:eastAsia="仿宋_GB2312"/>
      <w:kern w:val="2"/>
      <w:sz w:val="24"/>
      <w:szCs w:val="24"/>
    </w:rPr>
  </w:style>
  <w:style w:type="table" w:customStyle="1" w:styleId="125">
    <w:name w:val="Table Normal"/>
    <w:unhideWhenUsed/>
    <w:qFormat/>
    <w:uiPriority w:val="2"/>
    <w:rPr>
      <w:rFonts w:ascii="Arial" w:hAnsi="Arial" w:cs="Arial" w:eastAsiaTheme="minorEastAsia"/>
    </w:rPr>
    <w:tblPr>
      <w:tblCellMar>
        <w:top w:w="0" w:type="dxa"/>
        <w:left w:w="0" w:type="dxa"/>
        <w:bottom w:w="0" w:type="dxa"/>
        <w:right w:w="0" w:type="dxa"/>
      </w:tblCellMar>
    </w:tblPr>
  </w:style>
  <w:style w:type="character" w:customStyle="1" w:styleId="126">
    <w:name w:val="正文，表格下一行 Char"/>
    <w:link w:val="127"/>
    <w:qFormat/>
    <w:uiPriority w:val="0"/>
    <w:rPr>
      <w:sz w:val="24"/>
      <w:szCs w:val="24"/>
      <w:lang w:val="zh-CN"/>
    </w:rPr>
  </w:style>
  <w:style w:type="paragraph" w:customStyle="1" w:styleId="127">
    <w:name w:val="正文，表格下一行"/>
    <w:basedOn w:val="1"/>
    <w:link w:val="126"/>
    <w:qFormat/>
    <w:uiPriority w:val="0"/>
    <w:pPr>
      <w:widowControl/>
      <w:adjustRightInd w:val="0"/>
      <w:snapToGrid w:val="0"/>
      <w:spacing w:before="50" w:beforeLines="50" w:line="360" w:lineRule="auto"/>
      <w:ind w:firstLine="200" w:firstLineChars="200"/>
      <w:jc w:val="left"/>
    </w:pPr>
    <w:rPr>
      <w:kern w:val="0"/>
      <w:sz w:val="24"/>
      <w:lang w:val="zh-CN"/>
    </w:rPr>
  </w:style>
  <w:style w:type="character" w:customStyle="1" w:styleId="128">
    <w:name w:val="正文-wu Char"/>
    <w:link w:val="129"/>
    <w:qFormat/>
    <w:uiPriority w:val="0"/>
    <w:rPr>
      <w:rFonts w:eastAsia="仿宋_GB2312" w:cs="黑体"/>
      <w:kern w:val="2"/>
      <w:sz w:val="24"/>
      <w:szCs w:val="22"/>
    </w:rPr>
  </w:style>
  <w:style w:type="paragraph" w:customStyle="1" w:styleId="129">
    <w:name w:val="正文-wu"/>
    <w:basedOn w:val="1"/>
    <w:link w:val="128"/>
    <w:qFormat/>
    <w:uiPriority w:val="0"/>
    <w:pPr>
      <w:spacing w:line="360" w:lineRule="auto"/>
      <w:ind w:firstLine="200" w:firstLineChars="200"/>
    </w:pPr>
    <w:rPr>
      <w:rFonts w:eastAsia="仿宋_GB2312" w:cs="黑体"/>
      <w:sz w:val="24"/>
      <w:szCs w:val="22"/>
    </w:rPr>
  </w:style>
  <w:style w:type="paragraph" w:customStyle="1" w:styleId="130">
    <w:name w:val="列出段落1"/>
    <w:basedOn w:val="1"/>
    <w:next w:val="1"/>
    <w:qFormat/>
    <w:uiPriority w:val="99"/>
    <w:pPr>
      <w:spacing w:line="360" w:lineRule="exact"/>
      <w:jc w:val="center"/>
    </w:pPr>
    <w:rPr>
      <w:color w:val="000000"/>
      <w:szCs w:val="21"/>
    </w:rPr>
  </w:style>
  <w:style w:type="character" w:customStyle="1" w:styleId="131">
    <w:name w:val="font21"/>
    <w:basedOn w:val="39"/>
    <w:qFormat/>
    <w:uiPriority w:val="0"/>
    <w:rPr>
      <w:rFonts w:hint="eastAsia" w:ascii="宋体" w:hAnsi="宋体" w:eastAsia="宋体" w:cs="宋体"/>
      <w:color w:val="000000"/>
      <w:kern w:val="2"/>
      <w:sz w:val="21"/>
      <w:szCs w:val="21"/>
      <w:u w:val="none"/>
      <w:vertAlign w:val="superscript"/>
      <w:lang w:val="en-US" w:eastAsia="zh-CN" w:bidi="ar-SA"/>
    </w:rPr>
  </w:style>
  <w:style w:type="paragraph" w:customStyle="1" w:styleId="132">
    <w:name w:val="表格1"/>
    <w:qFormat/>
    <w:uiPriority w:val="0"/>
    <w:rPr>
      <w:rFonts w:ascii="Arial Narrow" w:hAnsi="Arial Narrow" w:eastAsia="宋体" w:cs="Times New Roman"/>
      <w:kern w:val="2"/>
      <w:sz w:val="21"/>
      <w:szCs w:val="21"/>
      <w:lang w:val="en-US" w:eastAsia="zh-CN" w:bidi="ar-SA"/>
    </w:rPr>
  </w:style>
  <w:style w:type="character" w:customStyle="1" w:styleId="133">
    <w:name w:val="正文文本 2 字符"/>
    <w:basedOn w:val="39"/>
    <w:link w:val="33"/>
    <w:qFormat/>
    <w:uiPriority w:val="0"/>
    <w:rPr>
      <w:kern w:val="2"/>
      <w:sz w:val="21"/>
      <w:szCs w:val="24"/>
    </w:rPr>
  </w:style>
  <w:style w:type="character" w:customStyle="1" w:styleId="134">
    <w:name w:val="正文首行缩进 2 字符"/>
    <w:qFormat/>
    <w:uiPriority w:val="0"/>
    <w:rPr>
      <w:rFonts w:ascii="Times New Roman" w:hAnsi="Times New Roman" w:eastAsia="宋体"/>
      <w:kern w:val="2"/>
      <w:sz w:val="21"/>
    </w:rPr>
  </w:style>
  <w:style w:type="character" w:customStyle="1" w:styleId="135">
    <w:name w:val="正文缩进 字符"/>
    <w:qFormat/>
    <w:uiPriority w:val="0"/>
    <w:rPr>
      <w:kern w:val="2"/>
      <w:sz w:val="28"/>
    </w:rPr>
  </w:style>
  <w:style w:type="character" w:customStyle="1" w:styleId="136">
    <w:name w:val="正文文本 字符"/>
    <w:qFormat/>
    <w:uiPriority w:val="0"/>
    <w:rPr>
      <w:sz w:val="18"/>
    </w:rPr>
  </w:style>
  <w:style w:type="character" w:customStyle="1" w:styleId="137">
    <w:name w:val="纯文本 字符"/>
    <w:qFormat/>
    <w:uiPriority w:val="0"/>
    <w:rPr>
      <w:rFonts w:ascii="宋体" w:hAnsi="Courier New"/>
      <w:kern w:val="2"/>
    </w:rPr>
  </w:style>
  <w:style w:type="character" w:customStyle="1" w:styleId="138">
    <w:name w:val="日期 字符1"/>
    <w:qFormat/>
    <w:uiPriority w:val="0"/>
    <w:rPr>
      <w:rFonts w:ascii="Times New Roman" w:hAnsi="Times New Roman" w:eastAsia="宋体"/>
      <w:sz w:val="24"/>
    </w:rPr>
  </w:style>
  <w:style w:type="character" w:customStyle="1" w:styleId="139">
    <w:name w:val="正文文本缩进 2 字符"/>
    <w:basedOn w:val="39"/>
    <w:link w:val="27"/>
    <w:qFormat/>
    <w:uiPriority w:val="0"/>
    <w:rPr>
      <w:color w:val="000000"/>
      <w:kern w:val="2"/>
      <w:sz w:val="24"/>
      <w:szCs w:val="24"/>
    </w:rPr>
  </w:style>
  <w:style w:type="character" w:customStyle="1" w:styleId="140">
    <w:name w:val="页脚 字符1"/>
    <w:qFormat/>
    <w:uiPriority w:val="99"/>
    <w:rPr>
      <w:sz w:val="18"/>
    </w:rPr>
  </w:style>
  <w:style w:type="character" w:customStyle="1" w:styleId="141">
    <w:name w:val="页眉 字符"/>
    <w:qFormat/>
    <w:uiPriority w:val="0"/>
    <w:rPr>
      <w:sz w:val="18"/>
    </w:rPr>
  </w:style>
  <w:style w:type="character" w:customStyle="1" w:styleId="142">
    <w:name w:val="正文文本缩进 3 字符"/>
    <w:basedOn w:val="39"/>
    <w:link w:val="32"/>
    <w:qFormat/>
    <w:uiPriority w:val="0"/>
    <w:rPr>
      <w:kern w:val="2"/>
      <w:sz w:val="24"/>
      <w:szCs w:val="24"/>
    </w:rPr>
  </w:style>
  <w:style w:type="character" w:customStyle="1" w:styleId="143">
    <w:name w:val="普通(网站) 字符"/>
    <w:qFormat/>
    <w:uiPriority w:val="0"/>
    <w:rPr>
      <w:rFonts w:ascii="宋体" w:hAnsi="宋体" w:eastAsia="宋体"/>
      <w:sz w:val="24"/>
    </w:rPr>
  </w:style>
  <w:style w:type="character" w:customStyle="1" w:styleId="144">
    <w:name w:val="正文首行缩进 字符"/>
    <w:qFormat/>
    <w:uiPriority w:val="0"/>
    <w:rPr>
      <w:kern w:val="2"/>
      <w:sz w:val="21"/>
    </w:rPr>
  </w:style>
  <w:style w:type="paragraph" w:customStyle="1" w:styleId="145">
    <w:name w:val="Char Char1 Char"/>
    <w:basedOn w:val="1"/>
    <w:qFormat/>
    <w:uiPriority w:val="0"/>
    <w:rPr>
      <w:sz w:val="24"/>
    </w:rPr>
  </w:style>
  <w:style w:type="character" w:customStyle="1" w:styleId="146">
    <w:name w:val="font31"/>
    <w:qFormat/>
    <w:uiPriority w:val="0"/>
    <w:rPr>
      <w:rFonts w:hint="eastAsia" w:ascii="宋体" w:hAnsi="宋体" w:eastAsia="宋体" w:cs="宋体"/>
      <w:color w:val="000000"/>
      <w:sz w:val="21"/>
      <w:szCs w:val="21"/>
      <w:u w:val="none"/>
    </w:rPr>
  </w:style>
  <w:style w:type="character" w:customStyle="1" w:styleId="147">
    <w:name w:val="font01"/>
    <w:qFormat/>
    <w:uiPriority w:val="0"/>
    <w:rPr>
      <w:rFonts w:hint="eastAsia" w:ascii="宋体" w:hAnsi="宋体" w:eastAsia="宋体" w:cs="宋体"/>
      <w:color w:val="000000"/>
      <w:sz w:val="18"/>
      <w:szCs w:val="18"/>
      <w:u w:val="none"/>
    </w:rPr>
  </w:style>
  <w:style w:type="character" w:customStyle="1" w:styleId="148">
    <w:name w:val="font11"/>
    <w:qFormat/>
    <w:uiPriority w:val="0"/>
    <w:rPr>
      <w:rFonts w:hint="eastAsia" w:ascii="宋体" w:hAnsi="宋体" w:eastAsia="宋体" w:cs="宋体"/>
      <w:color w:val="000000"/>
      <w:sz w:val="21"/>
      <w:szCs w:val="21"/>
      <w:u w:val="none"/>
    </w:rPr>
  </w:style>
  <w:style w:type="character" w:customStyle="1" w:styleId="149">
    <w:name w:val="font81"/>
    <w:qFormat/>
    <w:uiPriority w:val="0"/>
    <w:rPr>
      <w:rFonts w:hint="default" w:ascii="Times New Roman" w:hAnsi="Times New Roman" w:cs="Times New Roman"/>
      <w:color w:val="FF0000"/>
      <w:sz w:val="18"/>
      <w:szCs w:val="18"/>
      <w:u w:val="none"/>
      <w:vertAlign w:val="superscript"/>
    </w:rPr>
  </w:style>
  <w:style w:type="character" w:customStyle="1" w:styleId="150">
    <w:name w:val="font41"/>
    <w:qFormat/>
    <w:uiPriority w:val="0"/>
    <w:rPr>
      <w:rFonts w:hint="default" w:ascii="Times New Roman" w:hAnsi="Times New Roman" w:cs="Times New Roman"/>
      <w:color w:val="000000"/>
      <w:sz w:val="21"/>
      <w:szCs w:val="21"/>
      <w:u w:val="none"/>
    </w:rPr>
  </w:style>
  <w:style w:type="character" w:customStyle="1" w:styleId="151">
    <w:name w:val="fontstyle01"/>
    <w:qFormat/>
    <w:uiPriority w:val="0"/>
    <w:rPr>
      <w:rFonts w:hint="eastAsia" w:ascii="宋体" w:hAnsi="宋体" w:eastAsia="宋体" w:cs="宋体"/>
      <w:color w:val="000000"/>
      <w:kern w:val="0"/>
      <w:sz w:val="24"/>
      <w:szCs w:val="24"/>
    </w:rPr>
  </w:style>
  <w:style w:type="character" w:customStyle="1" w:styleId="152">
    <w:name w:val="font51"/>
    <w:qFormat/>
    <w:uiPriority w:val="0"/>
    <w:rPr>
      <w:rFonts w:hint="default" w:ascii="Times New Roman" w:hAnsi="Times New Roman" w:cs="Times New Roman"/>
      <w:b/>
      <w:color w:val="000000"/>
      <w:sz w:val="18"/>
      <w:szCs w:val="18"/>
      <w:u w:val="none"/>
    </w:rPr>
  </w:style>
  <w:style w:type="character" w:customStyle="1" w:styleId="153">
    <w:name w:val="font71"/>
    <w:qFormat/>
    <w:uiPriority w:val="0"/>
    <w:rPr>
      <w:rFonts w:hint="eastAsia" w:ascii="宋体" w:hAnsi="宋体" w:eastAsia="宋体" w:cs="宋体"/>
      <w:color w:val="000000"/>
      <w:sz w:val="18"/>
      <w:szCs w:val="18"/>
      <w:u w:val="none"/>
    </w:rPr>
  </w:style>
  <w:style w:type="paragraph" w:customStyle="1" w:styleId="154">
    <w:name w:val="xl24"/>
    <w:basedOn w:val="1"/>
    <w:qFormat/>
    <w:uiPriority w:val="0"/>
    <w:pPr>
      <w:widowControl/>
      <w:pBdr>
        <w:bottom w:val="single" w:color="auto" w:sz="4" w:space="0"/>
        <w:right w:val="single" w:color="auto" w:sz="4" w:space="0"/>
      </w:pBdr>
      <w:spacing w:before="100" w:beforeAutospacing="1" w:after="100" w:afterAutospacing="1"/>
      <w:jc w:val="center"/>
    </w:pPr>
    <w:rPr>
      <w:rFonts w:eastAsia="Arial Unicode MS"/>
      <w:kern w:val="0"/>
      <w:sz w:val="24"/>
    </w:rPr>
  </w:style>
  <w:style w:type="paragraph" w:customStyle="1" w:styleId="155">
    <w:name w:val="无间隔1"/>
    <w:qFormat/>
    <w:uiPriority w:val="1"/>
    <w:pPr>
      <w:widowControl w:val="0"/>
      <w:jc w:val="center"/>
    </w:pPr>
    <w:rPr>
      <w:rFonts w:ascii="宋体" w:hAnsi="Courier New" w:eastAsia="仿宋_GB2312" w:cs="Times New Roman"/>
      <w:kern w:val="2"/>
      <w:sz w:val="24"/>
      <w:lang w:val="en-US" w:eastAsia="zh-CN" w:bidi="ar-SA"/>
    </w:rPr>
  </w:style>
  <w:style w:type="paragraph" w:customStyle="1" w:styleId="156">
    <w:name w:val="无间隔11"/>
    <w:qFormat/>
    <w:uiPriority w:val="0"/>
    <w:pPr>
      <w:widowControl w:val="0"/>
    </w:pPr>
    <w:rPr>
      <w:rFonts w:ascii="宋体" w:hAnsi="Courier New" w:eastAsia="仿宋_GB2312" w:cs="Times New Roman"/>
      <w:kern w:val="2"/>
      <w:sz w:val="21"/>
      <w:lang w:val="en-US" w:eastAsia="zh-CN" w:bidi="ar-SA"/>
    </w:rPr>
  </w:style>
  <w:style w:type="paragraph" w:customStyle="1" w:styleId="157">
    <w:name w:val="Normal Indent1"/>
    <w:basedOn w:val="1"/>
    <w:qFormat/>
    <w:uiPriority w:val="99"/>
    <w:pPr>
      <w:adjustRightInd w:val="0"/>
      <w:snapToGrid w:val="0"/>
      <w:spacing w:line="300" w:lineRule="auto"/>
      <w:ind w:firstLine="200" w:firstLineChars="200"/>
    </w:pPr>
    <w:rPr>
      <w:rFonts w:ascii="宋体" w:hAnsi="Calibri" w:cs="宋体"/>
      <w:sz w:val="24"/>
    </w:rPr>
  </w:style>
  <w:style w:type="paragraph" w:customStyle="1" w:styleId="158">
    <w:name w:val="标题1"/>
    <w:basedOn w:val="1"/>
    <w:next w:val="1"/>
    <w:qFormat/>
    <w:uiPriority w:val="0"/>
    <w:pPr>
      <w:tabs>
        <w:tab w:val="left" w:pos="9193"/>
        <w:tab w:val="left" w:pos="9827"/>
      </w:tabs>
      <w:autoSpaceDE w:val="0"/>
      <w:autoSpaceDN w:val="0"/>
      <w:snapToGrid w:val="0"/>
      <w:spacing w:line="700" w:lineRule="atLeast"/>
      <w:jc w:val="center"/>
    </w:pPr>
    <w:rPr>
      <w:rFonts w:eastAsia="方正小标宋_GBK"/>
      <w:kern w:val="0"/>
      <w:sz w:val="44"/>
      <w:szCs w:val="20"/>
    </w:rPr>
  </w:style>
  <w:style w:type="paragraph" w:customStyle="1" w:styleId="159">
    <w:name w:val="列出段落2"/>
    <w:basedOn w:val="1"/>
    <w:qFormat/>
    <w:uiPriority w:val="34"/>
    <w:pPr>
      <w:ind w:firstLine="420" w:firstLineChars="200"/>
    </w:pPr>
    <w:rPr>
      <w:rFonts w:ascii="Calibri" w:hAnsi="Calibri"/>
      <w:szCs w:val="22"/>
    </w:rPr>
  </w:style>
  <w:style w:type="paragraph" w:customStyle="1" w:styleId="160">
    <w:name w:val="Char Char Char Char Char Char Char Char Char Char Char Char Char Char Char Char Char Char Char Char Char Char Char Char Char Char1"/>
    <w:basedOn w:val="1"/>
    <w:qFormat/>
    <w:uiPriority w:val="99"/>
    <w:rPr>
      <w:sz w:val="24"/>
    </w:rPr>
  </w:style>
  <w:style w:type="paragraph" w:customStyle="1" w:styleId="161">
    <w:name w:val="！正文"/>
    <w:basedOn w:val="1"/>
    <w:qFormat/>
    <w:uiPriority w:val="0"/>
    <w:pPr>
      <w:spacing w:line="500" w:lineRule="exact"/>
      <w:ind w:firstLine="200" w:firstLineChars="200"/>
    </w:pPr>
    <w:rPr>
      <w:rFonts w:ascii="Calibri" w:hAnsi="Calibri"/>
      <w:sz w:val="24"/>
      <w:szCs w:val="22"/>
    </w:rPr>
  </w:style>
  <w:style w:type="paragraph" w:customStyle="1" w:styleId="162">
    <w:name w:val="p0"/>
    <w:basedOn w:val="1"/>
    <w:qFormat/>
    <w:uiPriority w:val="0"/>
    <w:pPr>
      <w:widowControl/>
    </w:pPr>
    <w:rPr>
      <w:kern w:val="0"/>
      <w:szCs w:val="21"/>
    </w:rPr>
  </w:style>
  <w:style w:type="paragraph" w:customStyle="1" w:styleId="163">
    <w:name w:val="小四表文左齐"/>
    <w:basedOn w:val="1"/>
    <w:qFormat/>
    <w:uiPriority w:val="0"/>
    <w:pPr>
      <w:jc w:val="center"/>
    </w:pPr>
    <w:rPr>
      <w:rFonts w:ascii="宋体" w:hAnsi="宋体"/>
      <w:color w:val="000000"/>
      <w:szCs w:val="21"/>
    </w:rPr>
  </w:style>
  <w:style w:type="paragraph" w:customStyle="1" w:styleId="164">
    <w:name w:val="表格标题"/>
    <w:basedOn w:val="1"/>
    <w:qFormat/>
    <w:uiPriority w:val="99"/>
    <w:pPr>
      <w:spacing w:beforeLines="50" w:line="400" w:lineRule="exact"/>
      <w:jc w:val="center"/>
    </w:pPr>
    <w:rPr>
      <w:b/>
    </w:rPr>
  </w:style>
  <w:style w:type="paragraph" w:customStyle="1" w:styleId="165">
    <w:name w:val="Char3"/>
    <w:basedOn w:val="1"/>
    <w:qFormat/>
    <w:uiPriority w:val="0"/>
    <w:rPr>
      <w:rFonts w:eastAsia="Times New Roman"/>
      <w:kern w:val="0"/>
      <w:sz w:val="24"/>
    </w:rPr>
  </w:style>
  <w:style w:type="paragraph" w:customStyle="1" w:styleId="166">
    <w:name w:val="框图"/>
    <w:basedOn w:val="1"/>
    <w:qFormat/>
    <w:uiPriority w:val="0"/>
    <w:pPr>
      <w:adjustRightInd w:val="0"/>
      <w:snapToGrid w:val="0"/>
      <w:spacing w:line="27" w:lineRule="atLeast"/>
      <w:ind w:left="12" w:leftChars="-38" w:right="-38" w:rightChars="-38" w:hanging="92" w:hangingChars="54"/>
      <w:jc w:val="center"/>
    </w:pPr>
    <w:rPr>
      <w:rFonts w:ascii="宋体" w:hAnsi="宋体"/>
      <w:spacing w:val="-20"/>
    </w:rPr>
  </w:style>
  <w:style w:type="paragraph" w:customStyle="1" w:styleId="167">
    <w:name w:val="报告书 正文"/>
    <w:qFormat/>
    <w:uiPriority w:val="0"/>
    <w:pPr>
      <w:widowControl w:val="0"/>
      <w:spacing w:line="500" w:lineRule="exact"/>
      <w:ind w:firstLine="200" w:firstLineChars="200"/>
      <w:jc w:val="both"/>
    </w:pPr>
    <w:rPr>
      <w:rFonts w:ascii="Times New Roman" w:hAnsi="Times New Roman" w:eastAsia="仿宋_GB2312" w:cs="Times New Roman"/>
      <w:kern w:val="2"/>
      <w:sz w:val="28"/>
      <w:szCs w:val="24"/>
      <w:lang w:val="en-US" w:eastAsia="zh-CN" w:bidi="ar-SA"/>
    </w:rPr>
  </w:style>
  <w:style w:type="paragraph" w:customStyle="1" w:styleId="168">
    <w:name w:val="常用正文样式"/>
    <w:basedOn w:val="1"/>
    <w:qFormat/>
    <w:uiPriority w:val="0"/>
    <w:pPr>
      <w:spacing w:line="360" w:lineRule="auto"/>
      <w:ind w:firstLine="480" w:firstLineChars="200"/>
    </w:pPr>
    <w:rPr>
      <w:rFonts w:ascii="宋体" w:hAnsi="宋体" w:eastAsia="仿宋_GB2312"/>
      <w:bCs/>
      <w:kern w:val="28"/>
      <w:sz w:val="24"/>
    </w:rPr>
  </w:style>
  <w:style w:type="paragraph" w:customStyle="1" w:styleId="169">
    <w:name w:val="图表"/>
    <w:basedOn w:val="76"/>
    <w:link w:val="258"/>
    <w:qFormat/>
    <w:uiPriority w:val="0"/>
    <w:rPr>
      <w:color w:val="000000"/>
      <w:szCs w:val="21"/>
    </w:rPr>
  </w:style>
  <w:style w:type="character" w:customStyle="1" w:styleId="170">
    <w:name w:val="font91"/>
    <w:qFormat/>
    <w:uiPriority w:val="0"/>
    <w:rPr>
      <w:rFonts w:hint="default" w:ascii="Times New Roman" w:hAnsi="Times New Roman" w:cs="Times New Roman"/>
      <w:color w:val="0000FF"/>
      <w:sz w:val="21"/>
      <w:szCs w:val="21"/>
      <w:u w:val="none"/>
      <w:vertAlign w:val="superscript"/>
    </w:rPr>
  </w:style>
  <w:style w:type="character" w:customStyle="1" w:styleId="171">
    <w:name w:val="unnamed11"/>
    <w:qFormat/>
    <w:uiPriority w:val="0"/>
  </w:style>
  <w:style w:type="character" w:customStyle="1" w:styleId="172">
    <w:name w:val="正文缩进 Char"/>
    <w:qFormat/>
    <w:uiPriority w:val="0"/>
    <w:rPr>
      <w:rFonts w:eastAsia="宋体"/>
      <w:kern w:val="2"/>
      <w:sz w:val="28"/>
      <w:szCs w:val="24"/>
      <w:lang w:val="en-US" w:eastAsia="zh-CN" w:bidi="ar-SA"/>
    </w:rPr>
  </w:style>
  <w:style w:type="character" w:customStyle="1" w:styleId="173">
    <w:name w:val="批注文字 Char1"/>
    <w:qFormat/>
    <w:uiPriority w:val="0"/>
    <w:rPr>
      <w:kern w:val="2"/>
      <w:sz w:val="21"/>
    </w:rPr>
  </w:style>
  <w:style w:type="paragraph" w:customStyle="1" w:styleId="174">
    <w:name w:val="附录章标题"/>
    <w:next w:val="1"/>
    <w:qFormat/>
    <w:uiPriority w:val="0"/>
    <w:pPr>
      <w:tabs>
        <w:tab w:val="left" w:pos="780"/>
      </w:tabs>
      <w:wordWrap w:val="0"/>
      <w:overflowPunct w:val="0"/>
      <w:autoSpaceDE w:val="0"/>
      <w:spacing w:before="50" w:beforeLines="50" w:after="50" w:afterLines="50"/>
      <w:ind w:left="780" w:hanging="360"/>
      <w:jc w:val="both"/>
      <w:textAlignment w:val="baseline"/>
      <w:outlineLvl w:val="1"/>
    </w:pPr>
    <w:rPr>
      <w:rFonts w:ascii="黑体" w:hAnsi="Times New Roman" w:eastAsia="黑体" w:cs="Times New Roman"/>
      <w:kern w:val="21"/>
      <w:sz w:val="21"/>
      <w:lang w:val="en-US" w:eastAsia="zh-CN" w:bidi="ar-SA"/>
    </w:rPr>
  </w:style>
  <w:style w:type="character" w:customStyle="1" w:styleId="175">
    <w:name w:val="标题 5 字符"/>
    <w:basedOn w:val="39"/>
    <w:semiHidden/>
    <w:qFormat/>
    <w:uiPriority w:val="0"/>
    <w:rPr>
      <w:b/>
      <w:bCs/>
      <w:kern w:val="2"/>
      <w:sz w:val="28"/>
      <w:szCs w:val="28"/>
    </w:rPr>
  </w:style>
  <w:style w:type="character" w:customStyle="1" w:styleId="176">
    <w:name w:val="标题 6 字符"/>
    <w:basedOn w:val="39"/>
    <w:semiHidden/>
    <w:qFormat/>
    <w:uiPriority w:val="0"/>
    <w:rPr>
      <w:rFonts w:asciiTheme="majorHAnsi" w:hAnsiTheme="majorHAnsi" w:eastAsiaTheme="majorEastAsia" w:cstheme="majorBidi"/>
      <w:b/>
      <w:bCs/>
      <w:kern w:val="2"/>
      <w:sz w:val="24"/>
      <w:szCs w:val="24"/>
    </w:rPr>
  </w:style>
  <w:style w:type="character" w:customStyle="1" w:styleId="177">
    <w:name w:val="标题 7 字符"/>
    <w:basedOn w:val="39"/>
    <w:semiHidden/>
    <w:qFormat/>
    <w:uiPriority w:val="0"/>
    <w:rPr>
      <w:b/>
      <w:bCs/>
      <w:kern w:val="2"/>
      <w:sz w:val="24"/>
      <w:szCs w:val="24"/>
    </w:rPr>
  </w:style>
  <w:style w:type="character" w:customStyle="1" w:styleId="178">
    <w:name w:val="标题 8 字符"/>
    <w:basedOn w:val="39"/>
    <w:semiHidden/>
    <w:qFormat/>
    <w:uiPriority w:val="0"/>
    <w:rPr>
      <w:rFonts w:asciiTheme="majorHAnsi" w:hAnsiTheme="majorHAnsi" w:eastAsiaTheme="majorEastAsia" w:cstheme="majorBidi"/>
      <w:kern w:val="2"/>
      <w:sz w:val="24"/>
      <w:szCs w:val="24"/>
    </w:rPr>
  </w:style>
  <w:style w:type="character" w:customStyle="1" w:styleId="179">
    <w:name w:val="标题 9 字符"/>
    <w:basedOn w:val="39"/>
    <w:semiHidden/>
    <w:qFormat/>
    <w:uiPriority w:val="0"/>
    <w:rPr>
      <w:rFonts w:asciiTheme="majorHAnsi" w:hAnsiTheme="majorHAnsi" w:eastAsiaTheme="majorEastAsia" w:cstheme="majorBidi"/>
      <w:kern w:val="2"/>
      <w:sz w:val="21"/>
      <w:szCs w:val="21"/>
    </w:rPr>
  </w:style>
  <w:style w:type="character" w:customStyle="1" w:styleId="180">
    <w:name w:val="文档结构图 字符"/>
    <w:basedOn w:val="39"/>
    <w:qFormat/>
    <w:uiPriority w:val="0"/>
    <w:rPr>
      <w:rFonts w:ascii="Microsoft YaHei UI" w:eastAsia="Microsoft YaHei UI"/>
      <w:kern w:val="2"/>
      <w:sz w:val="18"/>
      <w:szCs w:val="18"/>
    </w:rPr>
  </w:style>
  <w:style w:type="character" w:customStyle="1" w:styleId="181">
    <w:name w:val="正文文本 3 字符"/>
    <w:basedOn w:val="39"/>
    <w:link w:val="21"/>
    <w:qFormat/>
    <w:uiPriority w:val="0"/>
    <w:rPr>
      <w:rFonts w:ascii="宋体"/>
      <w:kern w:val="2"/>
      <w:sz w:val="21"/>
    </w:rPr>
  </w:style>
  <w:style w:type="paragraph" w:customStyle="1" w:styleId="182">
    <w:name w:val="4"/>
    <w:basedOn w:val="13"/>
    <w:next w:val="1"/>
    <w:link w:val="289"/>
    <w:qFormat/>
    <w:uiPriority w:val="0"/>
    <w:pPr>
      <w:ind w:firstLine="420" w:firstLineChars="200"/>
    </w:pPr>
    <w:rPr>
      <w:kern w:val="2"/>
      <w:sz w:val="21"/>
    </w:rPr>
  </w:style>
  <w:style w:type="character" w:customStyle="1" w:styleId="183">
    <w:name w:val="ourfont11"/>
    <w:qFormat/>
    <w:uiPriority w:val="0"/>
    <w:rPr>
      <w:sz w:val="20"/>
      <w:szCs w:val="20"/>
    </w:rPr>
  </w:style>
  <w:style w:type="paragraph" w:customStyle="1" w:styleId="184">
    <w:name w:val="2"/>
    <w:basedOn w:val="1"/>
    <w:next w:val="32"/>
    <w:qFormat/>
    <w:uiPriority w:val="0"/>
    <w:pPr>
      <w:tabs>
        <w:tab w:val="left" w:pos="604"/>
      </w:tabs>
      <w:spacing w:line="360" w:lineRule="auto"/>
      <w:ind w:firstLine="600"/>
    </w:pPr>
    <w:rPr>
      <w:sz w:val="24"/>
    </w:rPr>
  </w:style>
  <w:style w:type="character" w:customStyle="1" w:styleId="185">
    <w:name w:val="正文（首行缩进两字） Char2"/>
    <w:qFormat/>
    <w:uiPriority w:val="0"/>
    <w:rPr>
      <w:rFonts w:eastAsia="宋体"/>
      <w:kern w:val="2"/>
      <w:sz w:val="28"/>
      <w:szCs w:val="24"/>
      <w:lang w:val="en-US" w:eastAsia="zh-CN" w:bidi="ar-SA"/>
    </w:rPr>
  </w:style>
  <w:style w:type="character" w:customStyle="1" w:styleId="186">
    <w:name w:val="正文（首行缩进两字） Char Char1 Char Char Char Char Char Char Char Char Char Char"/>
    <w:qFormat/>
    <w:uiPriority w:val="0"/>
    <w:rPr>
      <w:rFonts w:eastAsia="宋体"/>
      <w:kern w:val="2"/>
      <w:sz w:val="28"/>
      <w:szCs w:val="24"/>
      <w:lang w:val="en-US" w:eastAsia="zh-CN" w:bidi="ar-SA"/>
    </w:rPr>
  </w:style>
  <w:style w:type="paragraph" w:customStyle="1" w:styleId="187">
    <w:name w:val="样式1"/>
    <w:basedOn w:val="2"/>
    <w:qFormat/>
    <w:uiPriority w:val="0"/>
    <w:pPr>
      <w:tabs>
        <w:tab w:val="left" w:pos="1740"/>
      </w:tabs>
      <w:adjustRightInd w:val="0"/>
      <w:snapToGrid w:val="0"/>
      <w:spacing w:before="120" w:after="120" w:line="300" w:lineRule="auto"/>
      <w:ind w:left="720" w:hanging="720"/>
    </w:pPr>
    <w:rPr>
      <w:rFonts w:eastAsia="仿宋_GB2312"/>
      <w:b w:val="0"/>
      <w:bCs w:val="0"/>
      <w:color w:val="0000FF"/>
      <w:sz w:val="28"/>
      <w:szCs w:val="28"/>
      <w:lang w:val="zh-CN"/>
    </w:rPr>
  </w:style>
  <w:style w:type="paragraph" w:customStyle="1" w:styleId="188">
    <w:name w:val="公式样式1"/>
    <w:basedOn w:val="1"/>
    <w:qFormat/>
    <w:uiPriority w:val="0"/>
    <w:pPr>
      <w:adjustRightInd w:val="0"/>
      <w:snapToGrid w:val="0"/>
      <w:spacing w:line="312" w:lineRule="auto"/>
      <w:jc w:val="center"/>
    </w:pPr>
    <w:rPr>
      <w:rFonts w:ascii="仿宋_GB2312" w:eastAsia="仿宋_GB2312"/>
      <w:sz w:val="24"/>
    </w:rPr>
  </w:style>
  <w:style w:type="character" w:customStyle="1" w:styleId="189">
    <w:name w:val="正文缩进1"/>
    <w:qFormat/>
    <w:uiPriority w:val="0"/>
    <w:rPr>
      <w:rFonts w:eastAsia="宋体"/>
      <w:kern w:val="2"/>
      <w:sz w:val="28"/>
      <w:szCs w:val="24"/>
      <w:lang w:val="en-US" w:eastAsia="zh-CN" w:bidi="ar-SA"/>
    </w:rPr>
  </w:style>
  <w:style w:type="paragraph" w:customStyle="1" w:styleId="190">
    <w:name w:val="1"/>
    <w:basedOn w:val="1"/>
    <w:next w:val="13"/>
    <w:qFormat/>
    <w:uiPriority w:val="0"/>
    <w:pPr>
      <w:spacing w:line="360" w:lineRule="auto"/>
      <w:ind w:firstLine="480"/>
    </w:pPr>
    <w:rPr>
      <w:sz w:val="24"/>
      <w:szCs w:val="20"/>
    </w:rPr>
  </w:style>
  <w:style w:type="paragraph" w:customStyle="1" w:styleId="191">
    <w:name w:val="Char Char Char Char Char Char Char Char Char1 Char"/>
    <w:basedOn w:val="1"/>
    <w:qFormat/>
    <w:uiPriority w:val="0"/>
    <w:rPr>
      <w:sz w:val="24"/>
    </w:rPr>
  </w:style>
  <w:style w:type="character" w:customStyle="1" w:styleId="192">
    <w:name w:val="head121"/>
    <w:qFormat/>
    <w:uiPriority w:val="0"/>
    <w:rPr>
      <w:sz w:val="22"/>
      <w:szCs w:val="22"/>
    </w:rPr>
  </w:style>
  <w:style w:type="paragraph" w:customStyle="1" w:styleId="193">
    <w:name w:val="默认段落字体 Para Char"/>
    <w:basedOn w:val="1"/>
    <w:qFormat/>
    <w:uiPriority w:val="0"/>
    <w:rPr>
      <w:sz w:val="24"/>
    </w:rPr>
  </w:style>
  <w:style w:type="paragraph" w:customStyle="1" w:styleId="194">
    <w:name w:val="默认段落字体 Para Char Char Char Char"/>
    <w:basedOn w:val="1"/>
    <w:qFormat/>
    <w:uiPriority w:val="0"/>
    <w:rPr>
      <w:sz w:val="24"/>
    </w:rPr>
  </w:style>
  <w:style w:type="paragraph" w:customStyle="1" w:styleId="195">
    <w:name w:val="3"/>
    <w:basedOn w:val="1"/>
    <w:qFormat/>
    <w:uiPriority w:val="0"/>
    <w:rPr>
      <w:sz w:val="24"/>
    </w:rPr>
  </w:style>
  <w:style w:type="paragraph" w:customStyle="1" w:styleId="196">
    <w:name w:val="Char Char Char1 Char Char Char"/>
    <w:basedOn w:val="1"/>
    <w:qFormat/>
    <w:uiPriority w:val="0"/>
    <w:rPr>
      <w:sz w:val="24"/>
    </w:rPr>
  </w:style>
  <w:style w:type="paragraph" w:customStyle="1" w:styleId="197">
    <w:name w:val="Char Char Char Char Char Char Char Char Char"/>
    <w:basedOn w:val="1"/>
    <w:qFormat/>
    <w:uiPriority w:val="0"/>
    <w:rPr>
      <w:sz w:val="24"/>
    </w:rPr>
  </w:style>
  <w:style w:type="paragraph" w:customStyle="1" w:styleId="198">
    <w:name w:val="Char Char Char Char Char Char Char Char Char Char Char Char"/>
    <w:basedOn w:val="1"/>
    <w:qFormat/>
    <w:uiPriority w:val="0"/>
    <w:rPr>
      <w:sz w:val="24"/>
    </w:rPr>
  </w:style>
  <w:style w:type="paragraph" w:customStyle="1" w:styleId="199">
    <w:name w:val="Char Char Char1 Char Char Char Char Char Char"/>
    <w:basedOn w:val="1"/>
    <w:qFormat/>
    <w:uiPriority w:val="0"/>
    <w:rPr>
      <w:sz w:val="24"/>
    </w:rPr>
  </w:style>
  <w:style w:type="paragraph" w:customStyle="1" w:styleId="200">
    <w:name w:val="Char Char Char Char Char Char Char Char Char Char Char Char Char Char Char Char Char Char"/>
    <w:basedOn w:val="1"/>
    <w:qFormat/>
    <w:uiPriority w:val="0"/>
    <w:rPr>
      <w:sz w:val="24"/>
    </w:rPr>
  </w:style>
  <w:style w:type="paragraph" w:customStyle="1" w:styleId="201">
    <w:name w:val="Char Char Char"/>
    <w:basedOn w:val="1"/>
    <w:qFormat/>
    <w:uiPriority w:val="0"/>
    <w:rPr>
      <w:sz w:val="24"/>
    </w:rPr>
  </w:style>
  <w:style w:type="paragraph" w:customStyle="1" w:styleId="202">
    <w:name w:val="Char Char Char Char"/>
    <w:basedOn w:val="1"/>
    <w:qFormat/>
    <w:uiPriority w:val="0"/>
    <w:rPr>
      <w:sz w:val="24"/>
    </w:rPr>
  </w:style>
  <w:style w:type="paragraph" w:customStyle="1" w:styleId="203">
    <w:name w:val="Char Char Char Char Char Char Char Char Char Char Char Char Char"/>
    <w:basedOn w:val="1"/>
    <w:qFormat/>
    <w:uiPriority w:val="0"/>
    <w:rPr>
      <w:sz w:val="24"/>
    </w:rPr>
  </w:style>
  <w:style w:type="paragraph" w:customStyle="1" w:styleId="204">
    <w:name w:val="Char Char Char Char Char Char Char Char Char Char"/>
    <w:basedOn w:val="1"/>
    <w:qFormat/>
    <w:uiPriority w:val="0"/>
    <w:rPr>
      <w:sz w:val="24"/>
    </w:rPr>
  </w:style>
  <w:style w:type="paragraph" w:customStyle="1" w:styleId="205">
    <w:name w:val="1 Char Char Char Char Char"/>
    <w:basedOn w:val="1"/>
    <w:qFormat/>
    <w:uiPriority w:val="0"/>
    <w:rPr>
      <w:sz w:val="24"/>
    </w:rPr>
  </w:style>
  <w:style w:type="paragraph" w:customStyle="1" w:styleId="206">
    <w:name w:val="Char Char Char Char Char Char Char Char Char Char Char Char Char Char Char Char Char Char Char Char Char Char"/>
    <w:basedOn w:val="1"/>
    <w:qFormat/>
    <w:uiPriority w:val="0"/>
    <w:rPr>
      <w:sz w:val="24"/>
    </w:rPr>
  </w:style>
  <w:style w:type="paragraph" w:customStyle="1" w:styleId="207">
    <w:name w:val="Char2"/>
    <w:basedOn w:val="1"/>
    <w:qFormat/>
    <w:uiPriority w:val="0"/>
    <w:rPr>
      <w:sz w:val="24"/>
    </w:rPr>
  </w:style>
  <w:style w:type="paragraph" w:customStyle="1" w:styleId="208">
    <w:name w:val="默认段落字体 Para Char Char Char Char Char Char Char"/>
    <w:basedOn w:val="1"/>
    <w:qFormat/>
    <w:uiPriority w:val="0"/>
    <w:rPr>
      <w:sz w:val="24"/>
    </w:rPr>
  </w:style>
  <w:style w:type="paragraph" w:customStyle="1" w:styleId="209">
    <w:name w:val="默认段落字体 Para Char Char Char Char Char Char1 Char Char Char Char Char Char Char"/>
    <w:basedOn w:val="1"/>
    <w:qFormat/>
    <w:uiPriority w:val="0"/>
    <w:rPr>
      <w:sz w:val="24"/>
    </w:rPr>
  </w:style>
  <w:style w:type="paragraph" w:customStyle="1" w:styleId="210">
    <w:name w:val="Char Char Char Char Char Char Char"/>
    <w:basedOn w:val="1"/>
    <w:qFormat/>
    <w:uiPriority w:val="0"/>
    <w:rPr>
      <w:sz w:val="24"/>
    </w:rPr>
  </w:style>
  <w:style w:type="paragraph" w:customStyle="1" w:styleId="211">
    <w:name w:val="Char Char Char Char Char Char Char Char Char Char Char Char Char Char Char Char Char Char Char Char Char1 Char Char Char Char"/>
    <w:basedOn w:val="1"/>
    <w:qFormat/>
    <w:uiPriority w:val="0"/>
    <w:rPr>
      <w:sz w:val="24"/>
    </w:rPr>
  </w:style>
  <w:style w:type="paragraph" w:customStyle="1" w:styleId="212">
    <w:name w:val="Char Char Char Char Char Char Char Char Char Char Char Char Char Char Char Char"/>
    <w:basedOn w:val="1"/>
    <w:qFormat/>
    <w:uiPriority w:val="0"/>
    <w:rPr>
      <w:sz w:val="24"/>
    </w:rPr>
  </w:style>
  <w:style w:type="paragraph" w:customStyle="1" w:styleId="213">
    <w:name w:val="Char Char Char1 Char"/>
    <w:basedOn w:val="1"/>
    <w:qFormat/>
    <w:uiPriority w:val="0"/>
    <w:rPr>
      <w:sz w:val="24"/>
    </w:rPr>
  </w:style>
  <w:style w:type="paragraph" w:customStyle="1" w:styleId="214">
    <w:name w:val="Char Char Char1 Char Char Char Char Char Char Char"/>
    <w:basedOn w:val="1"/>
    <w:qFormat/>
    <w:uiPriority w:val="0"/>
    <w:rPr>
      <w:sz w:val="24"/>
    </w:rPr>
  </w:style>
  <w:style w:type="paragraph" w:customStyle="1" w:styleId="215">
    <w:name w:val="默认段落字体 Para Char Char Char Char Char Char Char Char Char Char Char Char Char"/>
    <w:basedOn w:val="1"/>
    <w:qFormat/>
    <w:uiPriority w:val="0"/>
    <w:rPr>
      <w:sz w:val="24"/>
    </w:rPr>
  </w:style>
  <w:style w:type="character" w:customStyle="1" w:styleId="216">
    <w:name w:val="正文（首行缩进两字） Char Char1 Char"/>
    <w:qFormat/>
    <w:uiPriority w:val="0"/>
    <w:rPr>
      <w:rFonts w:eastAsia="宋体"/>
      <w:kern w:val="2"/>
      <w:sz w:val="28"/>
      <w:szCs w:val="24"/>
      <w:lang w:val="en-US" w:eastAsia="zh-CN" w:bidi="ar-SA"/>
    </w:rPr>
  </w:style>
  <w:style w:type="paragraph" w:customStyle="1" w:styleId="217">
    <w:name w:val="样式 标题 3 + 黑色 段前: 0行 段后: 0 行"/>
    <w:basedOn w:val="2"/>
    <w:qFormat/>
    <w:uiPriority w:val="0"/>
    <w:pPr>
      <w:numPr>
        <w:ilvl w:val="2"/>
        <w:numId w:val="2"/>
      </w:numPr>
      <w:tabs>
        <w:tab w:val="left" w:pos="1080"/>
        <w:tab w:val="clear" w:pos="1140"/>
      </w:tabs>
      <w:adjustRightInd w:val="0"/>
      <w:snapToGrid w:val="0"/>
      <w:spacing w:before="156" w:beforeLines="50" w:after="156" w:afterLines="50" w:line="360" w:lineRule="auto"/>
      <w:ind w:left="0"/>
    </w:pPr>
    <w:rPr>
      <w:rFonts w:ascii="仿宋_GB2312" w:hAnsi="宋体" w:eastAsia="仿宋_GB2312" w:cs="宋体"/>
      <w:bCs w:val="0"/>
      <w:color w:val="000000"/>
      <w:sz w:val="28"/>
      <w:szCs w:val="20"/>
      <w:lang w:val="zh-CN"/>
    </w:rPr>
  </w:style>
  <w:style w:type="paragraph" w:customStyle="1" w:styleId="218">
    <w:name w:val="样式8"/>
    <w:basedOn w:val="6"/>
    <w:qFormat/>
    <w:uiPriority w:val="0"/>
    <w:pPr>
      <w:numPr>
        <w:ilvl w:val="2"/>
        <w:numId w:val="3"/>
      </w:numPr>
      <w:tabs>
        <w:tab w:val="left" w:pos="1008"/>
        <w:tab w:val="clear" w:pos="851"/>
      </w:tabs>
      <w:spacing w:before="0" w:after="0" w:line="300" w:lineRule="auto"/>
      <w:ind w:left="1008" w:hanging="1008"/>
    </w:pPr>
    <w:rPr>
      <w:rFonts w:eastAsia="仿宋_GB2312"/>
      <w:b w:val="0"/>
    </w:rPr>
  </w:style>
  <w:style w:type="paragraph" w:customStyle="1" w:styleId="219">
    <w:name w:val="表中文字1"/>
    <w:qFormat/>
    <w:uiPriority w:val="0"/>
    <w:pPr>
      <w:widowControl w:val="0"/>
      <w:adjustRightInd w:val="0"/>
      <w:snapToGrid w:val="0"/>
      <w:jc w:val="center"/>
    </w:pPr>
    <w:rPr>
      <w:rFonts w:ascii="仿宋_GB2312" w:hAnsi="Times New Roman" w:eastAsia="仿宋_GB2312" w:cs="Times New Roman"/>
      <w:kern w:val="2"/>
      <w:sz w:val="24"/>
      <w:szCs w:val="24"/>
      <w:lang w:val="en-US" w:eastAsia="zh-CN" w:bidi="ar-SA"/>
    </w:rPr>
  </w:style>
  <w:style w:type="paragraph" w:customStyle="1" w:styleId="220">
    <w:name w:val="样式 标题 2节 + 自动设置"/>
    <w:basedOn w:val="4"/>
    <w:qFormat/>
    <w:uiPriority w:val="0"/>
    <w:pPr>
      <w:tabs>
        <w:tab w:val="left" w:pos="948"/>
      </w:tabs>
      <w:adjustRightInd w:val="0"/>
      <w:snapToGrid w:val="0"/>
      <w:spacing w:before="120" w:beforeLines="50" w:after="0" w:line="360" w:lineRule="auto"/>
      <w:ind w:left="948" w:hanging="312"/>
    </w:pPr>
    <w:rPr>
      <w:rFonts w:ascii="仿宋_GB2312" w:hAnsi="Arial" w:eastAsia="仿宋_GB2312" w:cs="Times New Roman"/>
      <w:color w:val="000000"/>
      <w:sz w:val="30"/>
      <w:szCs w:val="30"/>
      <w:lang w:val="zh-CN"/>
    </w:rPr>
  </w:style>
  <w:style w:type="paragraph" w:customStyle="1" w:styleId="221">
    <w:name w:val="样式 标题 3 + 段前: 3 磅 段后: 3 磅 行距: 多倍行距 1.35 字行1"/>
    <w:basedOn w:val="2"/>
    <w:qFormat/>
    <w:uiPriority w:val="0"/>
    <w:pPr>
      <w:numPr>
        <w:ilvl w:val="1"/>
        <w:numId w:val="4"/>
      </w:numPr>
      <w:tabs>
        <w:tab w:val="left" w:pos="851"/>
        <w:tab w:val="clear" w:pos="720"/>
      </w:tabs>
      <w:adjustRightInd w:val="0"/>
      <w:snapToGrid w:val="0"/>
      <w:spacing w:before="60" w:after="60" w:line="324" w:lineRule="auto"/>
    </w:pPr>
    <w:rPr>
      <w:rFonts w:ascii="仿宋_GB2312" w:hAnsi="宋体" w:eastAsia="仿宋_GB2312" w:cs="宋体"/>
      <w:bCs w:val="0"/>
      <w:color w:val="000000"/>
      <w:sz w:val="28"/>
      <w:szCs w:val="20"/>
      <w:lang w:val="zh-CN"/>
    </w:rPr>
  </w:style>
  <w:style w:type="paragraph" w:customStyle="1" w:styleId="222">
    <w:name w:val="样式 标题 3 + 段前: 3 磅 段后: 3 磅 行距: 多倍行距 1.35 字行2"/>
    <w:basedOn w:val="2"/>
    <w:qFormat/>
    <w:uiPriority w:val="0"/>
    <w:pPr>
      <w:numPr>
        <w:ilvl w:val="2"/>
        <w:numId w:val="5"/>
      </w:numPr>
      <w:tabs>
        <w:tab w:val="left" w:pos="851"/>
        <w:tab w:val="clear" w:pos="1080"/>
      </w:tabs>
      <w:adjustRightInd w:val="0"/>
      <w:snapToGrid w:val="0"/>
      <w:spacing w:before="60" w:after="60" w:line="324" w:lineRule="auto"/>
    </w:pPr>
    <w:rPr>
      <w:rFonts w:ascii="仿宋_GB2312" w:hAnsi="宋体" w:eastAsia="仿宋_GB2312" w:cs="宋体"/>
      <w:bCs w:val="0"/>
      <w:color w:val="000000"/>
      <w:sz w:val="28"/>
      <w:szCs w:val="20"/>
      <w:lang w:val="zh-CN"/>
    </w:rPr>
  </w:style>
  <w:style w:type="paragraph" w:customStyle="1" w:styleId="223">
    <w:name w:val="默认段落字体 Para Char Char Char1 Char Char Char Char Char Char Char Char Char Char"/>
    <w:basedOn w:val="1"/>
    <w:qFormat/>
    <w:uiPriority w:val="0"/>
    <w:rPr>
      <w:sz w:val="24"/>
    </w:rPr>
  </w:style>
  <w:style w:type="paragraph" w:customStyle="1" w:styleId="224">
    <w:name w:val="1 Char Char Char Char Char Char Char Char"/>
    <w:basedOn w:val="1"/>
    <w:qFormat/>
    <w:uiPriority w:val="0"/>
    <w:rPr>
      <w:sz w:val="24"/>
    </w:rPr>
  </w:style>
  <w:style w:type="character" w:customStyle="1" w:styleId="225">
    <w:name w:val="正文首行缩进 Char"/>
    <w:qFormat/>
    <w:uiPriority w:val="0"/>
    <w:rPr>
      <w:rFonts w:eastAsia="宋体"/>
      <w:kern w:val="2"/>
      <w:sz w:val="21"/>
      <w:lang w:val="en-US" w:eastAsia="zh-CN" w:bidi="ar-SA"/>
    </w:rPr>
  </w:style>
  <w:style w:type="paragraph" w:customStyle="1" w:styleId="226">
    <w:name w:val="Char Char Char Char Char Char"/>
    <w:basedOn w:val="1"/>
    <w:qFormat/>
    <w:uiPriority w:val="0"/>
    <w:rPr>
      <w:sz w:val="24"/>
    </w:rPr>
  </w:style>
  <w:style w:type="paragraph" w:customStyle="1" w:styleId="227">
    <w:name w:val="xl36"/>
    <w:basedOn w:val="1"/>
    <w:qFormat/>
    <w:uiPriority w:val="0"/>
    <w:pPr>
      <w:widowControl/>
      <w:pBdr>
        <w:right w:val="single" w:color="auto" w:sz="4" w:space="0"/>
      </w:pBdr>
      <w:spacing w:before="100" w:beforeAutospacing="1" w:after="100" w:afterAutospacing="1"/>
      <w:jc w:val="center"/>
    </w:pPr>
    <w:rPr>
      <w:rFonts w:hint="eastAsia" w:ascii="楷体_GB2312" w:hAnsi="宋体" w:eastAsia="楷体_GB2312"/>
      <w:kern w:val="0"/>
      <w:sz w:val="24"/>
    </w:rPr>
  </w:style>
  <w:style w:type="paragraph" w:customStyle="1" w:styleId="228">
    <w:name w:val="Char Char Char Char Char Char Char Char Char Char Char1 Char Char Char Char Char Char Char Char Char Char Char Char Char Char Char Char"/>
    <w:basedOn w:val="1"/>
    <w:qFormat/>
    <w:uiPriority w:val="0"/>
    <w:rPr>
      <w:sz w:val="24"/>
    </w:rPr>
  </w:style>
  <w:style w:type="character" w:customStyle="1" w:styleId="229">
    <w:name w:val="正文（首行缩进两字） Char Char Char Char"/>
    <w:qFormat/>
    <w:uiPriority w:val="0"/>
    <w:rPr>
      <w:rFonts w:ascii="仿宋_GB2312" w:eastAsia="仿宋_GB2312"/>
      <w:color w:val="000000"/>
      <w:kern w:val="2"/>
      <w:sz w:val="28"/>
      <w:szCs w:val="24"/>
      <w:lang w:val="en-US" w:eastAsia="zh-CN" w:bidi="ar-SA"/>
    </w:rPr>
  </w:style>
  <w:style w:type="character" w:customStyle="1" w:styleId="230">
    <w:name w:val="正文文本缩进 Char1"/>
    <w:qFormat/>
    <w:uiPriority w:val="0"/>
    <w:rPr>
      <w:rFonts w:eastAsia="宋体"/>
      <w:kern w:val="2"/>
      <w:sz w:val="24"/>
      <w:lang w:val="en-US" w:eastAsia="zh-CN" w:bidi="ar-SA"/>
    </w:rPr>
  </w:style>
  <w:style w:type="character" w:customStyle="1" w:styleId="231">
    <w:name w:val="纯文本 Char"/>
    <w:qFormat/>
    <w:uiPriority w:val="0"/>
    <w:rPr>
      <w:rFonts w:ascii="宋体" w:hAnsi="Courier New" w:eastAsia="宋体"/>
      <w:kern w:val="2"/>
      <w:sz w:val="21"/>
      <w:lang w:val="en-US" w:eastAsia="zh-CN" w:bidi="ar-SA"/>
    </w:rPr>
  </w:style>
  <w:style w:type="paragraph" w:customStyle="1" w:styleId="232">
    <w:name w:val="表字1"/>
    <w:basedOn w:val="1"/>
    <w:qFormat/>
    <w:uiPriority w:val="0"/>
    <w:pPr>
      <w:adjustRightInd w:val="0"/>
      <w:spacing w:line="360" w:lineRule="auto"/>
      <w:jc w:val="center"/>
      <w:textAlignment w:val="baseline"/>
    </w:pPr>
    <w:rPr>
      <w:rFonts w:ascii="宋体"/>
      <w:kern w:val="0"/>
      <w:szCs w:val="20"/>
    </w:rPr>
  </w:style>
  <w:style w:type="character" w:customStyle="1" w:styleId="233">
    <w:name w:val="正文文本缩进 2 Char"/>
    <w:qFormat/>
    <w:uiPriority w:val="0"/>
    <w:rPr>
      <w:rFonts w:eastAsia="宋体"/>
      <w:color w:val="000000"/>
      <w:kern w:val="2"/>
      <w:sz w:val="24"/>
      <w:lang w:val="en-US" w:eastAsia="zh-CN" w:bidi="ar-SA"/>
    </w:rPr>
  </w:style>
  <w:style w:type="character" w:customStyle="1" w:styleId="234">
    <w:name w:val="正文文本缩进 3 Char"/>
    <w:qFormat/>
    <w:uiPriority w:val="0"/>
    <w:rPr>
      <w:rFonts w:eastAsia="宋体"/>
      <w:kern w:val="2"/>
      <w:sz w:val="24"/>
      <w:szCs w:val="24"/>
      <w:lang w:val="en-US" w:eastAsia="zh-CN" w:bidi="ar-SA"/>
    </w:rPr>
  </w:style>
  <w:style w:type="paragraph" w:customStyle="1" w:styleId="235">
    <w:name w:val="xl23"/>
    <w:basedOn w:val="1"/>
    <w:qFormat/>
    <w:uiPriority w:val="0"/>
    <w:pPr>
      <w:widowControl/>
      <w:pBdr>
        <w:top w:val="single" w:color="auto" w:sz="12" w:space="0"/>
      </w:pBdr>
      <w:spacing w:before="100" w:beforeAutospacing="1" w:after="100" w:afterAutospacing="1"/>
      <w:jc w:val="left"/>
    </w:pPr>
    <w:rPr>
      <w:rFonts w:ascii="Arial Unicode MS" w:hAnsi="Arial Unicode MS"/>
      <w:kern w:val="0"/>
    </w:rPr>
  </w:style>
  <w:style w:type="paragraph" w:customStyle="1" w:styleId="236">
    <w:name w:val="reader-word-layer reader-word-s1-5"/>
    <w:basedOn w:val="1"/>
    <w:qFormat/>
    <w:uiPriority w:val="0"/>
    <w:pPr>
      <w:widowControl/>
      <w:spacing w:before="100" w:beforeAutospacing="1" w:after="100" w:afterAutospacing="1"/>
      <w:jc w:val="left"/>
    </w:pPr>
    <w:rPr>
      <w:rFonts w:ascii="宋体" w:hAnsi="宋体" w:cs="宋体"/>
      <w:kern w:val="0"/>
      <w:sz w:val="24"/>
    </w:rPr>
  </w:style>
  <w:style w:type="paragraph" w:customStyle="1" w:styleId="237">
    <w:name w:val="Char Char Char Char Char Char Char Char Char1 Char Char Char"/>
    <w:basedOn w:val="1"/>
    <w:qFormat/>
    <w:uiPriority w:val="0"/>
    <w:pPr>
      <w:spacing w:line="240" w:lineRule="exact"/>
      <w:ind w:firstLine="200" w:firstLineChars="200"/>
    </w:pPr>
    <w:rPr>
      <w:szCs w:val="20"/>
    </w:rPr>
  </w:style>
  <w:style w:type="character" w:customStyle="1" w:styleId="238">
    <w:name w:val="正文文本 Char"/>
    <w:qFormat/>
    <w:uiPriority w:val="0"/>
    <w:rPr>
      <w:rFonts w:ascii="宋体"/>
      <w:kern w:val="2"/>
      <w:sz w:val="24"/>
    </w:rPr>
  </w:style>
  <w:style w:type="character" w:customStyle="1" w:styleId="239">
    <w:name w:val="文档结构图 字符1"/>
    <w:link w:val="17"/>
    <w:qFormat/>
    <w:uiPriority w:val="0"/>
    <w:rPr>
      <w:kern w:val="2"/>
      <w:sz w:val="21"/>
      <w:shd w:val="clear" w:color="auto" w:fill="000080"/>
      <w:lang w:val="zh-CN" w:eastAsia="zh-CN"/>
    </w:rPr>
  </w:style>
  <w:style w:type="paragraph" w:customStyle="1" w:styleId="240">
    <w:name w:val="Char Char1 Char Char Char Char"/>
    <w:basedOn w:val="1"/>
    <w:qFormat/>
    <w:uiPriority w:val="0"/>
    <w:pPr>
      <w:spacing w:line="240" w:lineRule="exact"/>
      <w:ind w:firstLine="200" w:firstLineChars="200"/>
    </w:pPr>
    <w:rPr>
      <w:szCs w:val="20"/>
    </w:rPr>
  </w:style>
  <w:style w:type="character" w:customStyle="1" w:styleId="241">
    <w:name w:val="列表 字符"/>
    <w:link w:val="31"/>
    <w:qFormat/>
    <w:uiPriority w:val="0"/>
    <w:rPr>
      <w:rFonts w:ascii="仿宋_GB2312" w:eastAsia="仿宋_GB2312"/>
      <w:kern w:val="2"/>
      <w:sz w:val="28"/>
      <w:lang w:val="zh-CN" w:eastAsia="zh-CN"/>
    </w:rPr>
  </w:style>
  <w:style w:type="character" w:customStyle="1" w:styleId="242">
    <w:name w:val="页脚 Char"/>
    <w:qFormat/>
    <w:uiPriority w:val="99"/>
    <w:rPr>
      <w:kern w:val="2"/>
      <w:sz w:val="18"/>
      <w:szCs w:val="18"/>
    </w:rPr>
  </w:style>
  <w:style w:type="character" w:customStyle="1" w:styleId="243">
    <w:name w:val="1 表格内容 Char"/>
    <w:link w:val="244"/>
    <w:qFormat/>
    <w:uiPriority w:val="0"/>
    <w:rPr>
      <w:szCs w:val="21"/>
    </w:rPr>
  </w:style>
  <w:style w:type="paragraph" w:customStyle="1" w:styleId="244">
    <w:name w:val="1 表格内容"/>
    <w:basedOn w:val="1"/>
    <w:link w:val="243"/>
    <w:qFormat/>
    <w:uiPriority w:val="0"/>
    <w:pPr>
      <w:spacing w:line="320" w:lineRule="exact"/>
      <w:jc w:val="center"/>
    </w:pPr>
    <w:rPr>
      <w:kern w:val="0"/>
      <w:sz w:val="20"/>
      <w:szCs w:val="21"/>
    </w:rPr>
  </w:style>
  <w:style w:type="character" w:customStyle="1" w:styleId="245">
    <w:name w:val="正文文本缩进 Char"/>
    <w:qFormat/>
    <w:uiPriority w:val="0"/>
    <w:rPr>
      <w:kern w:val="2"/>
      <w:sz w:val="24"/>
    </w:rPr>
  </w:style>
  <w:style w:type="character" w:customStyle="1" w:styleId="246">
    <w:name w:val="批注文字 Char"/>
    <w:qFormat/>
    <w:uiPriority w:val="0"/>
    <w:rPr>
      <w:rFonts w:eastAsia="宋体"/>
      <w:kern w:val="2"/>
      <w:sz w:val="21"/>
      <w:lang w:val="en-US" w:eastAsia="zh-CN" w:bidi="ar-SA"/>
    </w:rPr>
  </w:style>
  <w:style w:type="character" w:customStyle="1" w:styleId="247">
    <w:name w:val="标题 6 字符1"/>
    <w:link w:val="7"/>
    <w:qFormat/>
    <w:uiPriority w:val="0"/>
    <w:rPr>
      <w:rFonts w:ascii="Arial" w:hAnsi="Arial" w:eastAsia="黑体"/>
      <w:b/>
      <w:bCs/>
      <w:kern w:val="2"/>
      <w:sz w:val="24"/>
      <w:szCs w:val="24"/>
      <w:lang w:val="zh-CN" w:eastAsia="zh-CN"/>
    </w:rPr>
  </w:style>
  <w:style w:type="character" w:customStyle="1" w:styleId="248">
    <w:name w:val="HTML 预设格式 字符1"/>
    <w:link w:val="34"/>
    <w:qFormat/>
    <w:uiPriority w:val="99"/>
    <w:rPr>
      <w:rFonts w:ascii="Courier New" w:hAnsi="Courier New" w:cs="Courier New"/>
    </w:rPr>
  </w:style>
  <w:style w:type="character" w:customStyle="1" w:styleId="249">
    <w:name w:val="题注 Char"/>
    <w:qFormat/>
    <w:uiPriority w:val="0"/>
    <w:rPr>
      <w:rFonts w:cs="Arial"/>
      <w:b/>
      <w:kern w:val="2"/>
      <w:sz w:val="24"/>
      <w:lang w:val="zh-CN"/>
    </w:rPr>
  </w:style>
  <w:style w:type="character" w:customStyle="1" w:styleId="250">
    <w:name w:val="页眉 Char"/>
    <w:qFormat/>
    <w:uiPriority w:val="99"/>
    <w:rPr>
      <w:kern w:val="2"/>
      <w:sz w:val="18"/>
      <w:szCs w:val="18"/>
    </w:rPr>
  </w:style>
  <w:style w:type="character" w:customStyle="1" w:styleId="251">
    <w:name w:val="font61"/>
    <w:qFormat/>
    <w:uiPriority w:val="0"/>
    <w:rPr>
      <w:rFonts w:hint="eastAsia" w:ascii="宋体" w:hAnsi="宋体" w:eastAsia="宋体" w:cs="宋体"/>
      <w:color w:val="000000"/>
      <w:sz w:val="22"/>
      <w:szCs w:val="22"/>
      <w:u w:val="none"/>
    </w:rPr>
  </w:style>
  <w:style w:type="character" w:customStyle="1" w:styleId="252">
    <w:name w:val="标题 4 Char"/>
    <w:qFormat/>
    <w:uiPriority w:val="0"/>
    <w:rPr>
      <w:rFonts w:ascii="Arial" w:hAnsi="Arial" w:eastAsia="黑体"/>
      <w:b/>
      <w:bCs/>
      <w:kern w:val="2"/>
      <w:sz w:val="28"/>
      <w:szCs w:val="28"/>
    </w:rPr>
  </w:style>
  <w:style w:type="character" w:customStyle="1" w:styleId="253">
    <w:name w:val="标题 2 Char"/>
    <w:qFormat/>
    <w:uiPriority w:val="0"/>
    <w:rPr>
      <w:rFonts w:eastAsia="仿宋_GB2312"/>
      <w:b/>
      <w:bCs/>
      <w:kern w:val="2"/>
      <w:sz w:val="28"/>
      <w:szCs w:val="32"/>
    </w:rPr>
  </w:style>
  <w:style w:type="character" w:customStyle="1" w:styleId="254">
    <w:name w:val="z-窗体顶端 字符1"/>
    <w:link w:val="255"/>
    <w:qFormat/>
    <w:uiPriority w:val="0"/>
    <w:rPr>
      <w:rFonts w:ascii="Arial" w:hAnsi="Arial" w:eastAsia="仿宋_GB2312" w:cs="Arial"/>
      <w:vanish/>
      <w:kern w:val="2"/>
      <w:sz w:val="16"/>
      <w:szCs w:val="16"/>
    </w:rPr>
  </w:style>
  <w:style w:type="paragraph" w:customStyle="1" w:styleId="255">
    <w:name w:val="z-窗体顶端1"/>
    <w:basedOn w:val="1"/>
    <w:next w:val="1"/>
    <w:link w:val="254"/>
    <w:qFormat/>
    <w:uiPriority w:val="0"/>
    <w:pPr>
      <w:pBdr>
        <w:bottom w:val="single" w:color="auto" w:sz="6" w:space="1"/>
      </w:pBdr>
      <w:adjustRightInd w:val="0"/>
      <w:snapToGrid w:val="0"/>
      <w:spacing w:line="300" w:lineRule="auto"/>
      <w:jc w:val="center"/>
    </w:pPr>
    <w:rPr>
      <w:rFonts w:ascii="Arial" w:hAnsi="Arial" w:eastAsia="仿宋_GB2312" w:cs="Arial"/>
      <w:vanish/>
      <w:sz w:val="16"/>
      <w:szCs w:val="16"/>
    </w:rPr>
  </w:style>
  <w:style w:type="character" w:customStyle="1" w:styleId="256">
    <w:name w:val="标题 8 字符1"/>
    <w:link w:val="9"/>
    <w:qFormat/>
    <w:uiPriority w:val="0"/>
    <w:rPr>
      <w:rFonts w:ascii="Arial" w:hAnsi="Arial" w:eastAsia="黑体"/>
      <w:kern w:val="2"/>
      <w:sz w:val="24"/>
      <w:szCs w:val="24"/>
      <w:lang w:val="zh-CN" w:eastAsia="zh-CN"/>
    </w:rPr>
  </w:style>
  <w:style w:type="character" w:customStyle="1" w:styleId="257">
    <w:name w:val="标题 7 字符1"/>
    <w:link w:val="8"/>
    <w:qFormat/>
    <w:uiPriority w:val="0"/>
    <w:rPr>
      <w:b/>
      <w:bCs/>
      <w:kern w:val="2"/>
      <w:sz w:val="24"/>
      <w:szCs w:val="24"/>
      <w:lang w:val="zh-CN" w:eastAsia="zh-CN"/>
    </w:rPr>
  </w:style>
  <w:style w:type="character" w:customStyle="1" w:styleId="258">
    <w:name w:val="图表 Char"/>
    <w:link w:val="169"/>
    <w:qFormat/>
    <w:uiPriority w:val="0"/>
    <w:rPr>
      <w:rFonts w:ascii="宋体"/>
      <w:color w:val="000000"/>
      <w:sz w:val="21"/>
      <w:szCs w:val="21"/>
    </w:rPr>
  </w:style>
  <w:style w:type="character" w:customStyle="1" w:styleId="259">
    <w:name w:val="5级标题 Char"/>
    <w:link w:val="260"/>
    <w:qFormat/>
    <w:uiPriority w:val="0"/>
    <w:rPr>
      <w:sz w:val="24"/>
    </w:rPr>
  </w:style>
  <w:style w:type="paragraph" w:customStyle="1" w:styleId="260">
    <w:name w:val="5级标题"/>
    <w:basedOn w:val="1"/>
    <w:link w:val="259"/>
    <w:qFormat/>
    <w:uiPriority w:val="0"/>
    <w:pPr>
      <w:spacing w:line="360" w:lineRule="auto"/>
      <w:jc w:val="left"/>
    </w:pPr>
    <w:rPr>
      <w:kern w:val="0"/>
      <w:sz w:val="24"/>
      <w:szCs w:val="20"/>
    </w:rPr>
  </w:style>
  <w:style w:type="character" w:customStyle="1" w:styleId="261">
    <w:name w:val="标题 3 Char"/>
    <w:qFormat/>
    <w:uiPriority w:val="0"/>
    <w:rPr>
      <w:b/>
      <w:bCs/>
      <w:kern w:val="2"/>
      <w:sz w:val="32"/>
      <w:szCs w:val="32"/>
    </w:rPr>
  </w:style>
  <w:style w:type="character" w:customStyle="1" w:styleId="262">
    <w:name w:val="普通正文 字符"/>
    <w:link w:val="263"/>
    <w:qFormat/>
    <w:uiPriority w:val="0"/>
    <w:rPr>
      <w:kern w:val="2"/>
      <w:sz w:val="24"/>
      <w:lang w:val="zh-CN"/>
    </w:rPr>
  </w:style>
  <w:style w:type="paragraph" w:customStyle="1" w:styleId="263">
    <w:name w:val="普通正文"/>
    <w:basedOn w:val="1"/>
    <w:link w:val="262"/>
    <w:qFormat/>
    <w:uiPriority w:val="0"/>
    <w:pPr>
      <w:adjustRightInd w:val="0"/>
      <w:snapToGrid w:val="0"/>
      <w:spacing w:line="360" w:lineRule="auto"/>
      <w:ind w:firstLine="200" w:firstLineChars="200"/>
    </w:pPr>
    <w:rPr>
      <w:sz w:val="24"/>
      <w:szCs w:val="20"/>
      <w:lang w:val="zh-CN"/>
    </w:rPr>
  </w:style>
  <w:style w:type="character" w:customStyle="1" w:styleId="264">
    <w:name w:val="标题 5 字符1"/>
    <w:link w:val="6"/>
    <w:qFormat/>
    <w:uiPriority w:val="99"/>
    <w:rPr>
      <w:b/>
      <w:bCs/>
      <w:kern w:val="2"/>
      <w:sz w:val="28"/>
      <w:szCs w:val="28"/>
      <w:lang w:val="zh-CN" w:eastAsia="zh-CN"/>
    </w:rPr>
  </w:style>
  <w:style w:type="character" w:customStyle="1" w:styleId="265">
    <w:name w:val="表头 Char"/>
    <w:link w:val="266"/>
    <w:qFormat/>
    <w:uiPriority w:val="0"/>
    <w:rPr>
      <w:rFonts w:eastAsia="黑体" w:cs="Arial"/>
      <w:kern w:val="2"/>
      <w:sz w:val="24"/>
      <w:lang w:val="zh-CN"/>
    </w:rPr>
  </w:style>
  <w:style w:type="paragraph" w:customStyle="1" w:styleId="266">
    <w:name w:val="表头"/>
    <w:basedOn w:val="15"/>
    <w:next w:val="1"/>
    <w:link w:val="265"/>
    <w:qFormat/>
    <w:uiPriority w:val="0"/>
    <w:pPr>
      <w:adjustRightInd w:val="0"/>
      <w:spacing w:line="360" w:lineRule="auto"/>
      <w:ind w:firstLine="480" w:firstLineChars="200"/>
      <w:jc w:val="center"/>
    </w:pPr>
    <w:rPr>
      <w:rFonts w:eastAsia="黑体" w:cs="Arial"/>
      <w:sz w:val="24"/>
      <w:lang w:val="zh-CN"/>
    </w:rPr>
  </w:style>
  <w:style w:type="character" w:customStyle="1" w:styleId="267">
    <w:name w:val="YY表头 字符"/>
    <w:link w:val="268"/>
    <w:qFormat/>
    <w:uiPriority w:val="0"/>
    <w:rPr>
      <w:b/>
      <w:bCs/>
      <w:kern w:val="2"/>
      <w:sz w:val="24"/>
    </w:rPr>
  </w:style>
  <w:style w:type="paragraph" w:customStyle="1" w:styleId="268">
    <w:name w:val="YY表头"/>
    <w:basedOn w:val="1"/>
    <w:link w:val="267"/>
    <w:qFormat/>
    <w:uiPriority w:val="0"/>
    <w:pPr>
      <w:adjustRightInd w:val="0"/>
      <w:snapToGrid w:val="0"/>
      <w:spacing w:line="324" w:lineRule="auto"/>
      <w:jc w:val="center"/>
    </w:pPr>
    <w:rPr>
      <w:b/>
      <w:bCs/>
      <w:sz w:val="24"/>
      <w:szCs w:val="20"/>
    </w:rPr>
  </w:style>
  <w:style w:type="character" w:customStyle="1" w:styleId="269">
    <w:name w:val="批注主题 Char"/>
    <w:semiHidden/>
    <w:qFormat/>
    <w:uiPriority w:val="0"/>
    <w:rPr>
      <w:b/>
      <w:bCs/>
      <w:kern w:val="2"/>
      <w:sz w:val="21"/>
      <w:lang w:val="zh-CN" w:eastAsia="zh-CN"/>
    </w:rPr>
  </w:style>
  <w:style w:type="character" w:customStyle="1" w:styleId="270">
    <w:name w:val="标题 9 字符1"/>
    <w:link w:val="10"/>
    <w:qFormat/>
    <w:uiPriority w:val="0"/>
    <w:rPr>
      <w:rFonts w:ascii="Arial" w:hAnsi="Arial" w:eastAsia="黑体"/>
      <w:kern w:val="2"/>
      <w:sz w:val="21"/>
      <w:szCs w:val="21"/>
      <w:lang w:val="zh-CN" w:eastAsia="zh-CN"/>
    </w:rPr>
  </w:style>
  <w:style w:type="character" w:customStyle="1" w:styleId="271">
    <w:name w:val="标题 1 字符"/>
    <w:link w:val="3"/>
    <w:qFormat/>
    <w:uiPriority w:val="0"/>
    <w:rPr>
      <w:rFonts w:eastAsia="黑体"/>
      <w:b/>
      <w:bCs/>
      <w:color w:val="000000"/>
      <w:kern w:val="44"/>
      <w:sz w:val="30"/>
      <w:szCs w:val="30"/>
    </w:rPr>
  </w:style>
  <w:style w:type="paragraph" w:customStyle="1" w:styleId="272">
    <w:name w:val="font13"/>
    <w:basedOn w:val="1"/>
    <w:qFormat/>
    <w:uiPriority w:val="0"/>
    <w:pPr>
      <w:widowControl/>
      <w:spacing w:before="100" w:beforeAutospacing="1" w:after="100" w:afterAutospacing="1"/>
      <w:jc w:val="left"/>
    </w:pPr>
    <w:rPr>
      <w:color w:val="000000"/>
      <w:kern w:val="0"/>
      <w:sz w:val="18"/>
      <w:szCs w:val="18"/>
    </w:rPr>
  </w:style>
  <w:style w:type="paragraph" w:customStyle="1" w:styleId="273">
    <w:name w:val="Char Char Char Char Char Char Char Char Char Char Char Char Char1"/>
    <w:basedOn w:val="1"/>
    <w:qFormat/>
    <w:uiPriority w:val="0"/>
    <w:rPr>
      <w:sz w:val="24"/>
    </w:rPr>
  </w:style>
  <w:style w:type="paragraph" w:customStyle="1" w:styleId="274">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275">
    <w:name w:val="xl9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276">
    <w:name w:val="xl9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277">
    <w:name w:val="Char Char Char Char Char Char Char Char Char Char Char Char1"/>
    <w:basedOn w:val="1"/>
    <w:qFormat/>
    <w:uiPriority w:val="0"/>
    <w:rPr>
      <w:sz w:val="24"/>
    </w:rPr>
  </w:style>
  <w:style w:type="paragraph" w:customStyle="1" w:styleId="278">
    <w:name w:val="Char Char Char Char Char Char Char Char Char1 Char1"/>
    <w:basedOn w:val="1"/>
    <w:qFormat/>
    <w:uiPriority w:val="0"/>
    <w:rPr>
      <w:sz w:val="24"/>
    </w:rPr>
  </w:style>
  <w:style w:type="paragraph" w:customStyle="1" w:styleId="279">
    <w:name w:val="xl79"/>
    <w:basedOn w:val="1"/>
    <w:qFormat/>
    <w:uiPriority w:val="0"/>
    <w:pPr>
      <w:widowControl/>
      <w:spacing w:before="100" w:beforeAutospacing="1" w:after="100" w:afterAutospacing="1"/>
      <w:jc w:val="center"/>
    </w:pPr>
    <w:rPr>
      <w:kern w:val="0"/>
      <w:sz w:val="18"/>
      <w:szCs w:val="18"/>
    </w:rPr>
  </w:style>
  <w:style w:type="paragraph" w:customStyle="1" w:styleId="280">
    <w:name w:val="font8"/>
    <w:basedOn w:val="1"/>
    <w:qFormat/>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281">
    <w:name w:val="xl114"/>
    <w:basedOn w:val="1"/>
    <w:qFormat/>
    <w:uiPriority w:val="0"/>
    <w:pPr>
      <w:widowControl/>
      <w:pBdr>
        <w:left w:val="single" w:color="auto" w:sz="4" w:space="0"/>
        <w:right w:val="single" w:color="auto" w:sz="4" w:space="0"/>
      </w:pBdr>
      <w:spacing w:before="100" w:beforeAutospacing="1" w:after="100" w:afterAutospacing="1"/>
      <w:jc w:val="center"/>
    </w:pPr>
    <w:rPr>
      <w:kern w:val="0"/>
      <w:sz w:val="18"/>
      <w:szCs w:val="18"/>
    </w:rPr>
  </w:style>
  <w:style w:type="paragraph" w:customStyle="1" w:styleId="282">
    <w:name w:val="列表段落1"/>
    <w:basedOn w:val="1"/>
    <w:qFormat/>
    <w:uiPriority w:val="34"/>
    <w:pPr>
      <w:ind w:firstLine="420" w:firstLineChars="200"/>
    </w:pPr>
    <w:rPr>
      <w:sz w:val="24"/>
    </w:rPr>
  </w:style>
  <w:style w:type="paragraph" w:customStyle="1" w:styleId="283">
    <w:name w:val="xl11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color w:val="000000"/>
      <w:kern w:val="0"/>
      <w:sz w:val="18"/>
      <w:szCs w:val="18"/>
    </w:rPr>
  </w:style>
  <w:style w:type="character" w:customStyle="1" w:styleId="284">
    <w:name w:val="HTML 预设格式 字符"/>
    <w:basedOn w:val="39"/>
    <w:qFormat/>
    <w:uiPriority w:val="0"/>
    <w:rPr>
      <w:rFonts w:ascii="Courier New" w:hAnsi="Courier New" w:cs="Courier New"/>
      <w:kern w:val="2"/>
    </w:rPr>
  </w:style>
  <w:style w:type="character" w:customStyle="1" w:styleId="285">
    <w:name w:val="HTML 预设格式 Char1"/>
    <w:qFormat/>
    <w:uiPriority w:val="0"/>
    <w:rPr>
      <w:rFonts w:ascii="Courier New" w:hAnsi="Courier New" w:cs="Courier New"/>
      <w:kern w:val="2"/>
    </w:rPr>
  </w:style>
  <w:style w:type="paragraph" w:customStyle="1" w:styleId="286">
    <w:name w:val="xl8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287">
    <w:name w:val="xl107"/>
    <w:basedOn w:val="1"/>
    <w:qFormat/>
    <w:uiPriority w:val="0"/>
    <w:pPr>
      <w:widowControl/>
      <w:pBdr>
        <w:left w:val="single" w:color="auto" w:sz="4" w:space="0"/>
        <w:bottom w:val="single" w:color="auto" w:sz="4" w:space="0"/>
      </w:pBdr>
      <w:spacing w:before="100" w:beforeAutospacing="1" w:after="100" w:afterAutospacing="1"/>
      <w:jc w:val="center"/>
    </w:pPr>
    <w:rPr>
      <w:rFonts w:ascii="宋体" w:hAnsi="宋体" w:cs="宋体"/>
      <w:kern w:val="0"/>
      <w:sz w:val="18"/>
      <w:szCs w:val="18"/>
    </w:rPr>
  </w:style>
  <w:style w:type="paragraph" w:customStyle="1" w:styleId="288">
    <w:name w:val="font7"/>
    <w:basedOn w:val="1"/>
    <w:qFormat/>
    <w:uiPriority w:val="0"/>
    <w:pPr>
      <w:widowControl/>
      <w:spacing w:before="100" w:beforeAutospacing="1" w:after="100" w:afterAutospacing="1"/>
      <w:jc w:val="left"/>
    </w:pPr>
    <w:rPr>
      <w:rFonts w:ascii="宋体" w:hAnsi="宋体" w:cs="宋体"/>
      <w:b/>
      <w:bCs/>
      <w:color w:val="000000"/>
      <w:kern w:val="0"/>
      <w:sz w:val="18"/>
      <w:szCs w:val="18"/>
    </w:rPr>
  </w:style>
  <w:style w:type="character" w:customStyle="1" w:styleId="289">
    <w:name w:val="正文首行缩进 2 Char"/>
    <w:link w:val="182"/>
    <w:qFormat/>
    <w:uiPriority w:val="0"/>
    <w:rPr>
      <w:kern w:val="2"/>
      <w:sz w:val="21"/>
    </w:rPr>
  </w:style>
  <w:style w:type="paragraph" w:customStyle="1" w:styleId="290">
    <w:name w:val="p16"/>
    <w:basedOn w:val="1"/>
    <w:qFormat/>
    <w:uiPriority w:val="0"/>
    <w:pPr>
      <w:widowControl/>
      <w:spacing w:line="360" w:lineRule="auto"/>
      <w:ind w:firstLine="480"/>
    </w:pPr>
    <w:rPr>
      <w:kern w:val="0"/>
      <w:sz w:val="24"/>
    </w:rPr>
  </w:style>
  <w:style w:type="paragraph" w:customStyle="1" w:styleId="291">
    <w:name w:val="xl100"/>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292">
    <w:name w:val="Char Char Char Char Char Char Char Char Char Char Char Char Char Char Char Char Char Char1"/>
    <w:basedOn w:val="1"/>
    <w:qFormat/>
    <w:uiPriority w:val="0"/>
    <w:rPr>
      <w:sz w:val="24"/>
    </w:rPr>
  </w:style>
  <w:style w:type="paragraph" w:customStyle="1" w:styleId="293">
    <w:name w:val="font6"/>
    <w:basedOn w:val="1"/>
    <w:qFormat/>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294">
    <w:name w:val="xl106"/>
    <w:basedOn w:val="1"/>
    <w:qFormat/>
    <w:uiPriority w:val="0"/>
    <w:pPr>
      <w:widowControl/>
      <w:pBdr>
        <w:right w:val="single" w:color="auto" w:sz="4" w:space="0"/>
      </w:pBdr>
      <w:spacing w:before="100" w:beforeAutospacing="1" w:after="100" w:afterAutospacing="1"/>
      <w:jc w:val="center"/>
    </w:pPr>
    <w:rPr>
      <w:rFonts w:ascii="宋体" w:hAnsi="宋体" w:cs="宋体"/>
      <w:kern w:val="0"/>
      <w:sz w:val="18"/>
      <w:szCs w:val="18"/>
    </w:rPr>
  </w:style>
  <w:style w:type="paragraph" w:customStyle="1" w:styleId="295">
    <w:name w:val="Char Char Char1 Char Char Char Char Char Char1"/>
    <w:basedOn w:val="1"/>
    <w:qFormat/>
    <w:uiPriority w:val="0"/>
    <w:rPr>
      <w:sz w:val="24"/>
    </w:rPr>
  </w:style>
  <w:style w:type="paragraph" w:customStyle="1" w:styleId="296">
    <w:name w:val="Char Char Char Char Char Char Char Char Char Char Char Char Char Char Char Char Char Char Char Char Char1 Char Char Char Char1"/>
    <w:basedOn w:val="1"/>
    <w:qFormat/>
    <w:uiPriority w:val="0"/>
    <w:rPr>
      <w:sz w:val="24"/>
    </w:rPr>
  </w:style>
  <w:style w:type="paragraph" w:customStyle="1" w:styleId="297">
    <w:name w:val="xl102"/>
    <w:basedOn w:val="1"/>
    <w:qFormat/>
    <w:uiPriority w:val="0"/>
    <w:pPr>
      <w:widowControl/>
      <w:pBdr>
        <w:left w:val="single" w:color="auto" w:sz="4" w:space="0"/>
      </w:pBdr>
      <w:spacing w:before="100" w:beforeAutospacing="1" w:after="100" w:afterAutospacing="1"/>
      <w:jc w:val="center"/>
    </w:pPr>
    <w:rPr>
      <w:rFonts w:ascii="宋体" w:hAnsi="宋体" w:cs="宋体"/>
      <w:kern w:val="0"/>
      <w:sz w:val="18"/>
      <w:szCs w:val="18"/>
    </w:rPr>
  </w:style>
  <w:style w:type="paragraph" w:customStyle="1" w:styleId="298">
    <w:name w:val="xl9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299">
    <w:name w:val="xl67"/>
    <w:basedOn w:val="1"/>
    <w:qFormat/>
    <w:uiPriority w:val="0"/>
    <w:pPr>
      <w:widowControl/>
      <w:pBdr>
        <w:left w:val="single" w:color="auto" w:sz="4" w:space="0"/>
      </w:pBdr>
      <w:spacing w:before="100" w:beforeAutospacing="1" w:after="100" w:afterAutospacing="1"/>
      <w:jc w:val="center"/>
    </w:pPr>
    <w:rPr>
      <w:rFonts w:hint="eastAsia" w:ascii="仿宋_GB2312" w:hAnsi="宋体" w:eastAsia="仿宋_GB2312"/>
      <w:kern w:val="0"/>
      <w:sz w:val="24"/>
    </w:rPr>
  </w:style>
  <w:style w:type="paragraph" w:customStyle="1" w:styleId="300">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01">
    <w:name w:val="xl103"/>
    <w:basedOn w:val="1"/>
    <w:qFormat/>
    <w:uiPriority w:val="0"/>
    <w:pPr>
      <w:widowControl/>
      <w:pBdr>
        <w:top w:val="single" w:color="auto" w:sz="4" w:space="0"/>
        <w:left w:val="single" w:color="auto" w:sz="4" w:space="0"/>
      </w:pBdr>
      <w:spacing w:before="100" w:beforeAutospacing="1" w:after="100" w:afterAutospacing="1"/>
      <w:jc w:val="center"/>
    </w:pPr>
    <w:rPr>
      <w:rFonts w:ascii="宋体" w:hAnsi="宋体" w:cs="宋体"/>
      <w:kern w:val="0"/>
      <w:sz w:val="18"/>
      <w:szCs w:val="18"/>
    </w:rPr>
  </w:style>
  <w:style w:type="paragraph" w:customStyle="1" w:styleId="302">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b/>
      <w:bCs/>
      <w:kern w:val="0"/>
      <w:sz w:val="18"/>
      <w:szCs w:val="18"/>
    </w:rPr>
  </w:style>
  <w:style w:type="paragraph" w:customStyle="1" w:styleId="303">
    <w:name w:val="Char Char Char1 Char1"/>
    <w:basedOn w:val="1"/>
    <w:qFormat/>
    <w:uiPriority w:val="0"/>
    <w:rPr>
      <w:sz w:val="24"/>
    </w:rPr>
  </w:style>
  <w:style w:type="paragraph" w:customStyle="1" w:styleId="304">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05">
    <w:name w:val="xl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06">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307">
    <w:name w:val="Char Char Char Char Char Char Char1"/>
    <w:basedOn w:val="1"/>
    <w:qFormat/>
    <w:uiPriority w:val="0"/>
    <w:rPr>
      <w:sz w:val="24"/>
    </w:rPr>
  </w:style>
  <w:style w:type="paragraph" w:customStyle="1" w:styleId="308">
    <w:name w:val="xl109"/>
    <w:basedOn w:val="1"/>
    <w:qFormat/>
    <w:uiPriority w:val="0"/>
    <w:pPr>
      <w:widowControl/>
      <w:pBdr>
        <w:bottom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309">
    <w:name w:val="Char Char Char1"/>
    <w:basedOn w:val="1"/>
    <w:qFormat/>
    <w:uiPriority w:val="0"/>
    <w:rPr>
      <w:sz w:val="24"/>
    </w:rPr>
  </w:style>
  <w:style w:type="paragraph" w:customStyle="1" w:styleId="310">
    <w:name w:val="Char Char Char1 Char Char Char Char Char Char Char1"/>
    <w:basedOn w:val="1"/>
    <w:qFormat/>
    <w:uiPriority w:val="0"/>
    <w:rPr>
      <w:sz w:val="24"/>
    </w:rPr>
  </w:style>
  <w:style w:type="paragraph" w:customStyle="1" w:styleId="311">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12">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13">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14">
    <w:name w:val="xl113"/>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kern w:val="0"/>
      <w:sz w:val="18"/>
      <w:szCs w:val="18"/>
    </w:rPr>
  </w:style>
  <w:style w:type="paragraph" w:customStyle="1" w:styleId="315">
    <w:name w:val="表格内文字"/>
    <w:basedOn w:val="1"/>
    <w:qFormat/>
    <w:uiPriority w:val="0"/>
    <w:pPr>
      <w:tabs>
        <w:tab w:val="left" w:pos="0"/>
      </w:tabs>
      <w:adjustRightInd w:val="0"/>
      <w:snapToGrid w:val="0"/>
      <w:jc w:val="center"/>
    </w:pPr>
    <w:rPr>
      <w:rFonts w:eastAsia="仿宋_GB2312"/>
      <w:sz w:val="24"/>
    </w:rPr>
  </w:style>
  <w:style w:type="paragraph" w:customStyle="1" w:styleId="316">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18"/>
      <w:szCs w:val="18"/>
    </w:rPr>
  </w:style>
  <w:style w:type="paragraph" w:customStyle="1" w:styleId="317">
    <w:name w:val="xl9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18">
    <w:name w:val="Char Char Char Char1"/>
    <w:basedOn w:val="1"/>
    <w:qFormat/>
    <w:uiPriority w:val="0"/>
    <w:rPr>
      <w:sz w:val="24"/>
    </w:rPr>
  </w:style>
  <w:style w:type="paragraph" w:customStyle="1" w:styleId="319">
    <w:name w:val="Char Char Char Char Char Char Char Char Char Char1"/>
    <w:basedOn w:val="1"/>
    <w:qFormat/>
    <w:uiPriority w:val="0"/>
    <w:rPr>
      <w:sz w:val="24"/>
    </w:rPr>
  </w:style>
  <w:style w:type="paragraph" w:customStyle="1" w:styleId="320">
    <w:name w:val="xl10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321">
    <w:name w:val="表后正文"/>
    <w:basedOn w:val="27"/>
    <w:qFormat/>
    <w:uiPriority w:val="0"/>
    <w:pPr>
      <w:adjustRightInd w:val="0"/>
      <w:spacing w:beforeLines="50" w:line="480" w:lineRule="exact"/>
      <w:ind w:firstLine="560"/>
      <w:textAlignment w:val="baseline"/>
    </w:pPr>
    <w:rPr>
      <w:rFonts w:eastAsia="楷体_GB2312"/>
      <w:sz w:val="28"/>
      <w:szCs w:val="20"/>
    </w:rPr>
  </w:style>
  <w:style w:type="paragraph" w:customStyle="1" w:styleId="322">
    <w:name w:val="font5"/>
    <w:basedOn w:val="1"/>
    <w:qFormat/>
    <w:uiPriority w:val="0"/>
    <w:pPr>
      <w:widowControl/>
      <w:spacing w:before="100" w:beforeAutospacing="1" w:after="100" w:afterAutospacing="1"/>
      <w:jc w:val="left"/>
    </w:pPr>
    <w:rPr>
      <w:rFonts w:ascii="等线" w:hAnsi="等线" w:eastAsia="等线" w:cs="宋体"/>
      <w:kern w:val="0"/>
      <w:sz w:val="18"/>
      <w:szCs w:val="18"/>
    </w:rPr>
  </w:style>
  <w:style w:type="paragraph" w:customStyle="1" w:styleId="323">
    <w:name w:val="font9"/>
    <w:basedOn w:val="1"/>
    <w:qFormat/>
    <w:uiPriority w:val="0"/>
    <w:pPr>
      <w:widowControl/>
      <w:spacing w:before="100" w:beforeAutospacing="1" w:after="100" w:afterAutospacing="1"/>
      <w:jc w:val="left"/>
    </w:pPr>
    <w:rPr>
      <w:color w:val="000000"/>
      <w:kern w:val="0"/>
      <w:sz w:val="18"/>
      <w:szCs w:val="18"/>
    </w:rPr>
  </w:style>
  <w:style w:type="paragraph" w:customStyle="1" w:styleId="324">
    <w:name w:val="xl112"/>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color w:val="000000"/>
      <w:kern w:val="0"/>
      <w:sz w:val="18"/>
      <w:szCs w:val="18"/>
    </w:rPr>
  </w:style>
  <w:style w:type="paragraph" w:customStyle="1" w:styleId="325">
    <w:name w:val="xl9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26">
    <w:name w:val="Char Char Char Char Char Char1"/>
    <w:basedOn w:val="1"/>
    <w:qFormat/>
    <w:uiPriority w:val="0"/>
    <w:rPr>
      <w:sz w:val="24"/>
    </w:rPr>
  </w:style>
  <w:style w:type="paragraph" w:customStyle="1" w:styleId="327">
    <w:name w:val="Char Char Char Char Char Char Char Char Char1"/>
    <w:basedOn w:val="1"/>
    <w:qFormat/>
    <w:uiPriority w:val="0"/>
    <w:rPr>
      <w:sz w:val="24"/>
    </w:rPr>
  </w:style>
  <w:style w:type="paragraph" w:customStyle="1" w:styleId="328">
    <w:name w:val="xl115"/>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29">
    <w:name w:val="xl8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30">
    <w:name w:val="xl9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31">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b/>
      <w:bCs/>
      <w:kern w:val="0"/>
      <w:sz w:val="18"/>
      <w:szCs w:val="18"/>
    </w:rPr>
  </w:style>
  <w:style w:type="paragraph" w:customStyle="1" w:styleId="332">
    <w:name w:val="font15"/>
    <w:basedOn w:val="1"/>
    <w:qFormat/>
    <w:uiPriority w:val="0"/>
    <w:pPr>
      <w:widowControl/>
      <w:spacing w:before="100" w:beforeAutospacing="1" w:after="100" w:afterAutospacing="1"/>
      <w:jc w:val="left"/>
    </w:pPr>
    <w:rPr>
      <w:kern w:val="0"/>
      <w:sz w:val="18"/>
      <w:szCs w:val="18"/>
    </w:rPr>
  </w:style>
  <w:style w:type="paragraph" w:customStyle="1" w:styleId="333">
    <w:name w:val="Char Char Char Char Char Char Char Char Char Char Char Char Char Char Char Char Char Char Char"/>
    <w:basedOn w:val="1"/>
    <w:qFormat/>
    <w:uiPriority w:val="0"/>
    <w:rPr>
      <w:sz w:val="24"/>
    </w:rPr>
  </w:style>
  <w:style w:type="paragraph" w:customStyle="1" w:styleId="334">
    <w:name w:val="msonormal"/>
    <w:basedOn w:val="1"/>
    <w:qFormat/>
    <w:uiPriority w:val="0"/>
    <w:pPr>
      <w:widowControl/>
      <w:spacing w:before="100" w:beforeAutospacing="1" w:after="100" w:afterAutospacing="1"/>
      <w:jc w:val="left"/>
    </w:pPr>
    <w:rPr>
      <w:rFonts w:ascii="宋体" w:hAnsi="宋体" w:cs="宋体"/>
      <w:kern w:val="0"/>
      <w:sz w:val="24"/>
    </w:rPr>
  </w:style>
  <w:style w:type="character" w:customStyle="1" w:styleId="335">
    <w:name w:val="z-窗体顶端 字符"/>
    <w:basedOn w:val="39"/>
    <w:semiHidden/>
    <w:qFormat/>
    <w:uiPriority w:val="99"/>
    <w:rPr>
      <w:rFonts w:ascii="Arial" w:hAnsi="Arial" w:cs="Arial"/>
      <w:vanish/>
      <w:kern w:val="2"/>
      <w:sz w:val="16"/>
      <w:szCs w:val="16"/>
    </w:rPr>
  </w:style>
  <w:style w:type="character" w:customStyle="1" w:styleId="336">
    <w:name w:val="z-窗体顶端 Char1"/>
    <w:qFormat/>
    <w:uiPriority w:val="0"/>
    <w:rPr>
      <w:rFonts w:ascii="Arial" w:hAnsi="Arial" w:cs="Arial"/>
      <w:vanish/>
      <w:kern w:val="2"/>
      <w:sz w:val="16"/>
      <w:szCs w:val="16"/>
    </w:rPr>
  </w:style>
  <w:style w:type="paragraph" w:customStyle="1" w:styleId="337">
    <w:name w:val="xl108"/>
    <w:basedOn w:val="1"/>
    <w:qFormat/>
    <w:uiPriority w:val="0"/>
    <w:pPr>
      <w:widowControl/>
      <w:pBdr>
        <w:bottom w:val="single" w:color="auto" w:sz="4" w:space="0"/>
      </w:pBdr>
      <w:spacing w:before="100" w:beforeAutospacing="1" w:after="100" w:afterAutospacing="1"/>
      <w:jc w:val="center"/>
    </w:pPr>
    <w:rPr>
      <w:rFonts w:ascii="宋体" w:hAnsi="宋体" w:cs="宋体"/>
      <w:kern w:val="0"/>
      <w:sz w:val="18"/>
      <w:szCs w:val="18"/>
    </w:rPr>
  </w:style>
  <w:style w:type="paragraph" w:customStyle="1" w:styleId="338">
    <w:name w:val="xl104"/>
    <w:basedOn w:val="1"/>
    <w:qFormat/>
    <w:uiPriority w:val="0"/>
    <w:pPr>
      <w:widowControl/>
      <w:pBdr>
        <w:left w:val="single" w:color="auto" w:sz="4" w:space="0"/>
      </w:pBdr>
      <w:spacing w:before="100" w:beforeAutospacing="1" w:after="100" w:afterAutospacing="1"/>
      <w:jc w:val="center"/>
    </w:pPr>
    <w:rPr>
      <w:rFonts w:ascii="宋体" w:hAnsi="宋体" w:cs="宋体"/>
      <w:kern w:val="0"/>
      <w:sz w:val="18"/>
      <w:szCs w:val="18"/>
    </w:rPr>
  </w:style>
  <w:style w:type="paragraph" w:customStyle="1" w:styleId="339">
    <w:name w:val="xl105"/>
    <w:basedOn w:val="1"/>
    <w:qFormat/>
    <w:uiPriority w:val="0"/>
    <w:pPr>
      <w:widowControl/>
      <w:pBdr>
        <w:top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340">
    <w:name w:val="Char Char Char Char Char Char Char Char Char Char Char Char Char Char Char Char Char Char Char Char Char Char1"/>
    <w:basedOn w:val="1"/>
    <w:qFormat/>
    <w:uiPriority w:val="0"/>
    <w:rPr>
      <w:sz w:val="24"/>
    </w:rPr>
  </w:style>
  <w:style w:type="paragraph" w:customStyle="1" w:styleId="341">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color w:val="000000"/>
      <w:kern w:val="0"/>
      <w:sz w:val="18"/>
      <w:szCs w:val="18"/>
    </w:rPr>
  </w:style>
  <w:style w:type="paragraph" w:customStyle="1" w:styleId="342">
    <w:name w:val="font16"/>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343">
    <w:name w:val="font14"/>
    <w:basedOn w:val="1"/>
    <w:qFormat/>
    <w:uiPriority w:val="0"/>
    <w:pPr>
      <w:widowControl/>
      <w:spacing w:before="100" w:beforeAutospacing="1" w:after="100" w:afterAutospacing="1"/>
      <w:jc w:val="left"/>
    </w:pPr>
    <w:rPr>
      <w:b/>
      <w:bCs/>
      <w:color w:val="000000"/>
      <w:kern w:val="0"/>
      <w:sz w:val="18"/>
      <w:szCs w:val="18"/>
    </w:rPr>
  </w:style>
  <w:style w:type="paragraph" w:customStyle="1" w:styleId="344">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18"/>
      <w:szCs w:val="18"/>
    </w:rPr>
  </w:style>
  <w:style w:type="paragraph" w:customStyle="1" w:styleId="345">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46">
    <w:name w:val="Char Char Char Char Char Char Char Char Char Char Char Char Char Char Char Char1"/>
    <w:basedOn w:val="1"/>
    <w:qFormat/>
    <w:uiPriority w:val="0"/>
    <w:rPr>
      <w:sz w:val="24"/>
    </w:rPr>
  </w:style>
  <w:style w:type="paragraph" w:customStyle="1" w:styleId="347">
    <w:name w:val="xl111"/>
    <w:basedOn w:val="1"/>
    <w:qFormat/>
    <w:uiPriority w:val="0"/>
    <w:pPr>
      <w:widowControl/>
      <w:pBdr>
        <w:left w:val="single" w:color="auto" w:sz="4" w:space="0"/>
        <w:right w:val="single" w:color="auto" w:sz="4" w:space="0"/>
      </w:pBdr>
      <w:spacing w:before="100" w:beforeAutospacing="1" w:after="100" w:afterAutospacing="1"/>
      <w:jc w:val="center"/>
    </w:pPr>
    <w:rPr>
      <w:color w:val="000000"/>
      <w:kern w:val="0"/>
      <w:sz w:val="18"/>
      <w:szCs w:val="18"/>
    </w:rPr>
  </w:style>
  <w:style w:type="paragraph" w:customStyle="1" w:styleId="348">
    <w:name w:val="font10"/>
    <w:basedOn w:val="1"/>
    <w:qFormat/>
    <w:uiPriority w:val="0"/>
    <w:pPr>
      <w:widowControl/>
      <w:spacing w:before="100" w:beforeAutospacing="1" w:after="100" w:afterAutospacing="1"/>
      <w:jc w:val="left"/>
    </w:pPr>
    <w:rPr>
      <w:rFonts w:ascii="等线" w:hAnsi="等线" w:eastAsia="等线" w:cs="宋体"/>
      <w:color w:val="000000"/>
      <w:kern w:val="0"/>
      <w:sz w:val="18"/>
      <w:szCs w:val="18"/>
    </w:rPr>
  </w:style>
  <w:style w:type="paragraph" w:customStyle="1" w:styleId="349">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350">
    <w:name w:val="xl9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351">
    <w:name w:val="Char Char Char1 Char Char Char1"/>
    <w:basedOn w:val="1"/>
    <w:qFormat/>
    <w:uiPriority w:val="0"/>
    <w:rPr>
      <w:sz w:val="24"/>
    </w:rPr>
  </w:style>
  <w:style w:type="paragraph" w:customStyle="1" w:styleId="352">
    <w:name w:val="font12"/>
    <w:basedOn w:val="1"/>
    <w:qFormat/>
    <w:uiPriority w:val="0"/>
    <w:pPr>
      <w:widowControl/>
      <w:spacing w:before="100" w:beforeAutospacing="1" w:after="100" w:afterAutospacing="1"/>
      <w:jc w:val="left"/>
    </w:pPr>
    <w:rPr>
      <w:color w:val="000000"/>
      <w:kern w:val="0"/>
      <w:sz w:val="18"/>
      <w:szCs w:val="18"/>
    </w:rPr>
  </w:style>
  <w:style w:type="paragraph" w:customStyle="1" w:styleId="353">
    <w:name w:val="xl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8"/>
      <w:szCs w:val="18"/>
    </w:rPr>
  </w:style>
  <w:style w:type="paragraph" w:customStyle="1" w:styleId="354">
    <w:name w:val="5"/>
    <w:basedOn w:val="1"/>
    <w:qFormat/>
    <w:uiPriority w:val="0"/>
    <w:rPr>
      <w:sz w:val="24"/>
    </w:rPr>
  </w:style>
  <w:style w:type="paragraph" w:customStyle="1" w:styleId="355">
    <w:name w:val="样式11"/>
    <w:basedOn w:val="1"/>
    <w:qFormat/>
    <w:uiPriority w:val="0"/>
    <w:pPr>
      <w:adjustRightInd w:val="0"/>
      <w:snapToGrid w:val="0"/>
      <w:spacing w:line="360" w:lineRule="auto"/>
      <w:ind w:firstLine="420" w:firstLineChars="200"/>
    </w:pPr>
    <w:rPr>
      <w:szCs w:val="21"/>
    </w:rPr>
  </w:style>
  <w:style w:type="paragraph" w:customStyle="1" w:styleId="356">
    <w:name w:val="List Paragraph2"/>
    <w:basedOn w:val="1"/>
    <w:qFormat/>
    <w:uiPriority w:val="0"/>
    <w:pPr>
      <w:ind w:firstLine="420" w:firstLineChars="200"/>
    </w:pPr>
  </w:style>
  <w:style w:type="paragraph" w:customStyle="1" w:styleId="357">
    <w:name w:val="正文j"/>
    <w:qFormat/>
    <w:uiPriority w:val="0"/>
    <w:pPr>
      <w:adjustRightInd w:val="0"/>
      <w:snapToGrid w:val="0"/>
      <w:spacing w:beforeLines="25" w:afterLines="25" w:line="360" w:lineRule="auto"/>
      <w:ind w:firstLine="200" w:firstLineChars="200"/>
    </w:pPr>
    <w:rPr>
      <w:rFonts w:ascii="Times New Roman" w:hAnsi="Times New Roman" w:eastAsia="宋体" w:cs="Times New Roman"/>
      <w:kern w:val="2"/>
      <w:sz w:val="24"/>
      <w:szCs w:val="28"/>
      <w:lang w:val="en-US" w:eastAsia="zh-CN" w:bidi="ar-SA"/>
    </w:rPr>
  </w:style>
  <w:style w:type="paragraph" w:customStyle="1" w:styleId="358">
    <w:name w:val="0正文"/>
    <w:basedOn w:val="35"/>
    <w:unhideWhenUsed/>
    <w:qFormat/>
    <w:uiPriority w:val="0"/>
    <w:pPr>
      <w:widowControl w:val="0"/>
      <w:spacing w:line="360" w:lineRule="auto"/>
      <w:ind w:firstLine="720" w:firstLineChars="200"/>
    </w:pPr>
    <w:rPr>
      <w:szCs w:val="22"/>
    </w:rPr>
  </w:style>
  <w:style w:type="paragraph" w:customStyle="1" w:styleId="359">
    <w:name w:val="xl27"/>
    <w:basedOn w:val="1"/>
    <w:qFormat/>
    <w:uiPriority w:val="99"/>
    <w:pPr>
      <w:widowControl/>
      <w:pBdr>
        <w:left w:val="single" w:color="auto" w:sz="4" w:space="0"/>
      </w:pBdr>
      <w:spacing w:before="100" w:beforeAutospacing="1" w:after="100" w:afterAutospacing="1"/>
      <w:jc w:val="center"/>
    </w:pPr>
    <w:rPr>
      <w:rFonts w:eastAsia="Arial Unicode MS"/>
      <w:kern w:val="0"/>
      <w:sz w:val="24"/>
      <w:szCs w:val="20"/>
      <w:lang w:eastAsia="zh-TW"/>
    </w:rPr>
  </w:style>
  <w:style w:type="paragraph" w:customStyle="1" w:styleId="360">
    <w:name w:val="修订3"/>
    <w:hidden/>
    <w:unhideWhenUsed/>
    <w:qFormat/>
    <w:uiPriority w:val="99"/>
    <w:rPr>
      <w:rFonts w:ascii="Times New Roman" w:hAnsi="Times New Roman" w:eastAsia="宋体" w:cs="Times New Roman"/>
      <w:kern w:val="2"/>
      <w:sz w:val="21"/>
      <w:szCs w:val="24"/>
      <w:lang w:val="en-US" w:eastAsia="zh-CN" w:bidi="ar-SA"/>
    </w:rPr>
  </w:style>
  <w:style w:type="paragraph" w:customStyle="1" w:styleId="361">
    <w:name w:val="表/图"/>
    <w:basedOn w:val="1"/>
    <w:qFormat/>
    <w:uiPriority w:val="0"/>
    <w:pPr>
      <w:adjustRightInd w:val="0"/>
      <w:snapToGrid w:val="0"/>
      <w:jc w:val="center"/>
    </w:pPr>
    <w:rPr>
      <w:rFonts w:eastAsia="仿宋"/>
    </w:rPr>
  </w:style>
  <w:style w:type="paragraph" w:customStyle="1" w:styleId="362">
    <w:name w:val="Revision"/>
    <w:hidden/>
    <w:unhideWhenUsed/>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4.xml"/><Relationship Id="rId59" Type="http://schemas.microsoft.com/office/2011/relationships/people" Target="people.xml"/><Relationship Id="rId58" Type="http://schemas.openxmlformats.org/officeDocument/2006/relationships/fontTable" Target="fontTable.xml"/><Relationship Id="rId57" Type="http://schemas.openxmlformats.org/officeDocument/2006/relationships/customXml" Target="../customXml/item2.xml"/><Relationship Id="rId56" Type="http://schemas.openxmlformats.org/officeDocument/2006/relationships/numbering" Target="numbering.xml"/><Relationship Id="rId55" Type="http://schemas.openxmlformats.org/officeDocument/2006/relationships/customXml" Target="../customXml/item1.xml"/><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footer" Target="footer3.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footer" Target="footer2.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wmf"/><Relationship Id="rId30" Type="http://schemas.openxmlformats.org/officeDocument/2006/relationships/oleObject" Target="embeddings/oleObject3.bin"/><Relationship Id="rId3" Type="http://schemas.openxmlformats.org/officeDocument/2006/relationships/footer" Target="footer1.xml"/><Relationship Id="rId29" Type="http://schemas.openxmlformats.org/officeDocument/2006/relationships/image" Target="media/image16.png"/><Relationship Id="rId28" Type="http://schemas.openxmlformats.org/officeDocument/2006/relationships/image" Target="media/image15.emf"/><Relationship Id="rId27" Type="http://schemas.openxmlformats.org/officeDocument/2006/relationships/oleObject" Target="embeddings/oleObject2.bin"/><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emf"/><Relationship Id="rId23" Type="http://schemas.openxmlformats.org/officeDocument/2006/relationships/oleObject" Target="embeddings/Microsoft_Visio_2003-2010___4.vsd"/><Relationship Id="rId22" Type="http://schemas.openxmlformats.org/officeDocument/2006/relationships/image" Target="media/image11.png"/><Relationship Id="rId21" Type="http://schemas.openxmlformats.org/officeDocument/2006/relationships/image" Target="media/image10.emf"/><Relationship Id="rId20" Type="http://schemas.openxmlformats.org/officeDocument/2006/relationships/package" Target="embeddings/Microsoft_Visio___3.vsdx"/><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emf"/><Relationship Id="rId17" Type="http://schemas.openxmlformats.org/officeDocument/2006/relationships/package" Target="embeddings/Microsoft_Visio___2.vsdx"/><Relationship Id="rId16" Type="http://schemas.openxmlformats.org/officeDocument/2006/relationships/image" Target="media/image7.emf"/><Relationship Id="rId15" Type="http://schemas.openxmlformats.org/officeDocument/2006/relationships/package" Target="embeddings/Microsoft_Visio___1.vsdx"/><Relationship Id="rId14" Type="http://schemas.openxmlformats.org/officeDocument/2006/relationships/image" Target="media/image6.emf"/><Relationship Id="rId13" Type="http://schemas.openxmlformats.org/officeDocument/2006/relationships/oleObject" Target="embeddings/oleObject1.bin"/><Relationship Id="rId12" Type="http://schemas.openxmlformats.org/officeDocument/2006/relationships/image" Target="media/image5.png"/><Relationship Id="rId11" Type="http://schemas.openxmlformats.org/officeDocument/2006/relationships/image" Target="media/image4.jpe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soa\wdzx97.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586447-5C73-4E83-B36E-D68D800145E8}">
  <ds:schemaRefs/>
</ds:datastoreItem>
</file>

<file path=docProps/app.xml><?xml version="1.0" encoding="utf-8"?>
<Properties xmlns="http://schemas.openxmlformats.org/officeDocument/2006/extended-properties" xmlns:vt="http://schemas.openxmlformats.org/officeDocument/2006/docPropsVTypes">
  <Template>wdzx97.dot</Template>
  <Company>微软中国</Company>
  <Pages>80</Pages>
  <Words>61410</Words>
  <Characters>70561</Characters>
  <Lines>563</Lines>
  <Paragraphs>158</Paragraphs>
  <TotalTime>131</TotalTime>
  <ScaleCrop>false</ScaleCrop>
  <LinksUpToDate>false</LinksUpToDate>
  <CharactersWithSpaces>71561</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2023-01-18T02:09:00Z</dcterms:created>
  <dc:creator>lhj</dc:creator>
  <cp:lastModifiedBy>小智¹⁷⁶⁰⁵¹⁴²⁷⁶⁹</cp:lastModifiedBy>
  <cp:lastPrinted>2022-12-12T02:48:00Z</cp:lastPrinted>
  <dcterms:modified xsi:type="dcterms:W3CDTF">2023-07-17T06:29:28Z</dcterms:modified>
  <dc:title>附件2</dc:title>
  <cp:revision>219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5A59CE5F85A9449AA0A36B4E8A4A77D3_12</vt:lpwstr>
  </property>
</Properties>
</file>